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kern w:val="0"/>
          <w:sz w:val="32"/>
          <w:szCs w:val="32"/>
        </w:rPr>
      </w:pPr>
      <w:r>
        <w:rPr>
          <w:rFonts w:eastAsia="黑体"/>
          <w:kern w:val="0"/>
          <w:sz w:val="32"/>
          <w:szCs w:val="32"/>
        </w:rPr>
        <w:t>附件1</w:t>
      </w:r>
    </w:p>
    <w:p>
      <w:pPr>
        <w:spacing w:beforeLines="100" w:afterLines="100"/>
        <w:jc w:val="center"/>
        <w:rPr>
          <w:rFonts w:eastAsia="楷体_GB2312"/>
          <w:bCs/>
          <w:kern w:val="0"/>
          <w:sz w:val="32"/>
          <w:szCs w:val="32"/>
        </w:rPr>
      </w:pPr>
      <w:r>
        <w:rPr>
          <w:rFonts w:hint="eastAsia" w:eastAsia="方正小标宋_GBK"/>
          <w:bCs/>
          <w:kern w:val="0"/>
          <w:sz w:val="36"/>
          <w:szCs w:val="36"/>
        </w:rPr>
        <w:t>2021</w:t>
      </w:r>
      <w:r>
        <w:rPr>
          <w:rFonts w:eastAsia="方正小标宋_GBK"/>
          <w:bCs/>
          <w:kern w:val="0"/>
          <w:sz w:val="36"/>
          <w:szCs w:val="36"/>
        </w:rPr>
        <w:t>年部门整体支出绩效目标表</w:t>
      </w:r>
    </w:p>
    <w:p>
      <w:pPr>
        <w:widowControl/>
        <w:tabs>
          <w:tab w:val="left" w:pos="2593"/>
        </w:tabs>
        <w:jc w:val="left"/>
        <w:rPr>
          <w:rFonts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部门名称</w:t>
            </w:r>
          </w:p>
        </w:tc>
        <w:tc>
          <w:tcPr>
            <w:tcW w:w="7681" w:type="dxa"/>
            <w:gridSpan w:val="5"/>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邵阳市人民政府房屋征收管理办公室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 w:val="28"/>
                <w:szCs w:val="28"/>
                <w:lang w:eastAsia="zh-CN"/>
              </w:rPr>
            </w:pPr>
            <w:r>
              <w:rPr>
                <w:rFonts w:hint="eastAsia" w:ascii="仿宋_GB2312" w:eastAsia="仿宋_GB2312"/>
                <w:kern w:val="0"/>
                <w:sz w:val="28"/>
                <w:szCs w:val="28"/>
              </w:rPr>
              <w:t>年度预算申请</w:t>
            </w:r>
          </w:p>
          <w:p>
            <w:pPr>
              <w:widowControl/>
              <w:jc w:val="center"/>
              <w:rPr>
                <w:rFonts w:ascii="仿宋_GB2312" w:eastAsia="仿宋_GB2312"/>
                <w:kern w:val="0"/>
                <w:sz w:val="28"/>
                <w:szCs w:val="28"/>
              </w:rPr>
            </w:pPr>
            <w:r>
              <w:rPr>
                <w:rFonts w:hint="eastAsia" w:ascii="仿宋_GB2312" w:eastAsia="仿宋_GB2312"/>
                <w:kern w:val="0"/>
                <w:sz w:val="28"/>
                <w:szCs w:val="28"/>
              </w:rPr>
              <w:t>（万元）</w:t>
            </w:r>
          </w:p>
        </w:tc>
        <w:tc>
          <w:tcPr>
            <w:tcW w:w="7681" w:type="dxa"/>
            <w:gridSpan w:val="5"/>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资金总额：165.09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 w:val="28"/>
                <w:szCs w:val="28"/>
              </w:rPr>
            </w:pPr>
          </w:p>
        </w:tc>
        <w:tc>
          <w:tcPr>
            <w:tcW w:w="3940" w:type="dxa"/>
            <w:gridSpan w:val="3"/>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按收入性质分：</w:t>
            </w:r>
          </w:p>
        </w:tc>
        <w:tc>
          <w:tcPr>
            <w:tcW w:w="3741" w:type="dxa"/>
            <w:gridSpan w:val="2"/>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 w:val="28"/>
                <w:szCs w:val="28"/>
              </w:rPr>
            </w:pPr>
          </w:p>
        </w:tc>
        <w:tc>
          <w:tcPr>
            <w:tcW w:w="3940" w:type="dxa"/>
            <w:gridSpan w:val="3"/>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其中：  一般公共预算：165.09</w:t>
            </w:r>
          </w:p>
        </w:tc>
        <w:tc>
          <w:tcPr>
            <w:tcW w:w="3741" w:type="dxa"/>
            <w:gridSpan w:val="2"/>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其中： 基本支出：160.09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widowControl/>
              <w:jc w:val="left"/>
              <w:rPr>
                <w:rFonts w:ascii="仿宋_GB2312" w:eastAsia="仿宋_GB2312"/>
                <w:kern w:val="0"/>
                <w:sz w:val="28"/>
                <w:szCs w:val="28"/>
              </w:rPr>
            </w:pPr>
          </w:p>
        </w:tc>
        <w:tc>
          <w:tcPr>
            <w:tcW w:w="3940" w:type="dxa"/>
            <w:gridSpan w:val="3"/>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 xml:space="preserve">       政府性基金拨款：</w:t>
            </w:r>
          </w:p>
        </w:tc>
        <w:tc>
          <w:tcPr>
            <w:tcW w:w="3741" w:type="dxa"/>
            <w:gridSpan w:val="2"/>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 xml:space="preserve">       项目支出：5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 w:val="28"/>
                <w:szCs w:val="28"/>
              </w:rPr>
            </w:pPr>
          </w:p>
        </w:tc>
        <w:tc>
          <w:tcPr>
            <w:tcW w:w="3940" w:type="dxa"/>
            <w:gridSpan w:val="3"/>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纳入专户管理的非税收入拨款：</w:t>
            </w:r>
          </w:p>
        </w:tc>
        <w:tc>
          <w:tcPr>
            <w:tcW w:w="3741" w:type="dxa"/>
            <w:gridSpan w:val="2"/>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 w:val="28"/>
                <w:szCs w:val="28"/>
              </w:rPr>
            </w:pPr>
          </w:p>
        </w:tc>
        <w:tc>
          <w:tcPr>
            <w:tcW w:w="3940" w:type="dxa"/>
            <w:gridSpan w:val="3"/>
            <w:vAlign w:val="center"/>
          </w:tcPr>
          <w:p>
            <w:pPr>
              <w:widowControl/>
              <w:jc w:val="left"/>
              <w:rPr>
                <w:rFonts w:ascii="仿宋_GB2312" w:eastAsia="仿宋_GB2312"/>
                <w:kern w:val="0"/>
                <w:sz w:val="28"/>
                <w:szCs w:val="28"/>
              </w:rPr>
            </w:pPr>
            <w:r>
              <w:rPr>
                <w:rFonts w:hint="eastAsia" w:ascii="仿宋_GB2312" w:eastAsia="仿宋_GB2312"/>
                <w:kern w:val="0"/>
                <w:sz w:val="28"/>
                <w:szCs w:val="28"/>
              </w:rPr>
              <w:t xml:space="preserve">             其他资金：</w:t>
            </w:r>
          </w:p>
        </w:tc>
        <w:tc>
          <w:tcPr>
            <w:tcW w:w="3741" w:type="dxa"/>
            <w:gridSpan w:val="2"/>
            <w:vAlign w:val="center"/>
          </w:tcPr>
          <w:p>
            <w:pPr>
              <w:widowControl/>
              <w:jc w:val="left"/>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部门职能</w:t>
            </w:r>
          </w:p>
          <w:p>
            <w:pPr>
              <w:widowControl/>
              <w:jc w:val="center"/>
              <w:rPr>
                <w:rFonts w:ascii="仿宋_GB2312" w:eastAsia="仿宋_GB2312"/>
                <w:kern w:val="0"/>
                <w:sz w:val="28"/>
                <w:szCs w:val="28"/>
              </w:rPr>
            </w:pPr>
            <w:r>
              <w:rPr>
                <w:rFonts w:hint="eastAsia" w:ascii="仿宋_GB2312" w:eastAsia="仿宋_GB2312"/>
                <w:kern w:val="0"/>
                <w:sz w:val="28"/>
                <w:szCs w:val="28"/>
              </w:rPr>
              <w:t>职责概述</w:t>
            </w:r>
          </w:p>
        </w:tc>
        <w:tc>
          <w:tcPr>
            <w:tcW w:w="7681" w:type="dxa"/>
            <w:gridSpan w:val="5"/>
            <w:vAlign w:val="center"/>
          </w:tcPr>
          <w:p>
            <w:pPr>
              <w:rPr>
                <w:rFonts w:ascii="黑体" w:hAnsi="宋体" w:eastAsia="黑体" w:cs="黑体"/>
                <w:color w:val="000000"/>
                <w:sz w:val="24"/>
              </w:rPr>
            </w:pPr>
            <w:r>
              <w:rPr>
                <w:rFonts w:hint="eastAsia" w:ascii="黑体" w:hAnsi="宋体" w:eastAsia="黑体" w:cs="黑体"/>
                <w:color w:val="000000"/>
                <w:sz w:val="24"/>
              </w:rPr>
              <w:t>（一）审核区人民政府房屋征收补偿方案；</w:t>
            </w:r>
          </w:p>
          <w:p>
            <w:pPr>
              <w:rPr>
                <w:rFonts w:ascii="黑体" w:hAnsi="宋体" w:eastAsia="黑体" w:cs="黑体"/>
                <w:color w:val="000000"/>
                <w:sz w:val="24"/>
              </w:rPr>
            </w:pPr>
            <w:r>
              <w:rPr>
                <w:rFonts w:hint="eastAsia" w:ascii="黑体" w:hAnsi="宋体" w:eastAsia="黑体" w:cs="黑体"/>
                <w:color w:val="000000"/>
                <w:sz w:val="24"/>
              </w:rPr>
              <w:t>（二）负责市区房屋征收补偿资金的归集专户储存、划拨和使用监管；</w:t>
            </w:r>
          </w:p>
          <w:p>
            <w:pPr>
              <w:rPr>
                <w:rFonts w:ascii="黑体" w:hAnsi="宋体" w:eastAsia="黑体" w:cs="黑体"/>
                <w:color w:val="000000"/>
                <w:sz w:val="24"/>
              </w:rPr>
            </w:pPr>
            <w:r>
              <w:rPr>
                <w:rFonts w:hint="eastAsia" w:ascii="黑体" w:hAnsi="宋体" w:eastAsia="黑体" w:cs="黑体"/>
                <w:color w:val="000000"/>
                <w:sz w:val="24"/>
              </w:rPr>
              <w:t>（三）审定市区房屋征收项目的征收成本费用概决算；审核区人民政府征收项目一榜二榜公示公告；</w:t>
            </w:r>
          </w:p>
          <w:p>
            <w:pPr>
              <w:rPr>
                <w:rFonts w:ascii="黑体" w:hAnsi="宋体" w:eastAsia="黑体" w:cs="黑体"/>
                <w:color w:val="000000"/>
                <w:sz w:val="24"/>
              </w:rPr>
            </w:pPr>
            <w:r>
              <w:rPr>
                <w:rFonts w:hint="eastAsia" w:ascii="黑体" w:hAnsi="宋体" w:eastAsia="黑体" w:cs="黑体"/>
                <w:color w:val="000000"/>
                <w:sz w:val="24"/>
              </w:rPr>
              <w:t>（四）组织有关部门和人员依程序选定房屋评估机构，并委托选定的房屋评估机构对征收项目房屋进行评估；</w:t>
            </w:r>
          </w:p>
          <w:p>
            <w:pPr>
              <w:rPr>
                <w:rFonts w:ascii="黑体" w:hAnsi="宋体" w:eastAsia="黑体" w:cs="黑体"/>
                <w:color w:val="000000"/>
                <w:sz w:val="24"/>
              </w:rPr>
            </w:pPr>
            <w:r>
              <w:rPr>
                <w:rFonts w:hint="eastAsia" w:ascii="黑体" w:hAnsi="宋体" w:eastAsia="黑体" w:cs="黑体"/>
                <w:color w:val="000000"/>
                <w:sz w:val="24"/>
              </w:rPr>
              <w:t>（五）协助参与并监督区人民政府房屋调查摸底前期工作。</w:t>
            </w:r>
          </w:p>
          <w:p>
            <w:pPr>
              <w:rPr>
                <w:rFonts w:ascii="黑体" w:hAnsi="宋体" w:eastAsia="黑体" w:cs="黑体"/>
                <w:color w:val="000000"/>
                <w:sz w:val="24"/>
              </w:rPr>
            </w:pPr>
            <w:r>
              <w:rPr>
                <w:rFonts w:hint="eastAsia" w:ascii="黑体" w:hAnsi="宋体" w:eastAsia="黑体" w:cs="黑体"/>
                <w:color w:val="000000"/>
                <w:sz w:val="24"/>
              </w:rPr>
              <w:t>（六）建立全市统一的房屋征收信息管理平台，共享房屋征收信息；建立评估机构信用管理制度，定期向社会公布评估机构信用名录；</w:t>
            </w:r>
          </w:p>
          <w:p>
            <w:pPr>
              <w:rPr>
                <w:rFonts w:ascii="黑体" w:hAnsi="宋体" w:eastAsia="黑体" w:cs="黑体"/>
                <w:color w:val="000000"/>
                <w:sz w:val="24"/>
              </w:rPr>
            </w:pPr>
            <w:r>
              <w:rPr>
                <w:rFonts w:hint="eastAsia" w:ascii="黑体" w:hAnsi="宋体" w:eastAsia="黑体" w:cs="黑体"/>
                <w:color w:val="000000"/>
                <w:sz w:val="24"/>
              </w:rPr>
              <w:t>（七）代表市人民政府对区人民政府交办项目征收工作任务；对全市征收决定、征收补偿决定和相关公开公示制度执行情况进行监督检查；</w:t>
            </w:r>
          </w:p>
          <w:p>
            <w:pPr>
              <w:rPr>
                <w:rFonts w:ascii="黑体" w:hAnsi="宋体" w:eastAsia="黑体" w:cs="黑体"/>
                <w:color w:val="000000"/>
                <w:sz w:val="24"/>
              </w:rPr>
            </w:pPr>
            <w:r>
              <w:rPr>
                <w:rFonts w:hint="eastAsia" w:ascii="黑体" w:hAnsi="宋体" w:eastAsia="黑体" w:cs="黑体"/>
                <w:color w:val="000000"/>
                <w:sz w:val="24"/>
              </w:rPr>
              <w:t>（八）负责贯彻执行国有土地上房屋征收与补偿的法律、法规和政策，拟定本行政区域内国有土地上房屋征收与补偿的有关规定，报市人民政府批准后执行；对县市区房屋征收部门的征收与补偿工作、房屋征收实施单位的征收与补偿行为进行指导和监督；</w:t>
            </w:r>
          </w:p>
          <w:p>
            <w:pPr>
              <w:rPr>
                <w:rFonts w:ascii="黑体" w:hAnsi="宋体" w:eastAsia="黑体" w:cs="黑体"/>
                <w:color w:val="000000"/>
                <w:sz w:val="24"/>
              </w:rPr>
            </w:pPr>
            <w:r>
              <w:rPr>
                <w:rFonts w:hint="eastAsia" w:ascii="黑体" w:hAnsi="宋体" w:eastAsia="黑体" w:cs="黑体"/>
                <w:color w:val="000000"/>
                <w:sz w:val="24"/>
              </w:rPr>
              <w:t>（九）具体负责跨区重大建设项目及邵阳经开区范围内国有土地上的房屋征收与补偿工作；</w:t>
            </w:r>
          </w:p>
          <w:p>
            <w:pPr>
              <w:widowControl/>
              <w:jc w:val="left"/>
              <w:rPr>
                <w:rFonts w:ascii="仿宋_GB2312" w:eastAsia="仿宋_GB2312"/>
                <w:kern w:val="0"/>
                <w:sz w:val="28"/>
                <w:szCs w:val="28"/>
              </w:rPr>
            </w:pPr>
            <w:r>
              <w:rPr>
                <w:rFonts w:hint="eastAsia" w:ascii="黑体" w:hAnsi="宋体" w:eastAsia="黑体" w:cs="黑体"/>
                <w:color w:val="000000"/>
                <w:sz w:val="24"/>
              </w:rPr>
              <w:t>（十）法律、法规和规章规定以及市人民政府确定的其他工作职责。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整体绩效目标</w:t>
            </w:r>
          </w:p>
        </w:tc>
        <w:tc>
          <w:tcPr>
            <w:tcW w:w="7681" w:type="dxa"/>
            <w:gridSpan w:val="5"/>
            <w:vAlign w:val="center"/>
          </w:tcPr>
          <w:p>
            <w:pPr>
              <w:widowControl/>
              <w:jc w:val="left"/>
              <w:textAlignment w:val="center"/>
              <w:rPr>
                <w:rFonts w:ascii="黑体" w:hAnsi="宋体" w:eastAsia="黑体" w:cs="黑体"/>
                <w:color w:val="000000"/>
                <w:kern w:val="0"/>
                <w:sz w:val="24"/>
              </w:rPr>
            </w:pPr>
            <w:r>
              <w:rPr>
                <w:rFonts w:hint="eastAsia" w:ascii="黑体" w:hAnsi="宋体" w:eastAsia="黑体" w:cs="黑体"/>
                <w:color w:val="000000"/>
                <w:kern w:val="0"/>
                <w:sz w:val="24"/>
              </w:rPr>
              <w:t>在今年收支预算内，确保完成以下整体目标：</w:t>
            </w:r>
          </w:p>
          <w:p>
            <w:pPr>
              <w:widowControl/>
              <w:jc w:val="left"/>
              <w:textAlignment w:val="center"/>
              <w:rPr>
                <w:rFonts w:ascii="黑体" w:hAnsi="宋体" w:eastAsia="黑体" w:cs="黑体"/>
                <w:color w:val="000000"/>
                <w:kern w:val="0"/>
                <w:sz w:val="24"/>
              </w:rPr>
            </w:pPr>
            <w:r>
              <w:rPr>
                <w:rFonts w:hint="eastAsia" w:ascii="黑体" w:hAnsi="宋体" w:eastAsia="黑体" w:cs="黑体"/>
                <w:color w:val="000000"/>
                <w:kern w:val="0"/>
                <w:sz w:val="24"/>
              </w:rPr>
              <w:t>目标1：严格控制”三公”经费支出，一般性支出</w:t>
            </w:r>
          </w:p>
          <w:p>
            <w:pPr>
              <w:widowControl/>
              <w:jc w:val="left"/>
              <w:textAlignment w:val="center"/>
              <w:rPr>
                <w:rFonts w:ascii="黑体" w:hAnsi="宋体" w:eastAsia="黑体" w:cs="黑体"/>
                <w:color w:val="000000"/>
                <w:kern w:val="0"/>
                <w:sz w:val="24"/>
              </w:rPr>
            </w:pPr>
            <w:r>
              <w:rPr>
                <w:rFonts w:hint="eastAsia" w:ascii="黑体" w:hAnsi="宋体" w:eastAsia="黑体" w:cs="黑体"/>
                <w:color w:val="000000"/>
                <w:kern w:val="0"/>
                <w:sz w:val="24"/>
              </w:rPr>
              <w:t>目标2：政府采购率实现100%，采购都通过电子卖场进行；固定资产做到账表.账实.账账.账卡相符，固定资产利用率达到100%;</w:t>
            </w:r>
          </w:p>
          <w:p>
            <w:pPr>
              <w:widowControl/>
              <w:jc w:val="left"/>
              <w:textAlignment w:val="center"/>
              <w:rPr>
                <w:rFonts w:ascii="黑体" w:hAnsi="宋体" w:eastAsia="黑体" w:cs="黑体"/>
                <w:color w:val="000000"/>
                <w:kern w:val="0"/>
                <w:sz w:val="24"/>
              </w:rPr>
            </w:pPr>
            <w:r>
              <w:rPr>
                <w:rFonts w:hint="eastAsia" w:ascii="黑体" w:hAnsi="宋体" w:eastAsia="黑体" w:cs="黑体"/>
                <w:color w:val="000000"/>
                <w:kern w:val="0"/>
                <w:sz w:val="24"/>
              </w:rPr>
              <w:t>目标3：完成本单位工作和市委、市政府重点项目年度计划的房屋征收工作。办事程序公开透明，提高工作效率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部门整体支出</w:t>
            </w:r>
          </w:p>
          <w:p>
            <w:pPr>
              <w:jc w:val="center"/>
              <w:rPr>
                <w:rFonts w:ascii="仿宋_GB2312" w:eastAsia="仿宋_GB2312"/>
                <w:kern w:val="0"/>
                <w:sz w:val="28"/>
                <w:szCs w:val="28"/>
              </w:rPr>
            </w:pPr>
            <w:r>
              <w:rPr>
                <w:rFonts w:hint="eastAsia" w:ascii="仿宋_GB2312" w:eastAsia="仿宋_GB2312"/>
                <w:kern w:val="0"/>
                <w:sz w:val="28"/>
                <w:szCs w:val="28"/>
              </w:rPr>
              <w:t>年度绩效指标</w:t>
            </w:r>
          </w:p>
        </w:tc>
        <w:tc>
          <w:tcPr>
            <w:tcW w:w="1147" w:type="dxa"/>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目标1：严格控制”三公”经费支出，一般性支出</w:t>
            </w:r>
            <w:r>
              <w:rPr>
                <w:rFonts w:ascii="黑体" w:hAnsi="宋体" w:eastAsia="黑体" w:cs="黑体"/>
                <w:color w:val="000000"/>
                <w:kern w:val="0"/>
                <w:sz w:val="24"/>
              </w:rPr>
              <w:t>；</w:t>
            </w:r>
          </w:p>
        </w:tc>
        <w:tc>
          <w:tcPr>
            <w:tcW w:w="1843" w:type="dxa"/>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二级指标</w:t>
            </w:r>
          </w:p>
        </w:tc>
        <w:tc>
          <w:tcPr>
            <w:tcW w:w="2062" w:type="dxa"/>
            <w:gridSpan w:val="2"/>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三级指标</w:t>
            </w:r>
          </w:p>
        </w:tc>
        <w:tc>
          <w:tcPr>
            <w:tcW w:w="2629" w:type="dxa"/>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jc w:val="center"/>
        </w:trPr>
        <w:tc>
          <w:tcPr>
            <w:tcW w:w="1761" w:type="dxa"/>
            <w:vMerge w:val="continue"/>
            <w:vAlign w:val="center"/>
          </w:tcPr>
          <w:p>
            <w:pPr>
              <w:widowControl/>
              <w:jc w:val="center"/>
              <w:rPr>
                <w:rFonts w:ascii="仿宋_GB2312" w:eastAsia="仿宋_GB2312"/>
                <w:kern w:val="0"/>
                <w:sz w:val="28"/>
                <w:szCs w:val="28"/>
              </w:rPr>
            </w:pPr>
          </w:p>
        </w:tc>
        <w:tc>
          <w:tcPr>
            <w:tcW w:w="1147" w:type="dxa"/>
            <w:vMerge w:val="restart"/>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目标2：政府采购率实现100%，固定资产做到账表.账实.账账.账卡相符，固定资产利用率达到100%;</w:t>
            </w:r>
          </w:p>
          <w:p>
            <w:pPr>
              <w:widowControl/>
              <w:jc w:val="center"/>
              <w:rPr>
                <w:rFonts w:ascii="仿宋_GB2312" w:eastAsia="仿宋_GB2312"/>
                <w:kern w:val="0"/>
                <w:sz w:val="28"/>
                <w:szCs w:val="28"/>
              </w:rPr>
            </w:pPr>
            <w:r>
              <w:rPr>
                <w:rFonts w:hint="eastAsia" w:ascii="黑体" w:hAnsi="宋体" w:eastAsia="黑体" w:cs="黑体"/>
                <w:color w:val="000000"/>
                <w:kern w:val="0"/>
                <w:sz w:val="24"/>
              </w:rPr>
              <w:t>目标3：完成本单位工作和市委、市政府重点项目年度计划的房屋征收工作。办事程序公开透明，提高工作效率</w:t>
            </w: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数量指标</w:t>
            </w:r>
          </w:p>
        </w:tc>
        <w:tc>
          <w:tcPr>
            <w:tcW w:w="2062" w:type="dxa"/>
            <w:gridSpan w:val="2"/>
            <w:vAlign w:val="center"/>
          </w:tcPr>
          <w:p>
            <w:pPr>
              <w:rPr>
                <w:rFonts w:ascii="黑体" w:hAnsi="宋体" w:eastAsia="黑体" w:cs="黑体"/>
                <w:color w:val="000000"/>
                <w:sz w:val="24"/>
              </w:rPr>
            </w:pPr>
            <w:r>
              <w:rPr>
                <w:rFonts w:ascii="黑体" w:hAnsi="宋体" w:eastAsia="黑体" w:cs="黑体"/>
                <w:color w:val="000000"/>
                <w:sz w:val="24"/>
              </w:rPr>
              <w:t>1.在做出征收决定前，确保202</w:t>
            </w:r>
            <w:r>
              <w:rPr>
                <w:rFonts w:hint="eastAsia" w:ascii="黑体" w:hAnsi="宋体" w:eastAsia="黑体" w:cs="黑体"/>
                <w:color w:val="000000"/>
                <w:sz w:val="24"/>
              </w:rPr>
              <w:t>1</w:t>
            </w:r>
            <w:r>
              <w:rPr>
                <w:rFonts w:ascii="黑体" w:hAnsi="宋体" w:eastAsia="黑体" w:cs="黑体"/>
                <w:color w:val="000000"/>
                <w:sz w:val="24"/>
              </w:rPr>
              <w:t>年房屋征收补偿款足额到位，以提升政府公信力</w:t>
            </w:r>
          </w:p>
          <w:p>
            <w:pPr>
              <w:rPr>
                <w:rFonts w:ascii="黑体" w:hAnsi="宋体" w:eastAsia="黑体" w:cs="黑体"/>
                <w:color w:val="000000"/>
                <w:sz w:val="24"/>
              </w:rPr>
            </w:pPr>
            <w:r>
              <w:rPr>
                <w:rFonts w:ascii="黑体" w:hAnsi="宋体" w:eastAsia="黑体" w:cs="黑体"/>
                <w:color w:val="000000"/>
                <w:sz w:val="24"/>
              </w:rPr>
              <w:t>2.确保20</w:t>
            </w:r>
            <w:r>
              <w:rPr>
                <w:rFonts w:hint="eastAsia" w:ascii="黑体" w:hAnsi="宋体" w:eastAsia="黑体" w:cs="黑体"/>
                <w:color w:val="000000"/>
                <w:sz w:val="24"/>
              </w:rPr>
              <w:t>21</w:t>
            </w:r>
            <w:r>
              <w:rPr>
                <w:rFonts w:ascii="黑体" w:hAnsi="宋体" w:eastAsia="黑体" w:cs="黑体"/>
                <w:color w:val="000000"/>
                <w:sz w:val="24"/>
              </w:rPr>
              <w:t>年每个征收项目都严格实施”二级审核.三榜公示”</w:t>
            </w:r>
          </w:p>
          <w:p>
            <w:pPr>
              <w:rPr>
                <w:rFonts w:ascii="黑体" w:hAnsi="宋体" w:eastAsia="黑体" w:cs="黑体"/>
                <w:color w:val="000000"/>
                <w:sz w:val="24"/>
              </w:rPr>
            </w:pPr>
            <w:r>
              <w:rPr>
                <w:rFonts w:ascii="黑体" w:hAnsi="宋体" w:eastAsia="黑体" w:cs="黑体"/>
                <w:color w:val="000000"/>
                <w:sz w:val="24"/>
              </w:rPr>
              <w:t>3.严格按照房屋征收政策审核三区上报的二榜公示方案</w:t>
            </w:r>
          </w:p>
        </w:tc>
        <w:tc>
          <w:tcPr>
            <w:tcW w:w="2629" w:type="dxa"/>
            <w:vAlign w:val="center"/>
          </w:tcPr>
          <w:p>
            <w:pPr>
              <w:jc w:val="center"/>
              <w:rPr>
                <w:rFonts w:ascii="仿宋_GB2312" w:eastAsia="仿宋_GB2312"/>
                <w:kern w:val="0"/>
                <w:sz w:val="28"/>
                <w:szCs w:val="28"/>
              </w:rPr>
            </w:pPr>
            <w:r>
              <w:rPr>
                <w:rFonts w:ascii="黑体" w:hAnsi="宋体" w:eastAsia="黑体" w:cs="黑体"/>
                <w:color w:val="000000"/>
                <w:sz w:val="24"/>
              </w:rPr>
              <w:t>所有征收项目  ；上报的所有方案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761" w:type="dxa"/>
            <w:vMerge w:val="continue"/>
            <w:vAlign w:val="center"/>
          </w:tcPr>
          <w:p>
            <w:pPr>
              <w:widowControl/>
              <w:jc w:val="center"/>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质量指标</w:t>
            </w:r>
          </w:p>
        </w:tc>
        <w:tc>
          <w:tcPr>
            <w:tcW w:w="2062" w:type="dxa"/>
            <w:gridSpan w:val="2"/>
            <w:vAlign w:val="center"/>
          </w:tcPr>
          <w:p>
            <w:pPr>
              <w:jc w:val="center"/>
              <w:rPr>
                <w:rFonts w:ascii="黑体" w:hAnsi="宋体" w:eastAsia="黑体" w:cs="黑体"/>
                <w:color w:val="000000"/>
                <w:sz w:val="24"/>
              </w:rPr>
            </w:pPr>
          </w:p>
          <w:p>
            <w:pPr>
              <w:jc w:val="center"/>
              <w:rPr>
                <w:rFonts w:ascii="黑体" w:hAnsi="黑体" w:eastAsia="黑体" w:cs="黑体"/>
                <w:sz w:val="24"/>
              </w:rPr>
            </w:pPr>
            <w:r>
              <w:rPr>
                <w:rFonts w:hint="eastAsia" w:ascii="黑体" w:hAnsi="黑体" w:eastAsia="黑体" w:cs="黑体"/>
                <w:sz w:val="24"/>
              </w:rPr>
              <w:t>进一步加强征收工作人员的法规.政策学习和业务水平</w:t>
            </w:r>
          </w:p>
          <w:p>
            <w:pPr>
              <w:rPr>
                <w:rFonts w:ascii="仿宋_GB2312" w:eastAsia="仿宋_GB2312"/>
                <w:kern w:val="0"/>
                <w:sz w:val="28"/>
                <w:szCs w:val="28"/>
              </w:rPr>
            </w:pPr>
          </w:p>
        </w:tc>
        <w:tc>
          <w:tcPr>
            <w:tcW w:w="2629" w:type="dxa"/>
            <w:vAlign w:val="center"/>
          </w:tcPr>
          <w:p>
            <w:pPr>
              <w:jc w:val="center"/>
              <w:rPr>
                <w:rFonts w:ascii="仿宋_GB2312" w:eastAsia="仿宋_GB2312"/>
                <w:kern w:val="0"/>
                <w:sz w:val="28"/>
                <w:szCs w:val="28"/>
              </w:rPr>
            </w:pPr>
            <w:r>
              <w:rPr>
                <w:rFonts w:ascii="黑体" w:hAnsi="宋体" w:eastAsia="黑体" w:cs="黑体"/>
                <w:color w:val="000000"/>
                <w:sz w:val="24"/>
              </w:rPr>
              <w:t>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761" w:type="dxa"/>
            <w:vMerge w:val="continue"/>
            <w:vAlign w:val="center"/>
          </w:tcPr>
          <w:p>
            <w:pPr>
              <w:widowControl/>
              <w:jc w:val="center"/>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成本指标</w:t>
            </w:r>
          </w:p>
        </w:tc>
        <w:tc>
          <w:tcPr>
            <w:tcW w:w="2062" w:type="dxa"/>
            <w:gridSpan w:val="2"/>
            <w:vAlign w:val="center"/>
          </w:tcPr>
          <w:p>
            <w:pPr>
              <w:rPr>
                <w:rFonts w:ascii="仿宋_GB2312" w:eastAsia="仿宋_GB2312"/>
                <w:kern w:val="0"/>
                <w:sz w:val="28"/>
                <w:szCs w:val="28"/>
              </w:rPr>
            </w:pPr>
            <w:r>
              <w:rPr>
                <w:rFonts w:hint="eastAsia" w:ascii="黑体" w:hAnsi="宋体" w:eastAsia="黑体" w:cs="黑体"/>
                <w:color w:val="000000"/>
                <w:sz w:val="24"/>
                <w:lang w:eastAsia="zh-CN"/>
              </w:rPr>
              <w:t>加强</w:t>
            </w:r>
            <w:r>
              <w:rPr>
                <w:rFonts w:hint="eastAsia" w:ascii="黑体" w:hAnsi="宋体" w:eastAsia="黑体" w:cs="黑体"/>
                <w:color w:val="000000"/>
                <w:sz w:val="24"/>
              </w:rPr>
              <w:t>信访协调，妥善处置房屋拆迁遗留积案</w:t>
            </w:r>
          </w:p>
        </w:tc>
        <w:tc>
          <w:tcPr>
            <w:tcW w:w="2629" w:type="dxa"/>
            <w:vAlign w:val="center"/>
          </w:tcPr>
          <w:p>
            <w:pPr>
              <w:jc w:val="center"/>
              <w:rPr>
                <w:rFonts w:ascii="仿宋_GB2312" w:eastAsia="仿宋_GB2312"/>
                <w:kern w:val="0"/>
                <w:sz w:val="28"/>
                <w:szCs w:val="28"/>
              </w:rPr>
            </w:pPr>
            <w:r>
              <w:rPr>
                <w:rFonts w:hint="eastAsia" w:ascii="黑体" w:hAnsi="宋体" w:eastAsia="黑体" w:cs="黑体"/>
                <w:color w:val="000000"/>
                <w:sz w:val="24"/>
                <w:lang w:val="en-US" w:eastAsia="zh-CN"/>
              </w:rPr>
              <w:t>5</w:t>
            </w:r>
            <w:r>
              <w:rPr>
                <w:rFonts w:ascii="黑体" w:hAnsi="宋体" w:eastAsia="黑体" w:cs="黑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61" w:type="dxa"/>
            <w:vMerge w:val="continue"/>
            <w:vAlign w:val="center"/>
          </w:tcPr>
          <w:p>
            <w:pPr>
              <w:widowControl/>
              <w:jc w:val="center"/>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时效指标</w:t>
            </w:r>
          </w:p>
        </w:tc>
        <w:tc>
          <w:tcPr>
            <w:tcW w:w="2062" w:type="dxa"/>
            <w:gridSpan w:val="2"/>
            <w:vAlign w:val="center"/>
          </w:tcPr>
          <w:p>
            <w:pPr>
              <w:jc w:val="center"/>
              <w:rPr>
                <w:rFonts w:ascii="黑体" w:hAnsi="宋体" w:eastAsia="黑体" w:cs="黑体"/>
                <w:color w:val="000000"/>
                <w:sz w:val="24"/>
              </w:rPr>
            </w:pPr>
            <w:r>
              <w:rPr>
                <w:rFonts w:hint="eastAsia" w:ascii="黑体" w:hAnsi="宋体" w:eastAsia="黑体" w:cs="黑体"/>
                <w:color w:val="000000"/>
                <w:sz w:val="24"/>
              </w:rPr>
              <w:t>及时完成本年度的房屋征收任务</w:t>
            </w:r>
          </w:p>
          <w:p>
            <w:pPr>
              <w:rPr>
                <w:rFonts w:ascii="仿宋_GB2312" w:eastAsia="仿宋_GB2312"/>
                <w:kern w:val="0"/>
                <w:sz w:val="28"/>
                <w:szCs w:val="28"/>
              </w:rPr>
            </w:pPr>
          </w:p>
        </w:tc>
        <w:tc>
          <w:tcPr>
            <w:tcW w:w="2629" w:type="dxa"/>
            <w:vAlign w:val="center"/>
          </w:tcPr>
          <w:p>
            <w:pPr>
              <w:jc w:val="center"/>
              <w:rPr>
                <w:rFonts w:ascii="仿宋_GB2312" w:eastAsia="仿宋_GB2312"/>
                <w:kern w:val="0"/>
                <w:sz w:val="28"/>
                <w:szCs w:val="28"/>
              </w:rPr>
            </w:pPr>
            <w:r>
              <w:rPr>
                <w:rFonts w:hint="eastAsia" w:ascii="黑体" w:hAnsi="黑体" w:eastAsia="黑体" w:cs="黑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61" w:type="dxa"/>
            <w:vMerge w:val="continue"/>
            <w:vAlign w:val="center"/>
          </w:tcPr>
          <w:p>
            <w:pPr>
              <w:widowControl/>
              <w:jc w:val="left"/>
              <w:rPr>
                <w:rFonts w:ascii="仿宋_GB2312" w:eastAsia="仿宋_GB2312"/>
                <w:kern w:val="0"/>
                <w:sz w:val="28"/>
                <w:szCs w:val="28"/>
              </w:rPr>
            </w:pPr>
          </w:p>
        </w:tc>
        <w:tc>
          <w:tcPr>
            <w:tcW w:w="1147" w:type="dxa"/>
            <w:vMerge w:val="restart"/>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效益指标</w:t>
            </w: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经济效益指标</w:t>
            </w:r>
          </w:p>
        </w:tc>
        <w:tc>
          <w:tcPr>
            <w:tcW w:w="2062" w:type="dxa"/>
            <w:gridSpan w:val="2"/>
            <w:vAlign w:val="center"/>
          </w:tcPr>
          <w:p>
            <w:pPr>
              <w:jc w:val="center"/>
              <w:rPr>
                <w:rFonts w:ascii="仿宋_GB2312" w:eastAsia="仿宋_GB2312"/>
                <w:kern w:val="0"/>
                <w:sz w:val="28"/>
                <w:szCs w:val="28"/>
              </w:rPr>
            </w:pPr>
            <w:r>
              <w:rPr>
                <w:rFonts w:ascii="黑体" w:hAnsi="宋体" w:eastAsia="黑体" w:cs="黑体"/>
                <w:color w:val="000000"/>
                <w:sz w:val="24"/>
              </w:rPr>
              <w:t>对国有土地上房屋征收项目成本审核严格把关</w:t>
            </w:r>
          </w:p>
        </w:tc>
        <w:tc>
          <w:tcPr>
            <w:tcW w:w="2629" w:type="dxa"/>
            <w:vAlign w:val="center"/>
          </w:tcPr>
          <w:p>
            <w:pPr>
              <w:jc w:val="center"/>
              <w:rPr>
                <w:rFonts w:ascii="仿宋_GB2312" w:eastAsia="仿宋_GB2312"/>
                <w:kern w:val="0"/>
                <w:sz w:val="28"/>
                <w:szCs w:val="28"/>
              </w:rPr>
            </w:pPr>
            <w:r>
              <w:rPr>
                <w:rFonts w:hint="eastAsia" w:ascii="黑体" w:hAnsi="宋体" w:eastAsia="黑体" w:cs="黑体"/>
                <w:color w:val="000000"/>
                <w:sz w:val="24"/>
              </w:rPr>
              <w:t>争取下降2%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761" w:type="dxa"/>
            <w:vMerge w:val="continue"/>
            <w:vAlign w:val="center"/>
          </w:tcPr>
          <w:p>
            <w:pPr>
              <w:widowControl/>
              <w:jc w:val="left"/>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社会效益指标</w:t>
            </w:r>
          </w:p>
        </w:tc>
        <w:tc>
          <w:tcPr>
            <w:tcW w:w="2062" w:type="dxa"/>
            <w:gridSpan w:val="2"/>
            <w:vAlign w:val="center"/>
          </w:tcPr>
          <w:p>
            <w:pPr>
              <w:jc w:val="center"/>
              <w:rPr>
                <w:rFonts w:hint="eastAsia" w:ascii="黑体" w:hAnsi="宋体" w:eastAsia="黑体" w:cs="黑体"/>
                <w:color w:val="000000"/>
                <w:sz w:val="24"/>
                <w:lang w:eastAsia="zh-CN"/>
              </w:rPr>
            </w:pPr>
            <w:r>
              <w:rPr>
                <w:rFonts w:hint="eastAsia" w:ascii="黑体" w:hAnsi="宋体" w:eastAsia="黑体" w:cs="黑体"/>
                <w:color w:val="000000"/>
                <w:sz w:val="24"/>
              </w:rPr>
              <w:t>结合实际，科学合理的制定征收补偿方案</w:t>
            </w:r>
            <w:r>
              <w:rPr>
                <w:rFonts w:hint="eastAsia" w:ascii="黑体" w:hAnsi="宋体" w:eastAsia="黑体" w:cs="黑体"/>
                <w:color w:val="000000"/>
                <w:sz w:val="24"/>
                <w:lang w:eastAsia="zh-CN"/>
              </w:rPr>
              <w:t>，</w:t>
            </w:r>
            <w:r>
              <w:rPr>
                <w:rFonts w:hint="eastAsia" w:ascii="黑体" w:hAnsi="宋体" w:eastAsia="黑体" w:cs="黑体"/>
                <w:color w:val="000000"/>
                <w:sz w:val="24"/>
              </w:rPr>
              <w:t>确保被征收人的利益</w:t>
            </w:r>
          </w:p>
          <w:p>
            <w:pPr>
              <w:jc w:val="center"/>
              <w:rPr>
                <w:rFonts w:ascii="仿宋_GB2312" w:eastAsia="仿宋_GB2312"/>
                <w:kern w:val="0"/>
                <w:sz w:val="28"/>
                <w:szCs w:val="28"/>
              </w:rPr>
            </w:pPr>
          </w:p>
        </w:tc>
        <w:tc>
          <w:tcPr>
            <w:tcW w:w="2629" w:type="dxa"/>
            <w:vAlign w:val="center"/>
          </w:tcPr>
          <w:p>
            <w:pPr>
              <w:jc w:val="center"/>
              <w:rPr>
                <w:rFonts w:ascii="仿宋_GB2312" w:eastAsia="仿宋_GB2312"/>
                <w:kern w:val="0"/>
                <w:sz w:val="28"/>
                <w:szCs w:val="28"/>
              </w:rPr>
            </w:pPr>
            <w:r>
              <w:rPr>
                <w:rFonts w:hint="eastAsia" w:ascii="黑体" w:hAnsi="黑体" w:eastAsia="黑体" w:cs="黑体"/>
                <w:kern w:val="0"/>
                <w:sz w:val="24"/>
                <w:szCs w:val="24"/>
              </w:rPr>
              <w:t>方案准确率100%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61" w:type="dxa"/>
            <w:vMerge w:val="continue"/>
            <w:vAlign w:val="center"/>
          </w:tcPr>
          <w:p>
            <w:pPr>
              <w:widowControl/>
              <w:jc w:val="left"/>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生态效益指标</w:t>
            </w:r>
          </w:p>
        </w:tc>
        <w:tc>
          <w:tcPr>
            <w:tcW w:w="2062" w:type="dxa"/>
            <w:gridSpan w:val="2"/>
            <w:vAlign w:val="center"/>
          </w:tcPr>
          <w:p>
            <w:pPr>
              <w:jc w:val="center"/>
              <w:rPr>
                <w:rFonts w:ascii="仿宋_GB2312" w:eastAsia="仿宋_GB2312"/>
                <w:kern w:val="0"/>
                <w:sz w:val="28"/>
                <w:szCs w:val="28"/>
              </w:rPr>
            </w:pPr>
            <w:r>
              <w:rPr>
                <w:rFonts w:hint="eastAsia" w:ascii="黑体" w:hAnsi="黑体" w:eastAsia="黑体" w:cs="黑体"/>
                <w:kern w:val="0"/>
                <w:sz w:val="24"/>
                <w:szCs w:val="24"/>
              </w:rPr>
              <w:t>加强被征收房屋拆除工作的监管，严格按环保要求进行</w:t>
            </w:r>
          </w:p>
        </w:tc>
        <w:tc>
          <w:tcPr>
            <w:tcW w:w="2629" w:type="dxa"/>
            <w:vAlign w:val="center"/>
          </w:tcPr>
          <w:p>
            <w:pPr>
              <w:jc w:val="center"/>
              <w:rPr>
                <w:rFonts w:hint="default" w:ascii="仿宋_GB2312" w:eastAsia="仿宋_GB2312"/>
                <w:kern w:val="0"/>
                <w:sz w:val="28"/>
                <w:szCs w:val="28"/>
                <w:lang w:val="en-US" w:eastAsia="zh-CN"/>
              </w:rPr>
            </w:pPr>
            <w:r>
              <w:rPr>
                <w:rFonts w:hint="eastAsia" w:ascii="黑体" w:hAnsi="黑体" w:eastAsia="黑体" w:cs="黑体"/>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61" w:type="dxa"/>
            <w:vMerge w:val="continue"/>
            <w:vAlign w:val="center"/>
          </w:tcPr>
          <w:p>
            <w:pPr>
              <w:widowControl/>
              <w:jc w:val="left"/>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可持续影响指标</w:t>
            </w:r>
          </w:p>
        </w:tc>
        <w:tc>
          <w:tcPr>
            <w:tcW w:w="2062" w:type="dxa"/>
            <w:gridSpan w:val="2"/>
            <w:vAlign w:val="center"/>
          </w:tcPr>
          <w:p>
            <w:pPr>
              <w:jc w:val="center"/>
              <w:rPr>
                <w:rFonts w:ascii="仿宋_GB2312" w:eastAsia="仿宋_GB2312"/>
                <w:kern w:val="0"/>
                <w:sz w:val="28"/>
                <w:szCs w:val="28"/>
              </w:rPr>
            </w:pPr>
            <w:r>
              <w:rPr>
                <w:rFonts w:hint="eastAsia" w:ascii="黑体" w:hAnsi="黑体" w:eastAsia="黑体" w:cs="黑体"/>
                <w:kern w:val="0"/>
                <w:sz w:val="24"/>
                <w:szCs w:val="24"/>
              </w:rPr>
              <w:t>全面推进征收信息系统运用</w:t>
            </w:r>
          </w:p>
        </w:tc>
        <w:tc>
          <w:tcPr>
            <w:tcW w:w="2629" w:type="dxa"/>
            <w:vAlign w:val="center"/>
          </w:tcPr>
          <w:p>
            <w:pPr>
              <w:jc w:val="center"/>
              <w:rPr>
                <w:rFonts w:hint="eastAsia" w:ascii="仿宋_GB2312" w:eastAsia="仿宋_GB2312"/>
                <w:kern w:val="0"/>
                <w:sz w:val="28"/>
                <w:szCs w:val="28"/>
                <w:lang w:eastAsia="zh-CN"/>
              </w:rPr>
            </w:pPr>
            <w:r>
              <w:rPr>
                <w:rFonts w:hint="eastAsia" w:ascii="黑体" w:hAnsi="黑体" w:eastAsia="黑体" w:cs="黑体"/>
                <w:kern w:val="0"/>
                <w:sz w:val="24"/>
                <w:szCs w:val="24"/>
                <w:lang w:eastAsia="zh-CN"/>
              </w:rPr>
              <w:t>年内开通运行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1761" w:type="dxa"/>
            <w:vMerge w:val="continue"/>
            <w:vAlign w:val="center"/>
          </w:tcPr>
          <w:p>
            <w:pPr>
              <w:widowControl/>
              <w:jc w:val="left"/>
              <w:rPr>
                <w:rFonts w:ascii="仿宋_GB2312" w:eastAsia="仿宋_GB2312"/>
                <w:kern w:val="0"/>
                <w:sz w:val="28"/>
                <w:szCs w:val="28"/>
              </w:rPr>
            </w:pPr>
          </w:p>
        </w:tc>
        <w:tc>
          <w:tcPr>
            <w:tcW w:w="1147" w:type="dxa"/>
            <w:vMerge w:val="continue"/>
            <w:vAlign w:val="center"/>
          </w:tcPr>
          <w:p>
            <w:pPr>
              <w:widowControl/>
              <w:jc w:val="center"/>
              <w:rPr>
                <w:rFonts w:ascii="仿宋_GB2312" w:eastAsia="仿宋_GB2312"/>
                <w:kern w:val="0"/>
                <w:sz w:val="28"/>
                <w:szCs w:val="28"/>
              </w:rPr>
            </w:pP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社会公众或服务对象满意度</w:t>
            </w:r>
          </w:p>
        </w:tc>
        <w:tc>
          <w:tcPr>
            <w:tcW w:w="2062" w:type="dxa"/>
            <w:gridSpan w:val="2"/>
            <w:vAlign w:val="center"/>
          </w:tcPr>
          <w:p>
            <w:pPr>
              <w:jc w:val="center"/>
              <w:rPr>
                <w:rFonts w:ascii="黑体" w:hAnsi="宋体" w:eastAsia="黑体" w:cs="黑体"/>
                <w:color w:val="000000"/>
                <w:sz w:val="24"/>
              </w:rPr>
            </w:pPr>
            <w:r>
              <w:rPr>
                <w:rFonts w:hint="eastAsia" w:ascii="黑体" w:hAnsi="宋体" w:eastAsia="黑体" w:cs="黑体"/>
                <w:color w:val="000000"/>
                <w:sz w:val="24"/>
              </w:rPr>
              <w:t>进一步完善各项管理措施，规范征收行为和补偿标准，确保”公开.公平.公正”的征收原则落实到位，让群众满意</w:t>
            </w:r>
          </w:p>
          <w:p>
            <w:pPr>
              <w:rPr>
                <w:rFonts w:ascii="仿宋_GB2312" w:eastAsia="仿宋_GB2312"/>
                <w:kern w:val="0"/>
                <w:sz w:val="28"/>
                <w:szCs w:val="28"/>
              </w:rPr>
            </w:pPr>
          </w:p>
        </w:tc>
        <w:tc>
          <w:tcPr>
            <w:tcW w:w="2629" w:type="dxa"/>
            <w:vAlign w:val="center"/>
          </w:tcPr>
          <w:p>
            <w:pPr>
              <w:jc w:val="center"/>
              <w:rPr>
                <w:rFonts w:hint="default" w:ascii="仿宋_GB2312" w:eastAsia="黑体"/>
                <w:kern w:val="0"/>
                <w:sz w:val="28"/>
                <w:szCs w:val="28"/>
                <w:lang w:val="en-US" w:eastAsia="zh-CN"/>
              </w:rPr>
            </w:pPr>
            <w:r>
              <w:rPr>
                <w:rFonts w:hint="eastAsia" w:ascii="黑体" w:hAnsi="宋体" w:eastAsia="黑体" w:cs="黑体"/>
                <w:color w:val="000000"/>
                <w:sz w:val="24"/>
              </w:rPr>
              <w:t>群众满意度提高</w:t>
            </w:r>
            <w:r>
              <w:rPr>
                <w:rFonts w:hint="eastAsia" w:ascii="黑体" w:hAnsi="宋体" w:eastAsia="黑体" w:cs="黑体"/>
                <w:color w:val="000000"/>
                <w:sz w:val="24"/>
                <w:lang w:val="en-US" w:eastAsia="zh-CN"/>
              </w:rPr>
              <w:t>90%</w:t>
            </w:r>
          </w:p>
        </w:tc>
      </w:tr>
    </w:tbl>
    <w:p>
      <w:pPr>
        <w:widowControl/>
        <w:tabs>
          <w:tab w:val="left" w:pos="1333"/>
          <w:tab w:val="left" w:pos="3793"/>
          <w:tab w:val="left" w:pos="5853"/>
        </w:tabs>
        <w:jc w:val="left"/>
        <w:rPr>
          <w:kern w:val="0"/>
          <w:sz w:val="28"/>
          <w:szCs w:val="28"/>
        </w:rPr>
      </w:pPr>
    </w:p>
    <w:p>
      <w:pPr>
        <w:widowControl/>
        <w:tabs>
          <w:tab w:val="left" w:pos="1333"/>
          <w:tab w:val="left" w:pos="3793"/>
          <w:tab w:val="left" w:pos="5853"/>
        </w:tabs>
        <w:jc w:val="left"/>
        <w:rPr>
          <w:rFonts w:ascii="仿宋_GB2312" w:eastAsia="仿宋_GB2312"/>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NjVmZjZhYzlkMDQ5YTg3ZjZkODc0NWYyMDBiODgifQ=="/>
  </w:docVars>
  <w:rsids>
    <w:rsidRoot w:val="49E924D4"/>
    <w:rsid w:val="004812FF"/>
    <w:rsid w:val="00E93F25"/>
    <w:rsid w:val="09470104"/>
    <w:rsid w:val="0C013BCC"/>
    <w:rsid w:val="0FB73380"/>
    <w:rsid w:val="15951F88"/>
    <w:rsid w:val="197304F0"/>
    <w:rsid w:val="1AFC4CEC"/>
    <w:rsid w:val="1DF93765"/>
    <w:rsid w:val="204C58AF"/>
    <w:rsid w:val="29557458"/>
    <w:rsid w:val="2AAA0A12"/>
    <w:rsid w:val="2E3B14EA"/>
    <w:rsid w:val="2E896534"/>
    <w:rsid w:val="33117700"/>
    <w:rsid w:val="3F865EEF"/>
    <w:rsid w:val="417D15C5"/>
    <w:rsid w:val="43DB394E"/>
    <w:rsid w:val="49E924D4"/>
    <w:rsid w:val="54CA2650"/>
    <w:rsid w:val="57EF5E3C"/>
    <w:rsid w:val="5BD31A51"/>
    <w:rsid w:val="5F451E02"/>
    <w:rsid w:val="63351A19"/>
    <w:rsid w:val="685D09C3"/>
    <w:rsid w:val="69A578CA"/>
    <w:rsid w:val="6B5D488D"/>
    <w:rsid w:val="6F882542"/>
    <w:rsid w:val="70447EDA"/>
    <w:rsid w:val="759251A6"/>
    <w:rsid w:val="76564426"/>
    <w:rsid w:val="7E04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1281</Words>
  <Characters>1337</Characters>
  <Lines>10</Lines>
  <Paragraphs>2</Paragraphs>
  <TotalTime>5</TotalTime>
  <ScaleCrop>false</ScaleCrop>
  <LinksUpToDate>false</LinksUpToDate>
  <CharactersWithSpaces>1379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2020-12-09T00:42:00Z</dcterms:created>
  <dc:creator>Administrator</dc:creator>
  <cp:lastModifiedBy>天空</cp:lastModifiedBy>
  <cp:lastPrinted>2020-12-11T00:06:00Z</cp:lastPrinted>
  <dcterms:modified xsi:type="dcterms:W3CDTF">2022-07-19T01:16:34Z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59A91832196E41E5BA71CCB0F8EDB97E</vt:lpwstr>
  </property>
</Properties>
</file>