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宋体" w:eastAsia="仿宋_GB2312"/>
          <w:b/>
          <w:sz w:val="32"/>
          <w:szCs w:val="32"/>
          <w:lang w:val="en-US" w:eastAsia="zh-CN"/>
        </w:rPr>
      </w:pPr>
    </w:p>
    <w:p>
      <w:pPr>
        <w:spacing w:line="600" w:lineRule="exact"/>
        <w:rPr>
          <w:rFonts w:ascii="宋体" w:hAnsi="宋体"/>
          <w:b/>
          <w:sz w:val="32"/>
          <w:szCs w:val="32"/>
          <w:lang w:val="en-US" w:eastAsia="zh-CN"/>
        </w:rPr>
      </w:pPr>
    </w:p>
    <w:p>
      <w:pPr>
        <w:spacing w:line="600" w:lineRule="exact"/>
        <w:jc w:val="center"/>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b/>
          <w:bCs w:val="0"/>
          <w:sz w:val="44"/>
          <w:szCs w:val="44"/>
          <w:lang w:val="en-US" w:eastAsia="zh-CN"/>
        </w:rPr>
        <w:t>邵阳市人民政府房屋征收管理办公室2021年财政预算信息</w:t>
      </w:r>
    </w:p>
    <w:p>
      <w:pPr>
        <w:spacing w:line="600" w:lineRule="exact"/>
        <w:jc w:val="center"/>
        <w:rPr>
          <w:rFonts w:eastAsia="方正小标宋_GBK"/>
          <w:bCs/>
          <w:sz w:val="44"/>
          <w:szCs w:val="44"/>
          <w:lang w:val="en-US" w:eastAsia="zh-CN"/>
        </w:rPr>
      </w:pPr>
    </w:p>
    <w:p>
      <w:pPr>
        <w:spacing w:line="600" w:lineRule="exact"/>
        <w:jc w:val="center"/>
        <w:rPr>
          <w:rFonts w:eastAsia="方正小标宋_GBK"/>
          <w:b/>
          <w:sz w:val="44"/>
          <w:szCs w:val="44"/>
          <w:lang w:val="en-US" w:eastAsia="zh-CN"/>
        </w:rPr>
      </w:pPr>
    </w:p>
    <w:p>
      <w:pPr>
        <w:jc w:val="center"/>
        <w:rPr>
          <w:rFonts w:ascii="黑体" w:hAnsi="宋体" w:eastAsia="黑体"/>
          <w:b/>
          <w:bCs/>
          <w:sz w:val="32"/>
          <w:szCs w:val="32"/>
          <w:lang w:eastAsia="zh-CN"/>
        </w:rPr>
      </w:pPr>
      <w:r>
        <w:rPr>
          <w:rFonts w:hint="eastAsia" w:ascii="黑体" w:hAnsi="宋体" w:eastAsia="黑体"/>
          <w:b/>
          <w:bCs/>
          <w:sz w:val="32"/>
          <w:szCs w:val="32"/>
          <w:lang w:eastAsia="zh-CN"/>
        </w:rPr>
        <w:t>目</w:t>
      </w:r>
      <w:r>
        <w:rPr>
          <w:rFonts w:hint="eastAsia" w:ascii="黑体" w:hAnsi="宋体" w:eastAsia="黑体"/>
          <w:b/>
          <w:bCs/>
          <w:sz w:val="32"/>
          <w:szCs w:val="32"/>
        </w:rPr>
        <w:t xml:space="preserve">   </w:t>
      </w:r>
      <w:r>
        <w:rPr>
          <w:rFonts w:hint="eastAsia" w:ascii="黑体" w:hAnsi="宋体" w:eastAsia="黑体"/>
          <w:b/>
          <w:bCs/>
          <w:sz w:val="32"/>
          <w:szCs w:val="32"/>
          <w:lang w:eastAsia="zh-CN"/>
        </w:rPr>
        <w:t>录</w:t>
      </w:r>
    </w:p>
    <w:p>
      <w:pPr>
        <w:jc w:val="center"/>
        <w:rPr>
          <w:rStyle w:val="7"/>
          <w:rFonts w:ascii="微软雅黑" w:hAnsi="微软雅黑" w:eastAsia="微软雅黑"/>
          <w:color w:val="404040"/>
          <w:sz w:val="28"/>
          <w:szCs w:val="28"/>
        </w:rPr>
      </w:pPr>
    </w:p>
    <w:p>
      <w:pPr>
        <w:shd w:val="clear" w:color="auto" w:fill="FFFFFF"/>
        <w:spacing w:before="100" w:beforeAutospacing="1" w:after="300" w:line="480" w:lineRule="auto"/>
        <w:rPr>
          <w:rFonts w:ascii="黑体" w:hAnsi="宋体" w:eastAsia="黑体"/>
          <w:sz w:val="32"/>
          <w:szCs w:val="32"/>
          <w:lang w:eastAsia="zh-CN"/>
        </w:rPr>
      </w:pPr>
      <w:r>
        <w:rPr>
          <w:rFonts w:hint="eastAsia" w:ascii="黑体" w:hAnsi="宋体" w:eastAsia="黑体"/>
          <w:sz w:val="32"/>
          <w:szCs w:val="32"/>
          <w:lang w:eastAsia="zh-CN"/>
        </w:rPr>
        <w:t>第一部分、2021年度部门预算情况说明</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一、部门基本概况</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二、部门预算单位构成</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三、部门收支总体情况</w:t>
      </w:r>
    </w:p>
    <w:p>
      <w:pPr>
        <w:shd w:val="clear" w:color="auto" w:fill="FFFFFF"/>
        <w:spacing w:before="100" w:beforeAutospacing="1" w:after="300" w:line="480" w:lineRule="auto"/>
        <w:rPr>
          <w:rFonts w:hint="eastAsia" w:ascii="仿宋_GB2312" w:hAnsi="宋体" w:eastAsia="仿宋_GB2312" w:cs="Arial"/>
          <w:color w:val="333333"/>
          <w:sz w:val="32"/>
          <w:szCs w:val="32"/>
          <w:shd w:val="clear" w:color="auto" w:fill="FFFFFF"/>
          <w:lang w:val="en-US" w:eastAsia="zh-CN"/>
        </w:rPr>
      </w:pPr>
      <w:r>
        <w:rPr>
          <w:rFonts w:hint="eastAsia" w:ascii="仿宋_GB2312" w:hAnsi="宋体" w:eastAsia="仿宋_GB2312" w:cs="Arial"/>
          <w:color w:val="333333"/>
          <w:sz w:val="32"/>
          <w:szCs w:val="32"/>
          <w:shd w:val="clear" w:color="auto" w:fill="FFFFFF"/>
          <w:lang w:eastAsia="zh-CN"/>
        </w:rPr>
        <w:t>四、一般公共预算拨款支出预算</w:t>
      </w:r>
      <w:r>
        <w:rPr>
          <w:rFonts w:hint="eastAsia" w:ascii="仿宋_GB2312" w:hAnsi="宋体" w:eastAsia="仿宋_GB2312" w:cs="Arial"/>
          <w:color w:val="333333"/>
          <w:sz w:val="32"/>
          <w:szCs w:val="32"/>
          <w:shd w:val="clear" w:color="auto" w:fill="FFFFFF"/>
          <w:lang w:val="en-US" w:eastAsia="zh-CN"/>
        </w:rPr>
        <w:t xml:space="preserve">  </w:t>
      </w:r>
    </w:p>
    <w:p>
      <w:pPr>
        <w:shd w:val="clear" w:color="auto" w:fill="FFFFFF"/>
        <w:spacing w:before="100" w:beforeAutospacing="1" w:after="300" w:line="480" w:lineRule="auto"/>
        <w:rPr>
          <w:rFonts w:ascii="仿宋_GB2312" w:hAnsi="宋体" w:eastAsia="仿宋_GB2312" w:cs="Arial"/>
          <w:b w:val="0"/>
          <w:bCs w:val="0"/>
          <w:color w:val="333333"/>
          <w:sz w:val="32"/>
          <w:szCs w:val="32"/>
          <w:shd w:val="clear" w:color="auto" w:fill="FFFFFF"/>
          <w:lang w:eastAsia="zh-CN"/>
        </w:rPr>
      </w:pPr>
      <w:r>
        <w:rPr>
          <w:rFonts w:hint="eastAsia" w:ascii="仿宋_GB2312" w:hAnsi="宋体" w:eastAsia="仿宋_GB2312" w:cs="Arial"/>
          <w:b w:val="0"/>
          <w:bCs w:val="0"/>
          <w:color w:val="333333"/>
          <w:sz w:val="32"/>
          <w:szCs w:val="32"/>
          <w:shd w:val="clear" w:color="auto" w:fill="FFFFFF"/>
          <w:lang w:eastAsia="zh-CN"/>
        </w:rPr>
        <w:t>五、</w:t>
      </w:r>
      <w:r>
        <w:rPr>
          <w:rFonts w:hint="eastAsia" w:ascii="仿宋" w:hAnsi="仿宋" w:eastAsia="仿宋" w:cs="仿宋"/>
          <w:b w:val="0"/>
          <w:bCs w:val="0"/>
          <w:sz w:val="32"/>
          <w:szCs w:val="32"/>
        </w:rPr>
        <w:t>政府性基金预算支出</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六、其他重要事项的情况说明</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七、名词解释</w:t>
      </w:r>
    </w:p>
    <w:p>
      <w:pPr>
        <w:shd w:val="clear" w:color="auto" w:fill="FFFFFF"/>
        <w:spacing w:before="100" w:beforeAutospacing="1" w:after="300" w:line="480" w:lineRule="auto"/>
        <w:rPr>
          <w:rFonts w:ascii="黑体" w:hAnsi="宋体" w:eastAsia="黑体"/>
          <w:sz w:val="32"/>
          <w:szCs w:val="32"/>
          <w:lang w:eastAsia="zh-CN"/>
        </w:rPr>
      </w:pPr>
      <w:r>
        <w:rPr>
          <w:rFonts w:hint="eastAsia" w:ascii="黑体" w:hAnsi="宋体" w:eastAsia="黑体"/>
          <w:sz w:val="32"/>
          <w:szCs w:val="32"/>
          <w:lang w:eastAsia="zh-CN"/>
        </w:rPr>
        <w:t>第二部分、20</w:t>
      </w:r>
      <w:r>
        <w:rPr>
          <w:rFonts w:hint="eastAsia" w:ascii="黑体" w:hAnsi="宋体" w:eastAsia="黑体"/>
          <w:sz w:val="32"/>
          <w:szCs w:val="32"/>
          <w:lang w:val="en-US" w:eastAsia="zh-CN"/>
        </w:rPr>
        <w:t>21</w:t>
      </w:r>
      <w:r>
        <w:rPr>
          <w:rFonts w:hint="eastAsia" w:ascii="黑体" w:hAnsi="宋体" w:eastAsia="黑体"/>
          <w:sz w:val="32"/>
          <w:szCs w:val="32"/>
          <w:lang w:eastAsia="zh-CN"/>
        </w:rPr>
        <w:t>年度部门预算报表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一、部门收支总表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二、部门收入总表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三、部门支出总表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四、财政拨款收支总表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五、一般公共预算支出表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六、一般公共预算基本支出表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七、政府性基金预算支出表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八、"三公"经费支出表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九、政府采购预算表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十、一般性支出预算表</w:t>
      </w:r>
    </w:p>
    <w:p>
      <w:pPr>
        <w:shd w:val="clear" w:color="auto" w:fill="FFFFFF"/>
        <w:spacing w:before="100" w:beforeAutospacing="1" w:after="300" w:line="480" w:lineRule="auto"/>
        <w:rPr>
          <w:rFonts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十一、新增资产申报表</w:t>
      </w:r>
    </w:p>
    <w:p>
      <w:pPr>
        <w:shd w:val="clear" w:color="auto" w:fill="FFFFFF"/>
        <w:spacing w:before="100" w:beforeAutospacing="1" w:after="300" w:line="480" w:lineRule="auto"/>
        <w:rPr>
          <w:rFonts w:hint="eastAsia" w:ascii="仿宋_GB2312" w:hAnsi="宋体" w:eastAsia="仿宋_GB2312" w:cs="Arial"/>
          <w:color w:val="333333"/>
          <w:sz w:val="32"/>
          <w:szCs w:val="32"/>
          <w:shd w:val="clear" w:color="auto" w:fill="FFFFFF"/>
          <w:lang w:eastAsia="zh-CN"/>
        </w:rPr>
      </w:pPr>
      <w:r>
        <w:rPr>
          <w:rFonts w:hint="eastAsia" w:ascii="仿宋_GB2312" w:hAnsi="宋体" w:eastAsia="仿宋_GB2312" w:cs="Arial"/>
          <w:color w:val="333333"/>
          <w:sz w:val="32"/>
          <w:szCs w:val="32"/>
          <w:shd w:val="clear" w:color="auto" w:fill="FFFFFF"/>
          <w:lang w:eastAsia="zh-CN"/>
        </w:rPr>
        <w:t>十二、20</w:t>
      </w:r>
      <w:r>
        <w:rPr>
          <w:rFonts w:hint="eastAsia" w:ascii="仿宋_GB2312" w:hAnsi="宋体" w:eastAsia="仿宋_GB2312" w:cs="Arial"/>
          <w:color w:val="333333"/>
          <w:sz w:val="32"/>
          <w:szCs w:val="32"/>
          <w:shd w:val="clear" w:color="auto" w:fill="FFFFFF"/>
          <w:lang w:val="en-US" w:eastAsia="zh-CN"/>
        </w:rPr>
        <w:t>21</w:t>
      </w:r>
      <w:r>
        <w:rPr>
          <w:rFonts w:hint="eastAsia" w:ascii="仿宋_GB2312" w:hAnsi="宋体" w:eastAsia="仿宋_GB2312" w:cs="Arial"/>
          <w:color w:val="333333"/>
          <w:sz w:val="32"/>
          <w:szCs w:val="32"/>
          <w:shd w:val="clear" w:color="auto" w:fill="FFFFFF"/>
          <w:lang w:eastAsia="zh-CN"/>
        </w:rPr>
        <w:t>年部门整体支出绩效目标申报表</w:t>
      </w:r>
      <w:bookmarkStart w:id="0" w:name="_GoBack"/>
      <w:bookmarkEnd w:id="0"/>
    </w:p>
    <w:p>
      <w:pPr>
        <w:shd w:val="clear" w:color="auto" w:fill="FFFFFF"/>
        <w:spacing w:before="100" w:beforeAutospacing="1" w:after="300" w:line="480" w:lineRule="auto"/>
        <w:rPr>
          <w:rFonts w:hint="default" w:ascii="仿宋_GB2312" w:hAnsi="宋体" w:eastAsia="仿宋_GB2312" w:cs="Arial"/>
          <w:color w:val="333333"/>
          <w:sz w:val="32"/>
          <w:szCs w:val="32"/>
          <w:shd w:val="clear" w:color="auto" w:fill="FFFFFF"/>
          <w:lang w:val="en-US" w:eastAsia="zh-CN"/>
        </w:rPr>
      </w:pPr>
      <w:r>
        <w:rPr>
          <w:rFonts w:hint="eastAsia" w:ascii="仿宋_GB2312" w:hAnsi="宋体" w:eastAsia="仿宋_GB2312" w:cs="Arial"/>
          <w:color w:val="333333"/>
          <w:sz w:val="32"/>
          <w:szCs w:val="32"/>
          <w:shd w:val="clear" w:color="auto" w:fill="FFFFFF"/>
          <w:lang w:val="en-US" w:eastAsia="zh-CN"/>
        </w:rPr>
        <w:t>十三、2021年项目支出绩效目标表</w:t>
      </w:r>
    </w:p>
    <w:p>
      <w:pPr>
        <w:spacing w:line="600" w:lineRule="exact"/>
        <w:jc w:val="center"/>
        <w:rPr>
          <w:rFonts w:eastAsia="黑体"/>
          <w:bCs/>
          <w:sz w:val="32"/>
          <w:szCs w:val="32"/>
          <w:lang w:val="en-US" w:eastAsia="zh-CN"/>
        </w:rPr>
      </w:pPr>
    </w:p>
    <w:p>
      <w:pPr>
        <w:spacing w:line="600" w:lineRule="exact"/>
        <w:jc w:val="center"/>
        <w:rPr>
          <w:rFonts w:hint="eastAsia" w:eastAsia="黑体"/>
          <w:bCs/>
          <w:sz w:val="32"/>
          <w:szCs w:val="32"/>
          <w:lang w:val="en-US" w:eastAsia="zh-CN"/>
        </w:rPr>
        <w:sectPr>
          <w:footerReference r:id="rId3" w:type="default"/>
          <w:pgSz w:w="12240" w:h="15840"/>
          <w:pgMar w:top="1440" w:right="1800" w:bottom="1440" w:left="1800" w:header="720" w:footer="720" w:gutter="0"/>
          <w:pgNumType w:start="1"/>
          <w:cols w:space="720" w:num="1"/>
        </w:sectPr>
      </w:pPr>
    </w:p>
    <w:p>
      <w:pPr>
        <w:spacing w:line="600" w:lineRule="exact"/>
        <w:jc w:val="center"/>
        <w:rPr>
          <w:rFonts w:eastAsia="黑体"/>
          <w:bCs/>
          <w:sz w:val="32"/>
          <w:szCs w:val="32"/>
          <w:lang w:val="en-US" w:eastAsia="zh-CN"/>
        </w:rPr>
      </w:pPr>
      <w:r>
        <w:rPr>
          <w:rFonts w:hint="eastAsia" w:eastAsia="黑体"/>
          <w:bCs/>
          <w:sz w:val="32"/>
          <w:szCs w:val="32"/>
          <w:lang w:val="en-US" w:eastAsia="zh-CN"/>
        </w:rPr>
        <w:t>第一部分</w:t>
      </w:r>
      <w:r>
        <w:rPr>
          <w:rFonts w:eastAsia="黑体"/>
          <w:bCs/>
          <w:sz w:val="32"/>
          <w:szCs w:val="32"/>
          <w:lang w:val="en-US" w:eastAsia="zh-CN"/>
        </w:rPr>
        <mc:AlternateContent>
          <mc:Choice Requires="wps">
            <w:drawing>
              <wp:anchor distT="0" distB="0" distL="114300" distR="114300" simplePos="0" relativeHeight="251659264" behindDoc="0" locked="0" layoutInCell="1" allowOverlap="1">
                <wp:simplePos x="0" y="0"/>
                <wp:positionH relativeFrom="page">
                  <wp:posOffset>1143000</wp:posOffset>
                </wp:positionH>
                <wp:positionV relativeFrom="page">
                  <wp:posOffset>783590</wp:posOffset>
                </wp:positionV>
                <wp:extent cx="5486400" cy="130810"/>
                <wp:effectExtent l="0" t="0" r="0" b="2540"/>
                <wp:wrapNone/>
                <wp:docPr id="1" name="_tx_ignore"/>
                <wp:cNvGraphicFramePr/>
                <a:graphic xmlns:a="http://schemas.openxmlformats.org/drawingml/2006/main">
                  <a:graphicData uri="http://schemas.microsoft.com/office/word/2010/wordprocessingShape">
                    <wps:wsp>
                      <wps:cNvSpPr txBox="1"/>
                      <wps:spPr>
                        <a:xfrm>
                          <a:off x="0" y="0"/>
                          <a:ext cx="5486400" cy="130810"/>
                        </a:xfrm>
                        <a:prstGeom prst="rect">
                          <a:avLst/>
                        </a:prstGeom>
                        <a:solidFill>
                          <a:srgbClr val="FFFFFF"/>
                        </a:solidFill>
                        <a:ln>
                          <a:noFill/>
                        </a:ln>
                      </wps:spPr>
                      <wps:txbx>
                        <w:txbxContent>
                          <w:p>
                            <w:pPr>
                              <w:pStyle w:val="10"/>
                              <w:rPr>
                                <w:rFonts w:ascii="Arial" w:hAnsi="Arial" w:eastAsia="Arial"/>
                                <w:b/>
                                <w:color w:val="808080"/>
                                <w:sz w:val="12"/>
                              </w:rPr>
                            </w:pPr>
                          </w:p>
                        </w:txbxContent>
                      </wps:txbx>
                      <wps:bodyPr lIns="0" tIns="0" rIns="0" bIns="0" upright="1"/>
                    </wps:wsp>
                  </a:graphicData>
                </a:graphic>
              </wp:anchor>
            </w:drawing>
          </mc:Choice>
          <mc:Fallback>
            <w:pict>
              <v:shape id="_tx_ignore" o:spid="_x0000_s1026" o:spt="202" type="#_x0000_t202" style="position:absolute;left:0pt;margin-left:90pt;margin-top:61.7pt;height:10.3pt;width:432pt;mso-position-horizontal-relative:page;mso-position-vertical-relative:page;z-index:251659264;mso-width-relative:page;mso-height-relative:page;" fillcolor="#FFFFFF" filled="t" stroked="f" coordsize="21600,21600" o:gfxdata="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9GkytYAAAAMAQAADwAAAAAAAAABACAAAAAiAAAAZHJzL2Rvd25yZXYueG1s&#10;UEsBAhQAFAAAAAgAh07iQIg7lxDBAQAAmgMAAA4AAAAAAAAAAQAgAAAAJQEAAGRycy9lMm9Eb2Mu&#10;eG1sUEsFBgAAAAAGAAYAWQEAAFgFAAAAAA==&#10;">
                <v:fill on="t" focussize="0,0"/>
                <v:stroke on="f"/>
                <v:imagedata o:title=""/>
                <o:lock v:ext="edit" aspectratio="f"/>
                <v:textbox inset="0mm,0mm,0mm,0mm">
                  <w:txbxContent>
                    <w:p>
                      <w:pPr>
                        <w:pStyle w:val="10"/>
                        <w:rPr>
                          <w:rFonts w:ascii="Arial" w:hAnsi="Arial" w:eastAsia="Arial"/>
                          <w:b/>
                          <w:color w:val="808080"/>
                          <w:sz w:val="12"/>
                        </w:rPr>
                      </w:pPr>
                    </w:p>
                  </w:txbxContent>
                </v:textbox>
              </v:shape>
            </w:pict>
          </mc:Fallback>
        </mc:AlternateContent>
      </w:r>
      <w:r>
        <w:rPr>
          <w:rFonts w:hint="eastAsia" w:eastAsia="黑体"/>
          <w:bCs/>
          <w:sz w:val="32"/>
          <w:szCs w:val="32"/>
          <w:lang w:val="en-US" w:eastAsia="zh-CN"/>
        </w:rPr>
        <w:t xml:space="preserve">  </w:t>
      </w:r>
      <w:r>
        <w:rPr>
          <w:rStyle w:val="7"/>
          <w:rFonts w:hint="eastAsia" w:ascii="宋体" w:hAnsi="宋体" w:cs="宋体"/>
          <w:color w:val="404040"/>
          <w:sz w:val="24"/>
          <w:szCs w:val="24"/>
          <w:shd w:val="clear" w:color="auto" w:fill="FFFFFF"/>
          <w:lang w:val="en-US" w:eastAsia="zh-CN"/>
        </w:rPr>
        <w:t xml:space="preserve">  </w:t>
      </w:r>
      <w:r>
        <w:rPr>
          <w:rFonts w:hint="default" w:eastAsia="黑体"/>
          <w:bCs/>
          <w:sz w:val="32"/>
          <w:szCs w:val="32"/>
          <w:lang w:val="en-US" w:eastAsia="zh-CN"/>
        </w:rPr>
        <w:t>邵阳市人民政府房屋征收管理办公室</w:t>
      </w:r>
      <w:r>
        <w:rPr>
          <w:rFonts w:hint="eastAsia" w:eastAsia="黑体"/>
          <w:bCs/>
          <w:sz w:val="32"/>
          <w:szCs w:val="32"/>
          <w:lang w:val="en-US" w:eastAsia="zh-CN"/>
        </w:rPr>
        <w:t>部门</w:t>
      </w:r>
      <w:r>
        <w:rPr>
          <w:rFonts w:eastAsia="黑体"/>
          <w:bCs/>
          <w:sz w:val="32"/>
          <w:szCs w:val="32"/>
          <w:lang w:val="en-US" w:eastAsia="zh-CN"/>
        </w:rPr>
        <w:t>20</w:t>
      </w:r>
      <w:r>
        <w:rPr>
          <w:rFonts w:hint="eastAsia" w:eastAsia="黑体"/>
          <w:bCs/>
          <w:sz w:val="32"/>
          <w:szCs w:val="32"/>
          <w:lang w:val="en-US" w:eastAsia="zh-CN"/>
        </w:rPr>
        <w:t>21</w:t>
      </w:r>
      <w:r>
        <w:rPr>
          <w:rFonts w:eastAsia="黑体"/>
          <w:bCs/>
          <w:sz w:val="32"/>
          <w:szCs w:val="32"/>
          <w:lang w:val="en-US" w:eastAsia="zh-CN"/>
        </w:rPr>
        <w:t>年</w:t>
      </w:r>
      <w:r>
        <w:rPr>
          <w:rFonts w:hint="eastAsia" w:eastAsia="黑体"/>
          <w:bCs/>
          <w:sz w:val="32"/>
          <w:szCs w:val="32"/>
          <w:lang w:val="en-US" w:eastAsia="zh-CN"/>
        </w:rPr>
        <w:t>部门</w:t>
      </w:r>
      <w:r>
        <w:rPr>
          <w:rFonts w:eastAsia="黑体"/>
          <w:bCs/>
          <w:sz w:val="32"/>
          <w:szCs w:val="32"/>
          <w:lang w:val="en-US" w:eastAsia="zh-CN"/>
        </w:rPr>
        <w:t>预算编制说明</w:t>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360" w:lineRule="auto"/>
        <w:ind w:firstLine="360" w:firstLineChars="200"/>
        <w:jc w:val="both"/>
        <w:textAlignment w:val="auto"/>
        <w:rPr>
          <w:sz w:val="18"/>
          <w:szCs w:val="18"/>
        </w:rPr>
      </w:pP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ascii="黑体" w:eastAsia="黑体"/>
          <w:sz w:val="32"/>
          <w:szCs w:val="32"/>
        </w:rPr>
      </w:pPr>
      <w:r>
        <w:rPr>
          <w:rFonts w:hint="eastAsia" w:ascii="黑体" w:eastAsia="黑体"/>
          <w:sz w:val="32"/>
          <w:szCs w:val="32"/>
        </w:rPr>
        <w:t>一、部门基本概况</w:t>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3" w:firstLineChars="200"/>
        <w:jc w:val="both"/>
        <w:textAlignment w:val="auto"/>
        <w:rPr>
          <w:rFonts w:hint="eastAsia" w:ascii="仿宋_GB2312" w:eastAsia="仿宋_GB2312" w:cs="Arial"/>
          <w:b/>
          <w:bCs/>
          <w:color w:val="333333"/>
          <w:sz w:val="32"/>
          <w:szCs w:val="32"/>
          <w:shd w:val="clear" w:color="auto" w:fill="FFFFFF"/>
        </w:rPr>
      </w:pPr>
      <w:r>
        <w:rPr>
          <w:rFonts w:hint="eastAsia" w:ascii="仿宋_GB2312" w:eastAsia="仿宋_GB2312" w:cs="Arial"/>
          <w:b/>
          <w:bCs/>
          <w:color w:val="333333"/>
          <w:sz w:val="32"/>
          <w:szCs w:val="32"/>
          <w:shd w:val="clear" w:color="auto" w:fill="FFFFFF"/>
        </w:rPr>
        <w:t>（一）职责职能</w:t>
      </w:r>
      <w:r>
        <w:rPr>
          <w:rFonts w:hint="eastAsia" w:ascii="仿宋_GB2312" w:eastAsia="仿宋_GB2312" w:cs="Arial"/>
          <w:b/>
          <w:bCs/>
          <w:color w:val="333333"/>
          <w:sz w:val="32"/>
          <w:szCs w:val="32"/>
          <w:shd w:val="clear" w:color="auto" w:fill="FFFFFF"/>
        </w:rPr>
        <w:tab/>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rPr>
        <w:t>1</w:t>
      </w:r>
      <w:r>
        <w:rPr>
          <w:rFonts w:hint="eastAsia" w:ascii="仿宋_GB2312" w:hAnsi="仿宋_GB2312" w:eastAsia="仿宋_GB2312" w:cs="仿宋_GB2312"/>
          <w:color w:val="000000"/>
          <w:sz w:val="32"/>
          <w:szCs w:val="32"/>
        </w:rPr>
        <w:t>）审核区人民政府房屋征收补偿方案；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rPr>
        <w:t>2</w:t>
      </w:r>
      <w:r>
        <w:rPr>
          <w:rFonts w:hint="eastAsia" w:ascii="仿宋_GB2312" w:hAnsi="仿宋_GB2312" w:eastAsia="仿宋_GB2312" w:cs="仿宋_GB2312"/>
          <w:color w:val="000000"/>
          <w:sz w:val="32"/>
          <w:szCs w:val="32"/>
        </w:rPr>
        <w:t>）负责市区房屋征收补偿资金的归集专户储存、划拨和使用监管；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rPr>
        <w:t>3</w:t>
      </w:r>
      <w:r>
        <w:rPr>
          <w:rFonts w:hint="eastAsia" w:ascii="仿宋_GB2312" w:hAnsi="仿宋_GB2312" w:eastAsia="仿宋_GB2312" w:cs="仿宋_GB2312"/>
          <w:color w:val="000000"/>
          <w:sz w:val="32"/>
          <w:szCs w:val="32"/>
        </w:rPr>
        <w:t>）审定市区房屋征收项目的征收成本费用概决算；审核区人民政府征收项目一榜二榜公示公告；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rPr>
        <w:t>4</w:t>
      </w:r>
      <w:r>
        <w:rPr>
          <w:rFonts w:hint="eastAsia" w:ascii="仿宋_GB2312" w:hAnsi="仿宋_GB2312" w:eastAsia="仿宋_GB2312" w:cs="仿宋_GB2312"/>
          <w:color w:val="000000"/>
          <w:sz w:val="32"/>
          <w:szCs w:val="32"/>
        </w:rPr>
        <w:t>）组织有关部门和人员依程序选定房屋评估机构，并委托选定的房屋评估机构对征收项目房屋进行评估；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rPr>
        <w:t>5</w:t>
      </w:r>
      <w:r>
        <w:rPr>
          <w:rFonts w:hint="eastAsia" w:ascii="仿宋_GB2312" w:hAnsi="仿宋_GB2312" w:eastAsia="仿宋_GB2312" w:cs="仿宋_GB2312"/>
          <w:color w:val="000000"/>
          <w:sz w:val="32"/>
          <w:szCs w:val="32"/>
        </w:rPr>
        <w:t>）协助参与并监督区人民政府房屋调查摸底前期工作。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rPr>
        <w:t>6</w:t>
      </w:r>
      <w:r>
        <w:rPr>
          <w:rFonts w:hint="eastAsia" w:ascii="仿宋_GB2312" w:hAnsi="仿宋_GB2312" w:eastAsia="仿宋_GB2312" w:cs="仿宋_GB2312"/>
          <w:color w:val="000000"/>
          <w:sz w:val="32"/>
          <w:szCs w:val="32"/>
        </w:rPr>
        <w:t>）建立全市统一的房屋征收信息管理平台，共享房屋征收信息；建立评估机构信用管理制度，定期向社会公布评估机构信用名录；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rPr>
        <w:t>7</w:t>
      </w:r>
      <w:r>
        <w:rPr>
          <w:rFonts w:hint="eastAsia" w:ascii="仿宋_GB2312" w:hAnsi="仿宋_GB2312" w:eastAsia="仿宋_GB2312" w:cs="仿宋_GB2312"/>
          <w:color w:val="000000"/>
          <w:sz w:val="32"/>
          <w:szCs w:val="32"/>
        </w:rPr>
        <w:t>）代表市人民政府对区人民政府交办项目征收工作任务；对全市征收决定、征收补偿决定和相关公开公示制度执行情况进行监督检查；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rPr>
        <w:t>8</w:t>
      </w:r>
      <w:r>
        <w:rPr>
          <w:rFonts w:hint="eastAsia" w:ascii="仿宋_GB2312" w:hAnsi="仿宋_GB2312" w:eastAsia="仿宋_GB2312" w:cs="仿宋_GB2312"/>
          <w:color w:val="000000"/>
          <w:sz w:val="32"/>
          <w:szCs w:val="32"/>
        </w:rPr>
        <w:t>）负责贯彻执行国有土地上房屋征收与补偿的法律、法规和政策，拟定本行政区域内国有土地上房屋征收与补偿的有关规定，报市人民政府批准后执行；对县市区房屋征收部门的征收与补偿工作、房屋征收实施单位的征收与补偿行为进行指导和监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rPr>
        <w:t>9</w:t>
      </w:r>
      <w:r>
        <w:rPr>
          <w:rFonts w:hint="eastAsia" w:ascii="仿宋_GB2312" w:hAnsi="仿宋_GB2312" w:eastAsia="仿宋_GB2312" w:cs="仿宋_GB2312"/>
          <w:color w:val="000000"/>
          <w:sz w:val="32"/>
          <w:szCs w:val="32"/>
        </w:rPr>
        <w:t>）具体负责跨区重大建设项目及邵阳经开区范围内国有土地上的房屋征收与补偿工作；</w:t>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color w:val="000000"/>
          <w:sz w:val="32"/>
          <w:szCs w:val="32"/>
          <w:shd w:val="clear" w:color="FFFFFF" w:fill="FFFFFF"/>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rPr>
        <w:t>10</w:t>
      </w:r>
      <w:r>
        <w:rPr>
          <w:rFonts w:hint="eastAsia" w:ascii="仿宋_GB2312" w:hAnsi="仿宋_GB2312" w:eastAsia="仿宋_GB2312" w:cs="仿宋_GB2312"/>
          <w:color w:val="000000"/>
          <w:sz w:val="32"/>
          <w:szCs w:val="32"/>
        </w:rPr>
        <w:t>）法律、法规和规章规定以及市人民政府确定的其他工作职责。</w:t>
      </w:r>
      <w:r>
        <w:rPr>
          <w:rFonts w:hint="eastAsia" w:ascii="仿宋_GB2312" w:hAnsi="仿宋_GB2312" w:eastAsia="仿宋_GB2312" w:cs="仿宋_GB2312"/>
          <w:color w:val="333333"/>
          <w:sz w:val="32"/>
          <w:szCs w:val="32"/>
          <w:shd w:val="clear" w:color="auto" w:fill="FFFFFF"/>
        </w:rPr>
        <w:tab/>
      </w:r>
      <w:r>
        <w:rPr>
          <w:rFonts w:hint="eastAsia" w:ascii="仿宋_GB2312" w:hAnsi="仿宋_GB2312" w:eastAsia="仿宋_GB2312" w:cs="仿宋_GB2312"/>
          <w:color w:val="333333"/>
          <w:sz w:val="32"/>
          <w:szCs w:val="32"/>
          <w:shd w:val="clear" w:color="auto" w:fill="FFFFFF"/>
        </w:rPr>
        <w:fldChar w:fldCharType="begin">
          <w:fldData xml:space="preserve">QwAzAEIAMgBDAEIAMgBBADYANgA1AEIANABFAEEANwBCAEQAQgA4ADAAMAA5ADQAQgA3ADYAQwBF
ADgAQQBFAA==
</w:fldData>
        </w:fldChar>
      </w:r>
      <w:r>
        <w:rPr>
          <w:rFonts w:hint="eastAsia" w:ascii="仿宋_GB2312" w:hAnsi="仿宋_GB2312" w:eastAsia="仿宋_GB2312" w:cs="仿宋_GB2312"/>
          <w:color w:val="333333"/>
          <w:sz w:val="32"/>
          <w:szCs w:val="32"/>
          <w:shd w:val="clear" w:color="auto" w:fill="FFFFFF"/>
        </w:rPr>
        <w:instrText xml:space="preserve">Addin 单位职能概述</w:instrText>
      </w:r>
      <w:r>
        <w:rPr>
          <w:rFonts w:hint="eastAsia" w:ascii="仿宋_GB2312" w:hAnsi="仿宋_GB2312" w:eastAsia="仿宋_GB2312" w:cs="仿宋_GB2312"/>
          <w:color w:val="333333"/>
          <w:sz w:val="32"/>
          <w:szCs w:val="32"/>
          <w:shd w:val="clear" w:color="auto" w:fill="FFFFFF"/>
        </w:rPr>
        <w:fldChar w:fldCharType="separate"/>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eastAsia="仿宋_GB2312" w:cs="Arial"/>
          <w:b/>
          <w:bCs/>
          <w:color w:val="333333"/>
          <w:sz w:val="32"/>
          <w:szCs w:val="32"/>
          <w:shd w:val="clear" w:color="auto" w:fill="FFFFFF"/>
        </w:rPr>
      </w:pPr>
      <w:r>
        <w:rPr>
          <w:rFonts w:hint="eastAsia" w:ascii="仿宋_GB2312" w:hAnsi="仿宋_GB2312" w:eastAsia="仿宋_GB2312" w:cs="仿宋_GB2312"/>
          <w:color w:val="333333"/>
          <w:sz w:val="32"/>
          <w:szCs w:val="32"/>
          <w:highlight w:val="darkRed"/>
          <w:shd w:val="clear" w:color="auto" w:fill="FFFFFF"/>
        </w:rPr>
        <w:fldChar w:fldCharType="end"/>
      </w:r>
      <w:r>
        <w:rPr>
          <w:rFonts w:hint="eastAsia" w:ascii="仿宋_GB2312" w:eastAsia="仿宋_GB2312" w:cs="Arial"/>
          <w:b/>
          <w:bCs/>
          <w:color w:val="333333"/>
          <w:sz w:val="32"/>
          <w:szCs w:val="32"/>
          <w:shd w:val="clear" w:color="auto" w:fill="FFFFFF"/>
        </w:rPr>
        <w:t>（二）机构设置</w:t>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eastAsia="仿宋_GB2312" w:cs="Arial"/>
          <w:color w:val="333333"/>
          <w:sz w:val="32"/>
          <w:szCs w:val="32"/>
          <w:shd w:val="clear" w:color="auto" w:fill="FFFFFF"/>
          <w:lang w:val="en-US" w:eastAsia="zh-CN"/>
        </w:rPr>
      </w:pPr>
      <w:r>
        <w:rPr>
          <w:rFonts w:hint="eastAsia" w:ascii="仿宋_GB2312" w:hAnsi="仿宋_GB2312" w:eastAsia="仿宋_GB2312" w:cs="仿宋_GB2312"/>
          <w:color w:val="333333"/>
          <w:sz w:val="32"/>
          <w:szCs w:val="32"/>
        </w:rPr>
        <w:t>现内设人事秘书科、计划财务科、业务科、法规科四个科室</w:t>
      </w:r>
      <w:r>
        <w:rPr>
          <w:rFonts w:hint="eastAsia" w:ascii="仿宋_GB2312" w:hAnsi="仿宋_GB2312" w:eastAsia="仿宋_GB2312" w:cs="仿宋_GB2312"/>
          <w:color w:val="333333"/>
          <w:sz w:val="30"/>
          <w:szCs w:val="30"/>
          <w:lang w:val="en-US" w:eastAsia="zh-CN"/>
        </w:rPr>
        <w:t>.</w:t>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二、部门预算单位构成</w:t>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ascii="仿宋_GB2312" w:eastAsia="仿宋_GB2312"/>
          <w:sz w:val="32"/>
          <w:szCs w:val="32"/>
        </w:rPr>
      </w:pPr>
      <w:r>
        <w:rPr>
          <w:rFonts w:hint="eastAsia" w:ascii="仿宋_GB2312" w:hAnsi="仿宋_GB2312" w:eastAsia="仿宋_GB2312" w:cs="仿宋_GB2312"/>
          <w:color w:val="333333"/>
          <w:sz w:val="32"/>
          <w:szCs w:val="32"/>
          <w:shd w:val="clear" w:color="auto" w:fill="FFFFFF"/>
          <w:lang w:val="en-US"/>
        </w:rPr>
        <w:t>邵阳市人民政府房屋征收管理办公室</w:t>
      </w:r>
      <w:r>
        <w:rPr>
          <w:rFonts w:hint="eastAsia" w:ascii="仿宋_GB2312" w:hAnsi="仿宋_GB2312" w:eastAsia="仿宋_GB2312" w:cs="仿宋_GB2312"/>
          <w:sz w:val="32"/>
          <w:szCs w:val="32"/>
          <w:shd w:val="clear" w:color="auto" w:fill="FFFFFF"/>
          <w:lang w:val="en-US"/>
        </w:rPr>
        <w:t>只有本级</w:t>
      </w:r>
      <w:r>
        <w:rPr>
          <w:rFonts w:hint="eastAsia" w:ascii="仿宋_GB2312" w:hAnsi="仿宋_GB2312" w:eastAsia="仿宋_GB2312" w:cs="仿宋_GB2312"/>
          <w:color w:val="333333"/>
          <w:sz w:val="32"/>
          <w:szCs w:val="32"/>
          <w:shd w:val="clear" w:color="auto" w:fill="FFFFFF"/>
        </w:rPr>
        <w:t>，无其他二级预算单位，因此，纳入20</w:t>
      </w:r>
      <w:r>
        <w:rPr>
          <w:rFonts w:hint="eastAsia" w:ascii="仿宋_GB2312" w:hAnsi="仿宋_GB2312" w:eastAsia="仿宋_GB2312" w:cs="仿宋_GB2312"/>
          <w:color w:val="333333"/>
          <w:sz w:val="32"/>
          <w:szCs w:val="32"/>
          <w:shd w:val="clear" w:color="auto" w:fill="FFFFFF"/>
          <w:lang w:val="en-US"/>
        </w:rPr>
        <w:t>21</w:t>
      </w:r>
      <w:r>
        <w:rPr>
          <w:rFonts w:hint="eastAsia" w:ascii="仿宋_GB2312" w:hAnsi="仿宋_GB2312" w:eastAsia="仿宋_GB2312" w:cs="仿宋_GB2312"/>
          <w:color w:val="333333"/>
          <w:sz w:val="32"/>
          <w:szCs w:val="32"/>
          <w:shd w:val="clear" w:color="auto" w:fill="FFFFFF"/>
        </w:rPr>
        <w:t>年部门预算编制范围的只有</w:t>
      </w:r>
      <w:r>
        <w:rPr>
          <w:rFonts w:hint="eastAsia" w:ascii="仿宋_GB2312" w:hAnsi="仿宋_GB2312" w:eastAsia="仿宋_GB2312" w:cs="仿宋_GB2312"/>
          <w:color w:val="333333"/>
          <w:sz w:val="32"/>
          <w:szCs w:val="32"/>
          <w:shd w:val="clear" w:color="auto" w:fill="FFFFFF"/>
          <w:lang w:val="en-US"/>
        </w:rPr>
        <w:t>邵阳市人民政府房屋征收管理办公室</w:t>
      </w:r>
      <w:r>
        <w:rPr>
          <w:rFonts w:hint="eastAsia" w:ascii="仿宋_GB2312" w:hAnsi="仿宋_GB2312" w:eastAsia="仿宋_GB2312" w:cs="仿宋_GB2312"/>
          <w:sz w:val="32"/>
          <w:szCs w:val="32"/>
          <w:shd w:val="clear" w:color="auto" w:fill="FFFFFF"/>
          <w:lang w:val="en-US"/>
        </w:rPr>
        <w:t>部门</w:t>
      </w:r>
      <w:r>
        <w:rPr>
          <w:rFonts w:hint="eastAsia" w:ascii="仿宋_GB2312" w:hAnsi="仿宋_GB2312" w:eastAsia="仿宋_GB2312" w:cs="仿宋_GB2312"/>
          <w:color w:val="333333"/>
          <w:sz w:val="32"/>
          <w:szCs w:val="32"/>
          <w:shd w:val="clear" w:color="auto" w:fill="FFFFFF"/>
        </w:rPr>
        <w:t>本级。</w:t>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ascii="黑体" w:eastAsia="黑体"/>
          <w:sz w:val="32"/>
          <w:szCs w:val="32"/>
        </w:rPr>
      </w:pPr>
      <w:r>
        <w:rPr>
          <w:rFonts w:hint="eastAsia" w:ascii="黑体" w:eastAsia="黑体"/>
          <w:sz w:val="32"/>
          <w:szCs w:val="32"/>
        </w:rPr>
        <w:t>三、部门收支总体情况</w:t>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3" w:firstLineChars="200"/>
        <w:jc w:val="both"/>
        <w:textAlignment w:val="auto"/>
        <w:rPr>
          <w:rFonts w:ascii="仿宋_GB2312" w:eastAsia="仿宋_GB2312"/>
          <w:sz w:val="32"/>
          <w:szCs w:val="32"/>
        </w:rPr>
      </w:pPr>
      <w:r>
        <w:rPr>
          <w:rFonts w:hint="eastAsia" w:ascii="仿宋_GB2312" w:eastAsia="仿宋_GB2312" w:cs="Arial"/>
          <w:b/>
          <w:bCs/>
          <w:color w:val="333333"/>
          <w:sz w:val="32"/>
          <w:szCs w:val="32"/>
          <w:shd w:val="clear" w:color="auto" w:fill="FFFFFF"/>
        </w:rPr>
        <w:t>（一）收入预算：</w:t>
      </w:r>
      <w:r>
        <w:rPr>
          <w:rFonts w:hint="eastAsia" w:ascii="仿宋_GB2312" w:eastAsia="仿宋_GB2312"/>
          <w:sz w:val="32"/>
          <w:szCs w:val="32"/>
        </w:rPr>
        <w:t>20</w:t>
      </w:r>
      <w:r>
        <w:rPr>
          <w:rFonts w:hint="eastAsia" w:ascii="仿宋_GB2312" w:eastAsia="仿宋_GB2312"/>
          <w:sz w:val="32"/>
          <w:szCs w:val="32"/>
          <w:lang w:val="en-US"/>
        </w:rPr>
        <w:t>21</w:t>
      </w:r>
      <w:r>
        <w:rPr>
          <w:rFonts w:hint="eastAsia" w:ascii="仿宋_GB2312" w:eastAsia="仿宋_GB2312"/>
          <w:sz w:val="32"/>
          <w:szCs w:val="32"/>
        </w:rPr>
        <w:t>年年初预算数</w:t>
      </w:r>
      <w:r>
        <w:rPr>
          <w:rFonts w:hint="eastAsia" w:ascii="仿宋_GB2312" w:eastAsia="仿宋_GB2312"/>
          <w:sz w:val="32"/>
          <w:szCs w:val="32"/>
          <w:lang w:val="en-US" w:eastAsia="zh-CN"/>
        </w:rPr>
        <w:t>165.09</w:t>
      </w:r>
      <w:r>
        <w:rPr>
          <w:rFonts w:hint="eastAsia" w:ascii="仿宋_GB2312" w:eastAsia="仿宋_GB2312"/>
          <w:sz w:val="32"/>
          <w:szCs w:val="32"/>
        </w:rPr>
        <w:t>万元，</w:t>
      </w:r>
      <w:r>
        <w:rPr>
          <w:rFonts w:hint="eastAsia" w:ascii="仿宋_GB2312" w:eastAsia="仿宋_GB2312"/>
          <w:sz w:val="32"/>
          <w:szCs w:val="32"/>
          <w:lang w:val="en-US"/>
        </w:rPr>
        <w:t>其中，一般公共预算拨款</w:t>
      </w:r>
      <w:r>
        <w:rPr>
          <w:rFonts w:hint="eastAsia" w:ascii="仿宋_GB2312" w:eastAsia="仿宋_GB2312" w:cs="Arial"/>
          <w:color w:val="333333"/>
          <w:sz w:val="32"/>
          <w:szCs w:val="32"/>
          <w:shd w:val="clear" w:color="auto" w:fill="FFFFFF"/>
          <w:lang w:val="en-US" w:eastAsia="zh-CN"/>
        </w:rPr>
        <w:t>165.09</w:t>
      </w:r>
      <w:r>
        <w:rPr>
          <w:rFonts w:hint="eastAsia" w:ascii="仿宋_GB2312" w:eastAsia="仿宋_GB2312"/>
          <w:sz w:val="32"/>
          <w:szCs w:val="32"/>
          <w:lang w:val="en-US"/>
        </w:rPr>
        <w:t>万元</w:t>
      </w:r>
      <w:r>
        <w:rPr>
          <w:rFonts w:hint="eastAsia" w:ascii="仿宋_GB2312" w:eastAsia="仿宋_GB2312"/>
          <w:sz w:val="32"/>
          <w:szCs w:val="32"/>
        </w:rPr>
        <w:t>。</w:t>
      </w:r>
      <w:r>
        <w:rPr>
          <w:rFonts w:hint="eastAsia" w:ascii="仿宋_GB2312" w:eastAsia="仿宋_GB2312" w:cs="宋体"/>
          <w:sz w:val="32"/>
          <w:szCs w:val="32"/>
        </w:rPr>
        <w:t>收入较去年增加</w:t>
      </w:r>
      <w:r>
        <w:rPr>
          <w:rFonts w:hint="eastAsia" w:ascii="仿宋_GB2312" w:eastAsia="仿宋_GB2312" w:cs="宋体"/>
          <w:sz w:val="32"/>
          <w:szCs w:val="32"/>
          <w:lang w:val="en-US" w:eastAsia="zh-CN"/>
        </w:rPr>
        <w:t>29.28</w:t>
      </w:r>
      <w:r>
        <w:rPr>
          <w:rFonts w:hint="eastAsia" w:ascii="仿宋_GB2312" w:eastAsia="仿宋_GB2312" w:cs="宋体"/>
          <w:sz w:val="32"/>
          <w:szCs w:val="32"/>
        </w:rPr>
        <w:t>万元，</w:t>
      </w:r>
      <w:r>
        <w:rPr>
          <w:rFonts w:hint="eastAsia" w:ascii="仿宋_GB2312" w:eastAsia="仿宋_GB2312" w:cs="宋体"/>
          <w:sz w:val="32"/>
          <w:szCs w:val="32"/>
          <w:lang w:val="en-US"/>
        </w:rPr>
        <w:t>增长</w:t>
      </w:r>
      <w:r>
        <w:rPr>
          <w:rFonts w:hint="eastAsia" w:ascii="仿宋_GB2312" w:eastAsia="仿宋_GB2312" w:cs="Arial"/>
          <w:color w:val="333333"/>
          <w:sz w:val="32"/>
          <w:szCs w:val="32"/>
          <w:shd w:val="clear" w:color="auto" w:fill="FFFFFF"/>
          <w:lang w:val="en-US"/>
        </w:rPr>
        <w:t xml:space="preserve"> </w:t>
      </w:r>
      <w:r>
        <w:rPr>
          <w:rFonts w:hint="eastAsia" w:ascii="仿宋_GB2312" w:eastAsia="仿宋_GB2312" w:cs="Arial"/>
          <w:color w:val="333333"/>
          <w:sz w:val="32"/>
          <w:szCs w:val="32"/>
          <w:shd w:val="clear" w:color="auto" w:fill="FFFFFF"/>
          <w:lang w:val="en-US" w:eastAsia="zh-CN"/>
        </w:rPr>
        <w:t>21.56</w:t>
      </w:r>
      <w:r>
        <w:rPr>
          <w:rFonts w:hint="eastAsia" w:ascii="仿宋_GB2312" w:eastAsia="仿宋_GB2312" w:cs="宋体"/>
          <w:sz w:val="32"/>
          <w:szCs w:val="32"/>
          <w:lang w:val="en-US"/>
        </w:rPr>
        <w:t>%，</w:t>
      </w:r>
      <w:r>
        <w:rPr>
          <w:rFonts w:hint="eastAsia" w:ascii="仿宋_GB2312" w:eastAsia="仿宋_GB2312" w:cs="宋体"/>
          <w:sz w:val="32"/>
          <w:szCs w:val="32"/>
        </w:rPr>
        <w:t>原因是：</w:t>
      </w:r>
      <w:r>
        <w:rPr>
          <w:rFonts w:hint="eastAsia" w:eastAsia="仿宋_GB2312"/>
          <w:sz w:val="32"/>
          <w:szCs w:val="32"/>
          <w:lang w:eastAsia="zh-CN"/>
        </w:rPr>
        <w:t>绩效考核奖列入预算社会保障费预算基数增加</w:t>
      </w:r>
      <w:r>
        <w:rPr>
          <w:rFonts w:hint="eastAsia" w:eastAsia="仿宋_GB2312"/>
          <w:sz w:val="32"/>
          <w:szCs w:val="32"/>
          <w:lang w:val="en-US" w:eastAsia="zh-CN"/>
        </w:rPr>
        <w:t>,新増项目经费列入预算</w:t>
      </w:r>
      <w:r>
        <w:rPr>
          <w:rFonts w:hint="eastAsia" w:eastAsia="仿宋_GB2312"/>
          <w:sz w:val="32"/>
          <w:szCs w:val="32"/>
        </w:rPr>
        <w:t>。</w:t>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3" w:firstLineChars="200"/>
        <w:jc w:val="both"/>
        <w:textAlignment w:val="auto"/>
        <w:rPr>
          <w:rFonts w:ascii="仿宋_GB2312" w:eastAsia="仿宋_GB2312" w:cs="Arial"/>
          <w:color w:val="333333"/>
          <w:sz w:val="32"/>
          <w:szCs w:val="32"/>
          <w:shd w:val="clear" w:color="auto" w:fill="FFFFFF"/>
          <w:lang w:val="en-US"/>
        </w:rPr>
      </w:pPr>
      <w:r>
        <w:rPr>
          <w:rFonts w:hint="eastAsia" w:ascii="仿宋_GB2312" w:eastAsia="仿宋_GB2312" w:cs="Arial"/>
          <w:b/>
          <w:bCs/>
          <w:color w:val="333333"/>
          <w:sz w:val="32"/>
          <w:szCs w:val="32"/>
          <w:shd w:val="clear" w:color="auto" w:fill="FFFFFF"/>
        </w:rPr>
        <w:t>（二）支出预算：</w:t>
      </w:r>
      <w:r>
        <w:rPr>
          <w:rFonts w:hint="eastAsia" w:ascii="仿宋_GB2312" w:eastAsia="仿宋_GB2312"/>
          <w:sz w:val="32"/>
          <w:szCs w:val="32"/>
        </w:rPr>
        <w:t>20</w:t>
      </w:r>
      <w:r>
        <w:rPr>
          <w:rFonts w:hint="eastAsia" w:ascii="仿宋_GB2312" w:eastAsia="仿宋_GB2312"/>
          <w:sz w:val="32"/>
          <w:szCs w:val="32"/>
          <w:lang w:val="en-US"/>
        </w:rPr>
        <w:t>21</w:t>
      </w:r>
      <w:r>
        <w:rPr>
          <w:rFonts w:hint="eastAsia" w:ascii="仿宋_GB2312" w:eastAsia="仿宋_GB2312"/>
          <w:sz w:val="32"/>
          <w:szCs w:val="32"/>
        </w:rPr>
        <w:t>年年初预算数</w:t>
      </w:r>
      <w:r>
        <w:rPr>
          <w:rFonts w:hint="eastAsia" w:ascii="仿宋_GB2312" w:eastAsia="仿宋_GB2312"/>
          <w:sz w:val="32"/>
          <w:szCs w:val="32"/>
          <w:lang w:val="en-US" w:eastAsia="zh-CN"/>
        </w:rPr>
        <w:t>165.09</w:t>
      </w:r>
      <w:r>
        <w:rPr>
          <w:rFonts w:hint="eastAsia" w:ascii="仿宋_GB2312" w:eastAsia="仿宋_GB2312"/>
          <w:sz w:val="32"/>
          <w:szCs w:val="32"/>
        </w:rPr>
        <w:t>万元，</w:t>
      </w:r>
      <w:r>
        <w:rPr>
          <w:rFonts w:hint="eastAsia" w:ascii="仿宋_GB2312" w:eastAsia="仿宋_GB2312"/>
          <w:sz w:val="32"/>
          <w:szCs w:val="32"/>
          <w:lang w:val="en-US"/>
        </w:rPr>
        <w:t>其中，</w:t>
      </w:r>
      <w:r>
        <w:rPr>
          <w:rFonts w:hint="eastAsia" w:ascii="仿宋_GB2312" w:hAnsi="仿宋_GB2312" w:eastAsia="仿宋_GB2312" w:cs="仿宋_GB2312"/>
          <w:i w:val="0"/>
          <w:caps w:val="0"/>
          <w:color w:val="444444"/>
          <w:spacing w:val="0"/>
          <w:sz w:val="32"/>
          <w:szCs w:val="32"/>
          <w:shd w:val="clear" w:color="auto" w:fill="FFFFFF"/>
        </w:rPr>
        <w:t>其他城乡社区管理事务支出</w:t>
      </w:r>
      <w:r>
        <w:rPr>
          <w:rFonts w:hint="eastAsia" w:ascii="仿宋_GB2312" w:hAnsi="仿宋_GB2312" w:eastAsia="仿宋_GB2312" w:cs="仿宋_GB2312"/>
          <w:i w:val="0"/>
          <w:caps w:val="0"/>
          <w:color w:val="444444"/>
          <w:spacing w:val="0"/>
          <w:sz w:val="32"/>
          <w:szCs w:val="32"/>
          <w:shd w:val="clear" w:color="auto" w:fill="FFFFFF"/>
          <w:lang w:val="en-US"/>
        </w:rPr>
        <w:t>1</w:t>
      </w:r>
      <w:r>
        <w:rPr>
          <w:rFonts w:hint="eastAsia" w:ascii="仿宋_GB2312" w:hAnsi="仿宋_GB2312" w:eastAsia="仿宋_GB2312" w:cs="仿宋_GB2312"/>
          <w:i w:val="0"/>
          <w:caps w:val="0"/>
          <w:color w:val="444444"/>
          <w:spacing w:val="0"/>
          <w:sz w:val="32"/>
          <w:szCs w:val="32"/>
          <w:shd w:val="clear" w:color="auto" w:fill="FFFFFF"/>
          <w:lang w:val="en-US" w:eastAsia="zh-CN"/>
        </w:rPr>
        <w:t>24.86</w:t>
      </w:r>
      <w:r>
        <w:rPr>
          <w:rFonts w:hint="eastAsia" w:ascii="仿宋_GB2312" w:hAnsi="仿宋_GB2312" w:eastAsia="仿宋_GB2312" w:cs="仿宋_GB2312"/>
          <w:i w:val="0"/>
          <w:caps w:val="0"/>
          <w:color w:val="444444"/>
          <w:spacing w:val="0"/>
          <w:sz w:val="32"/>
          <w:szCs w:val="32"/>
          <w:shd w:val="clear" w:color="auto" w:fill="FFFFFF"/>
        </w:rPr>
        <w:t>万元，社会保障和就业支出</w:t>
      </w:r>
      <w:r>
        <w:rPr>
          <w:rFonts w:hint="eastAsia" w:ascii="仿宋_GB2312" w:hAnsi="仿宋_GB2312" w:eastAsia="仿宋_GB2312" w:cs="仿宋_GB2312"/>
          <w:i w:val="0"/>
          <w:caps w:val="0"/>
          <w:color w:val="444444"/>
          <w:spacing w:val="0"/>
          <w:sz w:val="32"/>
          <w:szCs w:val="32"/>
          <w:shd w:val="clear" w:color="auto" w:fill="FFFFFF"/>
          <w:lang w:val="en-US"/>
        </w:rPr>
        <w:t>1</w:t>
      </w:r>
      <w:r>
        <w:rPr>
          <w:rFonts w:hint="eastAsia" w:ascii="仿宋_GB2312" w:hAnsi="仿宋_GB2312" w:eastAsia="仿宋_GB2312" w:cs="仿宋_GB2312"/>
          <w:i w:val="0"/>
          <w:caps w:val="0"/>
          <w:color w:val="444444"/>
          <w:spacing w:val="0"/>
          <w:sz w:val="32"/>
          <w:szCs w:val="32"/>
          <w:shd w:val="clear" w:color="auto" w:fill="FFFFFF"/>
          <w:lang w:val="en-US" w:eastAsia="zh-CN"/>
        </w:rPr>
        <w:t>6.65</w:t>
      </w:r>
      <w:r>
        <w:rPr>
          <w:rFonts w:hint="eastAsia" w:ascii="仿宋_GB2312" w:hAnsi="仿宋_GB2312" w:eastAsia="仿宋_GB2312" w:cs="仿宋_GB2312"/>
          <w:i w:val="0"/>
          <w:caps w:val="0"/>
          <w:color w:val="444444"/>
          <w:spacing w:val="0"/>
          <w:sz w:val="32"/>
          <w:szCs w:val="32"/>
          <w:shd w:val="clear" w:color="auto" w:fill="FFFFFF"/>
        </w:rPr>
        <w:t>万元，医疗卫生支出</w:t>
      </w:r>
      <w:r>
        <w:rPr>
          <w:rFonts w:hint="eastAsia" w:ascii="仿宋_GB2312" w:hAnsi="仿宋_GB2312" w:eastAsia="仿宋_GB2312" w:cs="仿宋_GB2312"/>
          <w:i w:val="0"/>
          <w:caps w:val="0"/>
          <w:color w:val="444444"/>
          <w:spacing w:val="0"/>
          <w:sz w:val="32"/>
          <w:szCs w:val="32"/>
          <w:shd w:val="clear" w:color="auto" w:fill="FFFFFF"/>
          <w:lang w:val="en-US" w:eastAsia="zh-CN"/>
        </w:rPr>
        <w:t>12万</w:t>
      </w:r>
      <w:r>
        <w:rPr>
          <w:rFonts w:hint="eastAsia" w:ascii="仿宋_GB2312" w:hAnsi="仿宋_GB2312" w:eastAsia="仿宋_GB2312" w:cs="仿宋_GB2312"/>
          <w:i w:val="0"/>
          <w:caps w:val="0"/>
          <w:color w:val="444444"/>
          <w:spacing w:val="0"/>
          <w:sz w:val="32"/>
          <w:szCs w:val="32"/>
          <w:shd w:val="clear" w:color="auto" w:fill="FFFFFF"/>
        </w:rPr>
        <w:t>元，住房保障支出</w:t>
      </w:r>
      <w:r>
        <w:rPr>
          <w:rFonts w:hint="eastAsia" w:ascii="仿宋_GB2312" w:hAnsi="仿宋_GB2312" w:eastAsia="仿宋_GB2312" w:cs="仿宋_GB2312"/>
          <w:i w:val="0"/>
          <w:caps w:val="0"/>
          <w:color w:val="444444"/>
          <w:spacing w:val="0"/>
          <w:sz w:val="32"/>
          <w:szCs w:val="32"/>
          <w:shd w:val="clear" w:color="auto" w:fill="FFFFFF"/>
          <w:lang w:val="en-US" w:eastAsia="zh-CN"/>
        </w:rPr>
        <w:t>11.58</w:t>
      </w:r>
      <w:r>
        <w:rPr>
          <w:rFonts w:hint="eastAsia" w:ascii="仿宋_GB2312" w:hAnsi="仿宋_GB2312" w:eastAsia="仿宋_GB2312" w:cs="仿宋_GB2312"/>
          <w:i w:val="0"/>
          <w:caps w:val="0"/>
          <w:color w:val="444444"/>
          <w:spacing w:val="0"/>
          <w:sz w:val="32"/>
          <w:szCs w:val="32"/>
          <w:shd w:val="clear" w:color="auto" w:fill="FFFFFF"/>
        </w:rPr>
        <w:t>万元</w:t>
      </w:r>
      <w:r>
        <w:rPr>
          <w:rFonts w:hint="eastAsia" w:ascii="仿宋_GB2312" w:hAnsi="仿宋_GB2312" w:eastAsia="仿宋_GB2312" w:cs="仿宋_GB2312"/>
          <w:i w:val="0"/>
          <w:caps w:val="0"/>
          <w:color w:val="444444"/>
          <w:spacing w:val="0"/>
          <w:sz w:val="32"/>
          <w:szCs w:val="32"/>
          <w:shd w:val="clear" w:color="auto" w:fill="FFFFFF"/>
          <w:lang w:val="en-US"/>
        </w:rPr>
        <w:t>,</w:t>
      </w:r>
      <w:r>
        <w:rPr>
          <w:rFonts w:hint="eastAsia" w:ascii="仿宋_GB2312" w:eastAsia="仿宋_GB2312" w:cs="Arial"/>
          <w:color w:val="333333"/>
          <w:sz w:val="32"/>
          <w:szCs w:val="32"/>
          <w:shd w:val="clear" w:color="auto" w:fill="FFFFFF"/>
          <w:lang w:val="en-US"/>
        </w:rPr>
        <w:t>。支出较去年增加</w:t>
      </w:r>
      <w:r>
        <w:rPr>
          <w:rFonts w:hint="eastAsia" w:ascii="仿宋_GB2312" w:eastAsia="仿宋_GB2312" w:cs="Arial"/>
          <w:color w:val="333333"/>
          <w:sz w:val="32"/>
          <w:szCs w:val="32"/>
          <w:shd w:val="clear" w:color="auto" w:fill="FFFFFF"/>
          <w:lang w:val="en-US" w:eastAsia="zh-CN"/>
        </w:rPr>
        <w:t>29.28</w:t>
      </w:r>
      <w:r>
        <w:rPr>
          <w:rFonts w:hint="eastAsia" w:ascii="仿宋_GB2312" w:eastAsia="仿宋_GB2312" w:cs="Arial"/>
          <w:color w:val="333333"/>
          <w:sz w:val="32"/>
          <w:szCs w:val="32"/>
          <w:shd w:val="clear" w:color="auto" w:fill="FFFFFF"/>
          <w:lang w:val="en-US"/>
        </w:rPr>
        <w:t>万元，</w:t>
      </w:r>
      <w:r>
        <w:rPr>
          <w:rFonts w:hint="eastAsia" w:ascii="仿宋_GB2312" w:eastAsia="仿宋_GB2312" w:cs="宋体"/>
          <w:sz w:val="32"/>
          <w:szCs w:val="32"/>
          <w:lang w:val="en-US"/>
        </w:rPr>
        <w:t>增长</w:t>
      </w:r>
      <w:r>
        <w:rPr>
          <w:rFonts w:hint="eastAsia" w:ascii="仿宋_GB2312" w:eastAsia="仿宋_GB2312" w:cs="Arial"/>
          <w:color w:val="333333"/>
          <w:sz w:val="32"/>
          <w:szCs w:val="32"/>
          <w:shd w:val="clear" w:color="auto" w:fill="FFFFFF"/>
          <w:lang w:val="en-US" w:eastAsia="zh-CN"/>
        </w:rPr>
        <w:t>21.56</w:t>
      </w:r>
      <w:r>
        <w:rPr>
          <w:rFonts w:hint="eastAsia" w:ascii="仿宋_GB2312" w:eastAsia="仿宋_GB2312" w:cs="宋体"/>
          <w:sz w:val="32"/>
          <w:szCs w:val="32"/>
          <w:lang w:val="en-US"/>
        </w:rPr>
        <w:t>%，</w:t>
      </w:r>
      <w:r>
        <w:rPr>
          <w:rFonts w:hint="eastAsia" w:ascii="仿宋_GB2312" w:eastAsia="仿宋_GB2312" w:cs="宋体"/>
          <w:sz w:val="32"/>
          <w:szCs w:val="32"/>
        </w:rPr>
        <w:t>原因是：</w:t>
      </w:r>
      <w:r>
        <w:rPr>
          <w:rFonts w:hint="eastAsia" w:eastAsia="仿宋_GB2312"/>
          <w:sz w:val="32"/>
          <w:szCs w:val="32"/>
          <w:lang w:eastAsia="zh-CN"/>
        </w:rPr>
        <w:t>绩效考核奖列入预算社会保障费预算基数增加</w:t>
      </w:r>
      <w:r>
        <w:rPr>
          <w:rFonts w:hint="eastAsia" w:eastAsia="仿宋_GB2312"/>
          <w:sz w:val="32"/>
          <w:szCs w:val="32"/>
          <w:lang w:val="en-US" w:eastAsia="zh-CN"/>
        </w:rPr>
        <w:t>,新増项目经费列入预算</w:t>
      </w:r>
      <w:r>
        <w:rPr>
          <w:rFonts w:hint="eastAsia" w:eastAsia="仿宋_GB2312"/>
          <w:sz w:val="32"/>
          <w:szCs w:val="32"/>
        </w:rPr>
        <w:t>。</w:t>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四、一般公共预算拨款支出预算</w:t>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2021年本部门一般公共预算拨款支出预算</w:t>
      </w:r>
      <w:r>
        <w:rPr>
          <w:rFonts w:hint="eastAsia" w:ascii="仿宋" w:hAnsi="仿宋" w:eastAsia="仿宋" w:cs="仿宋"/>
          <w:sz w:val="32"/>
          <w:szCs w:val="32"/>
          <w:lang w:val="en-US" w:eastAsia="zh-CN"/>
        </w:rPr>
        <w:t>165.09</w:t>
      </w:r>
      <w:r>
        <w:rPr>
          <w:rFonts w:hint="eastAsia" w:ascii="仿宋" w:hAnsi="仿宋" w:eastAsia="仿宋" w:cs="仿宋"/>
          <w:sz w:val="32"/>
          <w:szCs w:val="32"/>
        </w:rPr>
        <w:t>万元。其中，</w:t>
      </w:r>
      <w:r>
        <w:rPr>
          <w:rFonts w:hint="eastAsia" w:ascii="仿宋_GB2312" w:hAnsi="仿宋_GB2312" w:eastAsia="仿宋_GB2312" w:cs="仿宋_GB2312"/>
          <w:i w:val="0"/>
          <w:caps w:val="0"/>
          <w:color w:val="444444"/>
          <w:spacing w:val="0"/>
          <w:sz w:val="32"/>
          <w:szCs w:val="32"/>
          <w:shd w:val="clear" w:color="auto" w:fill="FFFFFF"/>
        </w:rPr>
        <w:t>其他城乡社区管理事务支出</w:t>
      </w:r>
      <w:r>
        <w:rPr>
          <w:rFonts w:hint="eastAsia" w:ascii="仿宋_GB2312" w:hAnsi="仿宋_GB2312" w:eastAsia="仿宋_GB2312" w:cs="仿宋_GB2312"/>
          <w:i w:val="0"/>
          <w:caps w:val="0"/>
          <w:color w:val="444444"/>
          <w:spacing w:val="0"/>
          <w:sz w:val="32"/>
          <w:szCs w:val="32"/>
          <w:shd w:val="clear" w:color="auto" w:fill="FFFFFF"/>
          <w:lang w:val="en-US"/>
        </w:rPr>
        <w:t>1</w:t>
      </w:r>
      <w:r>
        <w:rPr>
          <w:rFonts w:hint="eastAsia" w:ascii="仿宋_GB2312" w:hAnsi="仿宋_GB2312" w:eastAsia="仿宋_GB2312" w:cs="仿宋_GB2312"/>
          <w:i w:val="0"/>
          <w:caps w:val="0"/>
          <w:color w:val="444444"/>
          <w:spacing w:val="0"/>
          <w:sz w:val="32"/>
          <w:szCs w:val="32"/>
          <w:shd w:val="clear" w:color="auto" w:fill="FFFFFF"/>
          <w:lang w:val="en-US" w:eastAsia="zh-CN"/>
        </w:rPr>
        <w:t>24.86</w:t>
      </w:r>
      <w:r>
        <w:rPr>
          <w:rFonts w:hint="eastAsia" w:ascii="仿宋_GB2312" w:hAnsi="仿宋_GB2312" w:eastAsia="仿宋_GB2312" w:cs="仿宋_GB2312"/>
          <w:i w:val="0"/>
          <w:caps w:val="0"/>
          <w:color w:val="444444"/>
          <w:spacing w:val="0"/>
          <w:sz w:val="32"/>
          <w:szCs w:val="32"/>
          <w:shd w:val="clear" w:color="auto" w:fill="FFFFFF"/>
        </w:rPr>
        <w:t>万元</w:t>
      </w:r>
      <w:r>
        <w:rPr>
          <w:rFonts w:hint="eastAsia" w:ascii="仿宋" w:hAnsi="仿宋" w:eastAsia="仿宋" w:cs="仿宋"/>
          <w:sz w:val="32"/>
          <w:szCs w:val="32"/>
        </w:rPr>
        <w:t>，占</w:t>
      </w:r>
      <w:r>
        <w:rPr>
          <w:rFonts w:hint="eastAsia" w:ascii="仿宋" w:hAnsi="仿宋" w:eastAsia="仿宋" w:cs="仿宋"/>
          <w:sz w:val="32"/>
          <w:szCs w:val="32"/>
          <w:lang w:val="en-US" w:eastAsia="zh-CN"/>
        </w:rPr>
        <w:t>75.63</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16.65</w:t>
      </w:r>
      <w:r>
        <w:rPr>
          <w:rFonts w:hint="eastAsia" w:ascii="仿宋" w:hAnsi="仿宋" w:eastAsia="仿宋" w:cs="仿宋"/>
          <w:sz w:val="32"/>
          <w:szCs w:val="32"/>
        </w:rPr>
        <w:t>万元，占</w:t>
      </w:r>
      <w:r>
        <w:rPr>
          <w:rFonts w:hint="eastAsia" w:ascii="仿宋" w:hAnsi="仿宋" w:eastAsia="仿宋" w:cs="仿宋"/>
          <w:sz w:val="32"/>
          <w:szCs w:val="32"/>
          <w:lang w:val="en-US" w:eastAsia="zh-CN"/>
        </w:rPr>
        <w:t>10.09</w:t>
      </w:r>
      <w:r>
        <w:rPr>
          <w:rFonts w:hint="eastAsia" w:ascii="仿宋" w:hAnsi="仿宋" w:eastAsia="仿宋" w:cs="仿宋"/>
          <w:sz w:val="32"/>
          <w:szCs w:val="32"/>
        </w:rPr>
        <w:t>%;</w:t>
      </w:r>
      <w:r>
        <w:rPr>
          <w:rFonts w:hint="eastAsia" w:ascii="仿宋_GB2312" w:hAnsi="仿宋_GB2312" w:eastAsia="仿宋_GB2312" w:cs="仿宋_GB2312"/>
          <w:i w:val="0"/>
          <w:caps w:val="0"/>
          <w:color w:val="444444"/>
          <w:spacing w:val="0"/>
          <w:sz w:val="32"/>
          <w:szCs w:val="32"/>
          <w:shd w:val="clear" w:color="auto" w:fill="FFFFFF"/>
        </w:rPr>
        <w:t>医疗卫生支出</w:t>
      </w:r>
      <w:r>
        <w:rPr>
          <w:rFonts w:hint="eastAsia" w:ascii="仿宋_GB2312" w:hAnsi="仿宋_GB2312" w:eastAsia="仿宋_GB2312" w:cs="仿宋_GB2312"/>
          <w:i w:val="0"/>
          <w:caps w:val="0"/>
          <w:color w:val="444444"/>
          <w:spacing w:val="0"/>
          <w:sz w:val="32"/>
          <w:szCs w:val="32"/>
          <w:shd w:val="clear" w:color="auto" w:fill="FFFFFF"/>
          <w:lang w:val="en-US" w:eastAsia="zh-CN"/>
        </w:rPr>
        <w:t>12万</w:t>
      </w:r>
      <w:r>
        <w:rPr>
          <w:rFonts w:hint="eastAsia" w:ascii="仿宋_GB2312" w:hAnsi="仿宋_GB2312" w:eastAsia="仿宋_GB2312" w:cs="仿宋_GB2312"/>
          <w:i w:val="0"/>
          <w:caps w:val="0"/>
          <w:color w:val="444444"/>
          <w:spacing w:val="0"/>
          <w:sz w:val="32"/>
          <w:szCs w:val="32"/>
          <w:shd w:val="clear" w:color="auto" w:fill="FFFFFF"/>
        </w:rPr>
        <w:t>元</w:t>
      </w:r>
      <w:r>
        <w:rPr>
          <w:rFonts w:hint="eastAsia" w:ascii="仿宋" w:hAnsi="仿宋" w:eastAsia="仿宋" w:cs="仿宋"/>
          <w:sz w:val="32"/>
          <w:szCs w:val="32"/>
        </w:rPr>
        <w:t>，</w:t>
      </w:r>
      <w:r>
        <w:rPr>
          <w:rFonts w:hint="eastAsia" w:ascii="仿宋" w:hAnsi="仿宋" w:eastAsia="仿宋" w:cs="仿宋"/>
          <w:sz w:val="32"/>
          <w:szCs w:val="32"/>
          <w:lang w:eastAsia="zh-CN"/>
        </w:rPr>
        <w:t>占</w:t>
      </w:r>
      <w:r>
        <w:rPr>
          <w:rFonts w:hint="eastAsia" w:ascii="仿宋" w:hAnsi="仿宋" w:eastAsia="仿宋" w:cs="仿宋"/>
          <w:sz w:val="32"/>
          <w:szCs w:val="32"/>
          <w:lang w:val="en-US" w:eastAsia="zh-CN"/>
        </w:rPr>
        <w:t>7.27</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11.58</w:t>
      </w:r>
      <w:r>
        <w:rPr>
          <w:rFonts w:hint="eastAsia" w:ascii="仿宋" w:hAnsi="仿宋" w:eastAsia="仿宋" w:cs="仿宋"/>
          <w:sz w:val="32"/>
          <w:szCs w:val="32"/>
        </w:rPr>
        <w:t>万元</w:t>
      </w:r>
      <w:r>
        <w:rPr>
          <w:rFonts w:hint="eastAsia" w:ascii="仿宋" w:hAnsi="仿宋" w:eastAsia="仿宋" w:cs="仿宋"/>
          <w:sz w:val="32"/>
          <w:szCs w:val="32"/>
          <w:lang w:eastAsia="zh-CN"/>
        </w:rPr>
        <w:t>，占</w:t>
      </w:r>
      <w:r>
        <w:rPr>
          <w:rFonts w:hint="eastAsia" w:ascii="仿宋" w:hAnsi="仿宋" w:eastAsia="仿宋" w:cs="仿宋"/>
          <w:sz w:val="32"/>
          <w:szCs w:val="32"/>
          <w:lang w:val="en-US" w:eastAsia="zh-CN"/>
        </w:rPr>
        <w:t>7.01</w:t>
      </w:r>
      <w:r>
        <w:rPr>
          <w:rFonts w:hint="eastAsia" w:ascii="仿宋" w:hAnsi="仿宋" w:eastAsia="仿宋" w:cs="仿宋"/>
          <w:sz w:val="32"/>
          <w:szCs w:val="32"/>
        </w:rPr>
        <w:t>%。具体安排情况如下：</w:t>
      </w:r>
    </w:p>
    <w:p>
      <w:pPr>
        <w:pStyle w:val="10"/>
        <w:keepNext w:val="0"/>
        <w:keepLines w:val="0"/>
        <w:pageBreakBefore w:val="0"/>
        <w:widowControl/>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基本支出：</w:t>
      </w:r>
      <w:r>
        <w:rPr>
          <w:rFonts w:hint="eastAsia" w:ascii="仿宋" w:hAnsi="仿宋" w:eastAsia="仿宋" w:cs="仿宋"/>
          <w:sz w:val="32"/>
          <w:szCs w:val="32"/>
        </w:rPr>
        <w:t>2021年本部门基本支出预算数</w:t>
      </w:r>
      <w:r>
        <w:rPr>
          <w:rFonts w:hint="eastAsia" w:ascii="仿宋" w:hAnsi="仿宋" w:eastAsia="仿宋" w:cs="仿宋"/>
          <w:sz w:val="32"/>
          <w:szCs w:val="32"/>
          <w:lang w:val="en-US" w:eastAsia="zh-CN"/>
        </w:rPr>
        <w:t>160.09</w:t>
      </w:r>
      <w:r>
        <w:rPr>
          <w:rFonts w:hint="eastAsia" w:ascii="仿宋" w:hAnsi="仿宋" w:eastAsia="仿宋" w:cs="仿宋"/>
          <w:sz w:val="32"/>
          <w:szCs w:val="32"/>
        </w:rPr>
        <w:t>万元，主要是为保障部门正常运转、完成日常工作任务而发生的各项支出，包括用于基本工资、津贴补贴等人员经费以及办公费、印刷费、水电费、差旅费等公用经费。</w:t>
      </w:r>
    </w:p>
    <w:p>
      <w:pPr>
        <w:pStyle w:val="10"/>
        <w:keepNext w:val="0"/>
        <w:keepLines w:val="0"/>
        <w:pageBreakBefore w:val="0"/>
        <w:widowControl/>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项目支出：</w:t>
      </w:r>
      <w:r>
        <w:rPr>
          <w:rFonts w:hint="eastAsia" w:ascii="仿宋" w:hAnsi="仿宋" w:eastAsia="仿宋" w:cs="仿宋"/>
          <w:sz w:val="32"/>
          <w:szCs w:val="32"/>
        </w:rPr>
        <w:t>2021年本部门项目支出预算数</w:t>
      </w:r>
      <w:r>
        <w:rPr>
          <w:rFonts w:hint="eastAsia" w:ascii="仿宋" w:hAnsi="仿宋" w:eastAsia="仿宋" w:cs="仿宋"/>
          <w:sz w:val="32"/>
          <w:szCs w:val="32"/>
          <w:lang w:val="en-US" w:eastAsia="zh-CN"/>
        </w:rPr>
        <w:t>5</w:t>
      </w:r>
      <w:r>
        <w:rPr>
          <w:rFonts w:hint="eastAsia" w:ascii="仿宋" w:hAnsi="仿宋" w:eastAsia="仿宋" w:cs="仿宋"/>
          <w:sz w:val="32"/>
          <w:szCs w:val="32"/>
        </w:rPr>
        <w:t>万元，主要是</w:t>
      </w:r>
      <w:r>
        <w:rPr>
          <w:rFonts w:hint="eastAsia" w:ascii="仿宋" w:hAnsi="仿宋" w:eastAsia="仿宋" w:cs="仿宋"/>
          <w:sz w:val="32"/>
          <w:szCs w:val="32"/>
          <w:lang w:eastAsia="zh-CN"/>
        </w:rPr>
        <w:t>用于房屋征收监管及信访维稳支出等方面。</w:t>
      </w:r>
      <w:r>
        <w:rPr>
          <w:rFonts w:hint="eastAsia" w:ascii="仿宋" w:hAnsi="仿宋" w:eastAsia="仿宋" w:cs="仿宋"/>
          <w:sz w:val="32"/>
          <w:szCs w:val="32"/>
        </w:rPr>
        <w:t>其中：</w:t>
      </w:r>
      <w:r>
        <w:rPr>
          <w:rFonts w:hint="eastAsia" w:ascii="仿宋" w:hAnsi="仿宋" w:eastAsia="仿宋" w:cs="仿宋"/>
          <w:sz w:val="32"/>
          <w:szCs w:val="32"/>
          <w:lang w:eastAsia="zh-CN"/>
        </w:rPr>
        <w:t>专项商品和服务支出</w:t>
      </w:r>
      <w:r>
        <w:rPr>
          <w:rFonts w:hint="eastAsia" w:ascii="仿宋" w:hAnsi="仿宋" w:eastAsia="仿宋" w:cs="仿宋"/>
          <w:sz w:val="32"/>
          <w:szCs w:val="32"/>
          <w:lang w:val="en-US" w:eastAsia="zh-CN"/>
        </w:rPr>
        <w:t>5万元，主要是用于支付社区房屋征收方面的维稳经费</w:t>
      </w:r>
      <w:r>
        <w:rPr>
          <w:rFonts w:hint="eastAsia" w:ascii="仿宋" w:hAnsi="仿宋" w:eastAsia="仿宋" w:cs="仿宋"/>
          <w:sz w:val="32"/>
          <w:szCs w:val="32"/>
        </w:rPr>
        <w:t>。</w:t>
      </w:r>
    </w:p>
    <w:p>
      <w:pPr>
        <w:pStyle w:val="10"/>
        <w:keepNext w:val="0"/>
        <w:keepLines w:val="0"/>
        <w:pageBreakBefore w:val="0"/>
        <w:widowControl/>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政府性基金预算支出</w:t>
      </w:r>
    </w:p>
    <w:p>
      <w:pPr>
        <w:pStyle w:val="10"/>
        <w:keepNext w:val="0"/>
        <w:keepLines w:val="0"/>
        <w:pageBreakBefore w:val="0"/>
        <w:widowControl/>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3" w:firstLineChars="200"/>
        <w:jc w:val="both"/>
        <w:textAlignment w:val="auto"/>
        <w:rPr>
          <w:rFonts w:ascii="仿宋_GB2312" w:eastAsia="仿宋_GB2312" w:cs="宋体"/>
          <w:sz w:val="32"/>
          <w:szCs w:val="32"/>
          <w:lang w:val="en-US"/>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2021年本部门无政府性基金安排的支出。</w:t>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ascii="黑体" w:eastAsia="黑体"/>
          <w:sz w:val="32"/>
          <w:szCs w:val="32"/>
        </w:rPr>
      </w:pPr>
      <w:r>
        <w:rPr>
          <w:rFonts w:hint="eastAsia" w:ascii="黑体" w:eastAsia="黑体"/>
          <w:sz w:val="32"/>
          <w:szCs w:val="32"/>
          <w:lang w:eastAsia="zh-CN"/>
        </w:rPr>
        <w:t>六</w:t>
      </w:r>
      <w:r>
        <w:rPr>
          <w:rFonts w:hint="eastAsia" w:ascii="黑体" w:eastAsia="黑体"/>
          <w:sz w:val="32"/>
          <w:szCs w:val="32"/>
        </w:rPr>
        <w:t>、其他重要事项的情况说明</w:t>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3" w:firstLineChars="200"/>
        <w:jc w:val="both"/>
        <w:textAlignment w:val="auto"/>
        <w:rPr>
          <w:rFonts w:ascii="仿宋_GB2312" w:eastAsia="仿宋_GB2312" w:cs="Arial"/>
          <w:b/>
          <w:bCs/>
          <w:color w:val="333333"/>
          <w:sz w:val="32"/>
          <w:szCs w:val="32"/>
          <w:shd w:val="clear" w:color="auto" w:fill="FFFFFF"/>
        </w:rPr>
      </w:pPr>
      <w:r>
        <w:rPr>
          <w:rFonts w:hint="eastAsia" w:ascii="仿宋_GB2312" w:eastAsia="仿宋_GB2312" w:cs="Arial"/>
          <w:b/>
          <w:bCs/>
          <w:color w:val="333333"/>
          <w:sz w:val="32"/>
          <w:szCs w:val="32"/>
          <w:shd w:val="clear" w:color="auto" w:fill="FFFFFF"/>
        </w:rPr>
        <w:t>（一）事业运行经费</w:t>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年邵阳市人民政府房屋征收管理办公室事业运行经费财政拨款预算</w:t>
      </w:r>
      <w:r>
        <w:rPr>
          <w:rFonts w:hint="eastAsia" w:ascii="仿宋_GB2312" w:hAnsi="仿宋_GB2312" w:eastAsia="仿宋_GB2312" w:cs="仿宋_GB2312"/>
          <w:color w:val="333333"/>
          <w:sz w:val="32"/>
          <w:szCs w:val="32"/>
          <w:shd w:val="clear" w:color="auto" w:fill="FFFFFF"/>
          <w:lang w:val="en-US"/>
        </w:rPr>
        <w:t>22.</w:t>
      </w:r>
      <w:r>
        <w:rPr>
          <w:rFonts w:hint="eastAsia" w:ascii="仿宋_GB2312" w:hAnsi="仿宋_GB2312" w:eastAsia="仿宋_GB2312" w:cs="仿宋_GB2312"/>
          <w:color w:val="333333"/>
          <w:sz w:val="32"/>
          <w:szCs w:val="32"/>
          <w:shd w:val="clear" w:color="auto" w:fill="FFFFFF"/>
          <w:lang w:val="en-US" w:eastAsia="zh-CN"/>
        </w:rPr>
        <w:t>87</w:t>
      </w:r>
      <w:r>
        <w:rPr>
          <w:rFonts w:hint="eastAsia" w:ascii="仿宋_GB2312" w:hAnsi="仿宋_GB2312" w:eastAsia="仿宋_GB2312" w:cs="仿宋_GB2312"/>
          <w:sz w:val="32"/>
          <w:szCs w:val="32"/>
          <w:lang w:val="en-US"/>
        </w:rPr>
        <w:t>万元，</w:t>
      </w:r>
      <w:r>
        <w:rPr>
          <w:rFonts w:hint="eastAsia" w:ascii="仿宋_GB2312" w:hAnsi="仿宋_GB2312" w:eastAsia="仿宋_GB2312" w:cs="仿宋_GB2312"/>
          <w:sz w:val="32"/>
          <w:szCs w:val="32"/>
        </w:rPr>
        <w:t>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0.43</w:t>
      </w:r>
      <w:r>
        <w:rPr>
          <w:rFonts w:hint="eastAsia" w:ascii="仿宋_GB2312" w:hAnsi="仿宋_GB2312" w:eastAsia="仿宋_GB2312" w:cs="仿宋_GB2312"/>
          <w:sz w:val="32"/>
          <w:szCs w:val="32"/>
          <w:lang w:val="en-US"/>
        </w:rPr>
        <w:t>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1.92</w:t>
      </w:r>
      <w:r>
        <w:rPr>
          <w:rFonts w:hint="eastAsia" w:ascii="仿宋_GB2312" w:hAnsi="仿宋_GB2312" w:eastAsia="仿宋_GB2312" w:cs="仿宋_GB2312"/>
          <w:sz w:val="32"/>
          <w:szCs w:val="32"/>
          <w:lang w:val="en-US"/>
        </w:rPr>
        <w:t>%,主要是</w:t>
      </w:r>
      <w:r>
        <w:rPr>
          <w:rFonts w:hint="eastAsia" w:eastAsia="仿宋_GB2312"/>
          <w:sz w:val="32"/>
          <w:szCs w:val="32"/>
          <w:lang w:eastAsia="zh-CN"/>
        </w:rPr>
        <w:t>福利费计算基数提高，福利费略有上升</w:t>
      </w:r>
      <w:r>
        <w:rPr>
          <w:rFonts w:hint="eastAsia" w:ascii="仿宋_GB2312" w:hAnsi="仿宋_GB2312" w:eastAsia="仿宋_GB2312" w:cs="仿宋_GB2312"/>
          <w:sz w:val="32"/>
          <w:szCs w:val="32"/>
          <w:lang w:val="en-US"/>
        </w:rPr>
        <w:t>。</w:t>
      </w:r>
    </w:p>
    <w:p>
      <w:pPr>
        <w:pStyle w:val="10"/>
        <w:keepNext w:val="0"/>
        <w:keepLines w:val="0"/>
        <w:pageBreakBefore w:val="0"/>
        <w:widowControl/>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3" w:firstLineChars="200"/>
        <w:jc w:val="both"/>
        <w:textAlignment w:val="auto"/>
        <w:rPr>
          <w:rFonts w:hint="eastAsia" w:ascii="仿宋_GB2312" w:hAnsi="仿宋_GB2312" w:eastAsia="仿宋_GB2312" w:cs="仿宋_GB2312"/>
          <w:sz w:val="32"/>
          <w:szCs w:val="32"/>
          <w:lang w:val="en-US"/>
        </w:rPr>
      </w:pPr>
      <w:r>
        <w:rPr>
          <w:rFonts w:hint="eastAsia" w:ascii="仿宋_GB2312" w:eastAsia="仿宋_GB2312" w:cs="Arial"/>
          <w:b/>
          <w:bCs/>
          <w:color w:val="333333"/>
          <w:sz w:val="32"/>
          <w:szCs w:val="32"/>
          <w:shd w:val="clear" w:color="auto" w:fill="FFFFFF"/>
        </w:rPr>
        <w:t>（</w:t>
      </w:r>
      <w:r>
        <w:rPr>
          <w:rFonts w:hint="eastAsia" w:ascii="仿宋_GB2312" w:eastAsia="仿宋_GB2312" w:cs="Arial"/>
          <w:b/>
          <w:bCs/>
          <w:color w:val="333333"/>
          <w:sz w:val="32"/>
          <w:szCs w:val="32"/>
          <w:shd w:val="clear" w:color="auto" w:fill="FFFFFF"/>
          <w:lang w:eastAsia="zh-CN"/>
        </w:rPr>
        <w:t>二</w:t>
      </w:r>
      <w:r>
        <w:rPr>
          <w:rFonts w:hint="eastAsia" w:ascii="仿宋_GB2312" w:eastAsia="仿宋_GB2312" w:cs="Arial"/>
          <w:b/>
          <w:bCs/>
          <w:color w:val="333333"/>
          <w:sz w:val="32"/>
          <w:szCs w:val="32"/>
          <w:shd w:val="clear" w:color="auto" w:fill="FFFFFF"/>
        </w:rPr>
        <w:t>）</w:t>
      </w:r>
      <w:r>
        <w:rPr>
          <w:rFonts w:hint="eastAsia" w:ascii="仿宋_GB2312" w:hAnsi="仿宋_GB2312" w:eastAsia="仿宋_GB2312" w:cs="仿宋_GB2312"/>
          <w:b/>
          <w:bCs/>
          <w:sz w:val="32"/>
          <w:szCs w:val="32"/>
          <w:lang w:val="en-US"/>
        </w:rPr>
        <w:t>“三公”经费预算：</w:t>
      </w:r>
      <w:r>
        <w:rPr>
          <w:rFonts w:hint="eastAsia" w:ascii="仿宋_GB2312" w:hAnsi="仿宋_GB2312" w:eastAsia="仿宋_GB2312" w:cs="仿宋_GB2312"/>
          <w:sz w:val="32"/>
          <w:szCs w:val="32"/>
          <w:lang w:val="en-US"/>
        </w:rPr>
        <w:t>2021年本部门机关本级一家</w:t>
      </w:r>
      <w:r>
        <w:rPr>
          <w:rFonts w:hint="eastAsia" w:ascii="仿宋_GB2312" w:hAnsi="仿宋_GB2312" w:eastAsia="仿宋_GB2312" w:cs="仿宋_GB2312"/>
          <w:sz w:val="32"/>
          <w:szCs w:val="32"/>
          <w:lang w:val="en-US" w:eastAsia="zh-CN"/>
        </w:rPr>
        <w:t>行</w:t>
      </w:r>
      <w:r>
        <w:rPr>
          <w:rFonts w:hint="eastAsia" w:ascii="仿宋_GB2312" w:hAnsi="仿宋_GB2312" w:eastAsia="仿宋_GB2312" w:cs="仿宋_GB2312"/>
          <w:sz w:val="32"/>
          <w:szCs w:val="32"/>
          <w:lang w:val="en-US"/>
        </w:rPr>
        <w:t>政事业单位的“三公”经费预算数为</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lang w:val="en-US"/>
        </w:rPr>
        <w:t>万元，其中：因公出国（境）费0万元，公务用车购置及运行费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万元（其中，公务用车购置费0万元，公务用车运行费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万元），公务接待费</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val="en-US"/>
        </w:rPr>
        <w:t>万元。 2021年“三公”经费预算</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val="en-US"/>
        </w:rPr>
        <w:t>2020年</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lang w:val="en-US"/>
        </w:rPr>
        <w:t>主要是我</w:t>
      </w:r>
      <w:r>
        <w:rPr>
          <w:rFonts w:hint="eastAsia" w:ascii="仿宋_GB2312" w:hAnsi="仿宋_GB2312" w:eastAsia="仿宋_GB2312" w:cs="仿宋_GB2312"/>
          <w:sz w:val="32"/>
          <w:szCs w:val="32"/>
          <w:lang w:val="en-US" w:eastAsia="zh-CN"/>
        </w:rPr>
        <w:t>办</w:t>
      </w:r>
      <w:r>
        <w:rPr>
          <w:rFonts w:hint="eastAsia" w:ascii="仿宋_GB2312" w:hAnsi="仿宋_GB2312" w:eastAsia="仿宋_GB2312" w:cs="仿宋_GB2312"/>
          <w:sz w:val="32"/>
          <w:szCs w:val="32"/>
          <w:lang w:val="en-US"/>
        </w:rPr>
        <w:t>按照中央、省和市委市政府要求，厉行节约，规范管理，继续严控“三公经费。</w:t>
      </w:r>
    </w:p>
    <w:p>
      <w:pPr>
        <w:pStyle w:val="10"/>
        <w:keepNext w:val="0"/>
        <w:keepLines w:val="0"/>
        <w:pageBreakBefore w:val="0"/>
        <w:widowControl/>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3" w:firstLineChars="200"/>
        <w:jc w:val="both"/>
        <w:textAlignment w:val="auto"/>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b/>
          <w:bCs/>
          <w:sz w:val="32"/>
          <w:szCs w:val="32"/>
          <w:lang w:val="en-US"/>
        </w:rPr>
        <w:t>（三）一般性支出情况：</w:t>
      </w:r>
      <w:r>
        <w:rPr>
          <w:rFonts w:hint="eastAsia" w:ascii="仿宋_GB2312" w:hAnsi="仿宋_GB2312" w:eastAsia="仿宋_GB2312" w:cs="仿宋_GB2312"/>
          <w:sz w:val="32"/>
          <w:szCs w:val="32"/>
          <w:lang w:val="en-US"/>
        </w:rPr>
        <w:t>2021年本部门会议费预算</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val="en-US"/>
        </w:rPr>
        <w:t>万元，拟召开</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rPr>
        <w:t>次会议，人数</w:t>
      </w:r>
      <w:r>
        <w:rPr>
          <w:rFonts w:hint="eastAsia" w:ascii="仿宋_GB2312" w:hAnsi="仿宋_GB2312" w:eastAsia="仿宋_GB2312" w:cs="仿宋_GB2312"/>
          <w:sz w:val="32"/>
          <w:szCs w:val="32"/>
          <w:lang w:val="en-US" w:eastAsia="zh-CN"/>
        </w:rPr>
        <w:t>116</w:t>
      </w:r>
      <w:r>
        <w:rPr>
          <w:rFonts w:hint="eastAsia" w:ascii="仿宋_GB2312" w:hAnsi="仿宋_GB2312" w:eastAsia="仿宋_GB2312" w:cs="仿宋_GB2312"/>
          <w:sz w:val="32"/>
          <w:szCs w:val="32"/>
          <w:lang w:val="en-US"/>
        </w:rPr>
        <w:t>人，内容为</w:t>
      </w:r>
      <w:r>
        <w:rPr>
          <w:rFonts w:hint="eastAsia" w:ascii="仿宋_GB2312" w:hAnsi="仿宋_GB2312" w:eastAsia="仿宋_GB2312" w:cs="仿宋_GB2312"/>
          <w:sz w:val="32"/>
          <w:szCs w:val="32"/>
          <w:lang w:val="en-US" w:eastAsia="zh-CN"/>
        </w:rPr>
        <w:t>房屋征收二榜审核及房屋征收评估公司公证抽签</w:t>
      </w:r>
      <w:r>
        <w:rPr>
          <w:rFonts w:hint="eastAsia" w:ascii="仿宋_GB2312" w:hAnsi="仿宋_GB2312" w:eastAsia="仿宋_GB2312" w:cs="仿宋_GB2312"/>
          <w:sz w:val="32"/>
          <w:szCs w:val="32"/>
          <w:lang w:val="en-US"/>
        </w:rPr>
        <w:t>等相关工作会议；培训费预算</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val="en-US"/>
        </w:rPr>
        <w:t>万元，拟开展</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次培训，人数</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lang w:val="en-US"/>
        </w:rPr>
        <w:t>人，内容为</w:t>
      </w:r>
      <w:r>
        <w:rPr>
          <w:rFonts w:hint="eastAsia"/>
          <w:color w:val="000000"/>
          <w:sz w:val="28"/>
          <w:szCs w:val="28"/>
        </w:rPr>
        <w:t>职业培训，党建，普法</w:t>
      </w:r>
      <w:r>
        <w:rPr>
          <w:rFonts w:hint="eastAsia"/>
          <w:sz w:val="28"/>
          <w:szCs w:val="28"/>
          <w:shd w:val="clear" w:color="auto" w:fill="FFFFFF"/>
        </w:rPr>
        <w:t>培训</w:t>
      </w:r>
      <w:r>
        <w:rPr>
          <w:rFonts w:hint="eastAsia" w:ascii="仿宋_GB2312" w:hAnsi="仿宋_GB2312" w:eastAsia="仿宋_GB2312" w:cs="仿宋_GB2312"/>
          <w:sz w:val="32"/>
          <w:szCs w:val="32"/>
          <w:lang w:val="en-US"/>
        </w:rPr>
        <w:t>等相关业务</w:t>
      </w:r>
      <w:r>
        <w:rPr>
          <w:rFonts w:hint="eastAsia" w:ascii="仿宋_GB2312" w:hAnsi="仿宋_GB2312" w:eastAsia="仿宋_GB2312" w:cs="仿宋_GB2312"/>
          <w:sz w:val="32"/>
          <w:szCs w:val="32"/>
          <w:lang w:val="en-US" w:eastAsia="zh-CN"/>
        </w:rPr>
        <w:t>工作培训；</w:t>
      </w:r>
      <w:r>
        <w:rPr>
          <w:rFonts w:hint="eastAsia" w:ascii="仿宋_GB2312" w:hAnsi="仿宋_GB2312" w:eastAsia="仿宋_GB2312" w:cs="仿宋_GB2312"/>
          <w:sz w:val="32"/>
          <w:szCs w:val="32"/>
          <w:highlight w:val="none"/>
          <w:lang w:val="en-US" w:eastAsia="zh-CN"/>
        </w:rPr>
        <w:t>拟举办节庆、晚会、论坛、赛事活动，经费预算0万元。</w:t>
      </w:r>
    </w:p>
    <w:p>
      <w:pPr>
        <w:pStyle w:val="10"/>
        <w:keepNext w:val="0"/>
        <w:keepLines w:val="0"/>
        <w:pageBreakBefore w:val="0"/>
        <w:widowControl/>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（四）政府采购情况：</w:t>
      </w:r>
      <w:r>
        <w:rPr>
          <w:rFonts w:hint="eastAsia" w:ascii="仿宋_GB2312" w:hAnsi="仿宋_GB2312" w:eastAsia="仿宋_GB2312" w:cs="仿宋_GB2312"/>
          <w:sz w:val="32"/>
          <w:szCs w:val="32"/>
          <w:lang w:val="en-US"/>
        </w:rPr>
        <w:t>2021年本部门政府采购预算总额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rPr>
        <w:t>万元，其中：政府采购货物类预算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rPr>
        <w:t>万元、政府采购服务类预算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rPr>
        <w:t>万元、政府采购工程类预算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rPr>
        <w:t>万元。</w:t>
      </w:r>
    </w:p>
    <w:p>
      <w:pPr>
        <w:pStyle w:val="10"/>
        <w:keepNext w:val="0"/>
        <w:keepLines w:val="0"/>
        <w:pageBreakBefore w:val="0"/>
        <w:widowControl/>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（五）国有资产占有使用及新增资产配置情况：</w:t>
      </w:r>
      <w:r>
        <w:rPr>
          <w:rFonts w:hint="eastAsia" w:ascii="仿宋_GB2312" w:hAnsi="仿宋_GB2312" w:eastAsia="仿宋_GB2312" w:cs="仿宋_GB2312"/>
          <w:sz w:val="32"/>
          <w:szCs w:val="32"/>
          <w:lang w:val="en-US"/>
        </w:rPr>
        <w:t>截至2020年12月底，本部门共有公务用车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辆，其中，机要通信用车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rPr>
        <w:t>辆，应急保障用车0辆，执法执勤用车0辆，特种专业技术用车0辆，其他按照规定配备的公务用车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rPr>
        <w:t>辆；单位价值50万元以上通用设备0台，单位价值100万元以上专用设备0台。2021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pStyle w:val="10"/>
        <w:keepNext w:val="0"/>
        <w:keepLines w:val="0"/>
        <w:pageBreakBefore w:val="0"/>
        <w:widowControl/>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3" w:firstLineChars="200"/>
        <w:jc w:val="both"/>
        <w:textAlignment w:val="auto"/>
        <w:rPr>
          <w:rFonts w:hint="eastAsia" w:ascii="仿宋_GB2312" w:hAnsi="仿宋_GB2312" w:eastAsia="仿宋_GB2312" w:cs="仿宋_GB2312"/>
          <w:color w:val="333333"/>
          <w:sz w:val="32"/>
          <w:szCs w:val="32"/>
          <w:shd w:val="clear" w:color="auto" w:fill="FFFFFF"/>
          <w:lang w:val="en-US"/>
        </w:rPr>
      </w:pPr>
      <w:r>
        <w:rPr>
          <w:rFonts w:hint="eastAsia" w:ascii="仿宋_GB2312" w:hAnsi="仿宋_GB2312" w:eastAsia="仿宋_GB2312" w:cs="仿宋_GB2312"/>
          <w:b/>
          <w:bCs/>
          <w:sz w:val="32"/>
          <w:szCs w:val="32"/>
          <w:lang w:val="en-US"/>
        </w:rPr>
        <w:t>（六）预算绩效目标设置情况：</w:t>
      </w:r>
      <w:r>
        <w:rPr>
          <w:rFonts w:hint="eastAsia" w:ascii="仿宋_GB2312" w:hAnsi="仿宋_GB2312" w:eastAsia="仿宋_GB2312" w:cs="仿宋_GB2312"/>
          <w:sz w:val="32"/>
          <w:szCs w:val="32"/>
          <w:lang w:val="en-US"/>
        </w:rPr>
        <w:t>本部门所有支出实行绩效目标管理。纳入2021年部门整体支出绩效目标的金额为</w:t>
      </w:r>
      <w:r>
        <w:rPr>
          <w:rFonts w:hint="eastAsia" w:ascii="仿宋_GB2312" w:hAnsi="仿宋_GB2312" w:eastAsia="仿宋_GB2312" w:cs="仿宋_GB2312"/>
          <w:sz w:val="32"/>
          <w:szCs w:val="32"/>
          <w:lang w:val="en-US" w:eastAsia="zh-CN"/>
        </w:rPr>
        <w:t>165.09</w:t>
      </w:r>
      <w:r>
        <w:rPr>
          <w:rFonts w:hint="eastAsia" w:ascii="仿宋_GB2312" w:hAnsi="仿宋_GB2312" w:eastAsia="仿宋_GB2312" w:cs="仿宋_GB2312"/>
          <w:sz w:val="32"/>
          <w:szCs w:val="32"/>
          <w:lang w:val="en-US"/>
        </w:rPr>
        <w:t>万元，其中，基本支出</w:t>
      </w:r>
      <w:r>
        <w:rPr>
          <w:rFonts w:hint="eastAsia" w:ascii="仿宋_GB2312" w:hAnsi="仿宋_GB2312" w:eastAsia="仿宋_GB2312" w:cs="仿宋_GB2312"/>
          <w:sz w:val="32"/>
          <w:szCs w:val="32"/>
          <w:lang w:val="en-US" w:eastAsia="zh-CN"/>
        </w:rPr>
        <w:t>160.09</w:t>
      </w:r>
      <w:r>
        <w:rPr>
          <w:rFonts w:hint="eastAsia" w:ascii="仿宋_GB2312" w:hAnsi="仿宋_GB2312" w:eastAsia="仿宋_GB2312" w:cs="仿宋_GB2312"/>
          <w:sz w:val="32"/>
          <w:szCs w:val="32"/>
          <w:lang w:val="en-US"/>
        </w:rPr>
        <w:t>万元，项目支出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rPr>
        <w:t>万元，具体绩效目标详见报表。</w:t>
      </w:r>
    </w:p>
    <w:p>
      <w:pPr>
        <w:pStyle w:val="10"/>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0" w:firstLineChars="200"/>
        <w:jc w:val="both"/>
        <w:textAlignment w:val="auto"/>
        <w:rPr>
          <w:rFonts w:ascii="黑体" w:eastAsia="黑体"/>
          <w:sz w:val="32"/>
          <w:szCs w:val="32"/>
        </w:rPr>
      </w:pPr>
      <w:r>
        <w:rPr>
          <w:rFonts w:hint="eastAsia" w:ascii="黑体" w:eastAsia="黑体"/>
          <w:sz w:val="32"/>
          <w:szCs w:val="32"/>
          <w:lang w:eastAsia="zh-CN"/>
        </w:rPr>
        <w:t>七</w:t>
      </w:r>
      <w:r>
        <w:rPr>
          <w:rFonts w:hint="eastAsia" w:ascii="黑体" w:eastAsia="黑体"/>
          <w:sz w:val="32"/>
          <w:szCs w:val="32"/>
        </w:rPr>
        <w:t>、名词解释</w:t>
      </w:r>
    </w:p>
    <w:p>
      <w:pPr>
        <w:pStyle w:val="10"/>
        <w:keepNext w:val="0"/>
        <w:keepLines w:val="0"/>
        <w:pageBreakBefore w:val="0"/>
        <w:widowControl/>
        <w:tabs>
          <w:tab w:val="left" w:pos="42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3" w:firstLineChars="200"/>
        <w:jc w:val="both"/>
        <w:textAlignment w:val="auto"/>
        <w:rPr>
          <w:rFonts w:ascii="仿宋_GB2312" w:eastAsia="仿宋_GB2312" w:cs="Arial"/>
          <w:color w:val="333333"/>
          <w:sz w:val="32"/>
          <w:szCs w:val="32"/>
          <w:shd w:val="clear" w:color="auto" w:fill="FFFFFF"/>
          <w:lang w:val="en-US"/>
        </w:rPr>
      </w:pPr>
      <w:r>
        <w:rPr>
          <w:rFonts w:hint="eastAsia" w:ascii="仿宋_GB2312" w:eastAsia="仿宋_GB2312" w:cs="Arial"/>
          <w:b/>
          <w:bCs/>
          <w:color w:val="333333"/>
          <w:sz w:val="32"/>
          <w:szCs w:val="32"/>
          <w:shd w:val="clear" w:color="auto" w:fill="FFFFFF"/>
          <w:lang w:val="en-US"/>
        </w:rPr>
        <w:t>1、机关（事业）运行经费：</w:t>
      </w:r>
      <w:r>
        <w:rPr>
          <w:rFonts w:hint="eastAsia" w:ascii="仿宋_GB2312" w:eastAsia="仿宋_GB2312" w:cs="Arial"/>
          <w:color w:val="333333"/>
          <w:sz w:val="32"/>
          <w:szCs w:val="32"/>
          <w:shd w:val="clear" w:color="auto" w:fill="FFFFFF"/>
          <w:lang w:val="en-US"/>
        </w:rPr>
        <w:t>为保障行政（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pPr>
        <w:pStyle w:val="10"/>
        <w:keepNext w:val="0"/>
        <w:keepLines w:val="0"/>
        <w:pageBreakBefore w:val="0"/>
        <w:widowControl/>
        <w:tabs>
          <w:tab w:val="left" w:pos="420"/>
          <w:tab w:val="left" w:pos="100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Autospacing="0" w:afterAutospacing="0" w:line="360" w:lineRule="auto"/>
        <w:ind w:left="0" w:leftChars="0" w:firstLine="643" w:firstLineChars="200"/>
        <w:jc w:val="both"/>
        <w:textAlignment w:val="auto"/>
        <w:rPr>
          <w:rFonts w:ascii="仿宋_GB2312" w:eastAsia="仿宋_GB2312" w:cs="Arial"/>
          <w:color w:val="333333"/>
          <w:sz w:val="32"/>
          <w:szCs w:val="32"/>
          <w:shd w:val="clear" w:color="auto" w:fill="FFFFFF"/>
          <w:lang w:val="en-US"/>
        </w:rPr>
      </w:pPr>
      <w:r>
        <w:rPr>
          <w:rFonts w:hint="eastAsia" w:ascii="仿宋_GB2312" w:eastAsia="仿宋_GB2312" w:cs="Arial"/>
          <w:b/>
          <w:bCs/>
          <w:color w:val="333333"/>
          <w:sz w:val="32"/>
          <w:szCs w:val="32"/>
          <w:shd w:val="clear" w:color="auto" w:fill="FFFFFF"/>
          <w:lang w:val="en-US"/>
        </w:rPr>
        <w:t>2、“三公”经费：</w:t>
      </w:r>
      <w:r>
        <w:rPr>
          <w:rFonts w:hint="eastAsia" w:ascii="仿宋_GB2312" w:eastAsia="仿宋_GB2312" w:cs="Arial"/>
          <w:color w:val="333333"/>
          <w:sz w:val="32"/>
          <w:szCs w:val="32"/>
          <w:shd w:val="clear" w:color="auto" w:fill="FFFFFF"/>
          <w:lang w:val="en-US"/>
        </w:rPr>
        <w:t>指本部门当年部门预算安排的因公出国（境）费用、公务接待费、公务用车购置和运行维护费预算数。</w:t>
      </w:r>
    </w:p>
    <w:sectPr>
      <w:pgSz w:w="12240" w:h="15840"/>
      <w:pgMar w:top="1440" w:right="1800" w:bottom="1440" w:left="180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en-US" w:eastAsia="zh-CN"/>
      </w:rPr>
      <w:t>6</w:t>
    </w:r>
    <w:r>
      <w:rPr>
        <w:lang w:val="en-US" w:eastAsia="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2648A4"/>
    <w:multiLevelType w:val="singleLevel"/>
    <w:tmpl w:val="A12648A4"/>
    <w:lvl w:ilvl="0" w:tentative="0">
      <w:start w:val="1"/>
      <w:numFmt w:val="chineseCounting"/>
      <w:suff w:val="nothing"/>
      <w:lvlText w:val="（%1）"/>
      <w:lvlJc w:val="left"/>
      <w:pPr>
        <w:ind w:left="600"/>
      </w:pPr>
      <w:rPr>
        <w:rFonts w:hint="eastAsia"/>
        <w:b/>
        <w:bCs/>
      </w:rPr>
    </w:lvl>
  </w:abstractNum>
  <w:abstractNum w:abstractNumId="1">
    <w:nsid w:val="73CCA0FF"/>
    <w:multiLevelType w:val="singleLevel"/>
    <w:tmpl w:val="73CCA0F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1134"/>
  <w:hyphenationZone w:val="0"/>
  <w:doNotHyphenateCaps/>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GJiMWVmZTg4ZjFhYWZhYWFiMzBkODkwYWRkZmUifQ=="/>
  </w:docVars>
  <w:rsids>
    <w:rsidRoot w:val="00A33654"/>
    <w:rsid w:val="00031F52"/>
    <w:rsid w:val="00046C21"/>
    <w:rsid w:val="000A1769"/>
    <w:rsid w:val="000A5FB6"/>
    <w:rsid w:val="000A7E71"/>
    <w:rsid w:val="000E6E99"/>
    <w:rsid w:val="000F270F"/>
    <w:rsid w:val="00101047"/>
    <w:rsid w:val="0010489B"/>
    <w:rsid w:val="0010541A"/>
    <w:rsid w:val="0011549F"/>
    <w:rsid w:val="00132CFD"/>
    <w:rsid w:val="00157F37"/>
    <w:rsid w:val="00162884"/>
    <w:rsid w:val="00162F84"/>
    <w:rsid w:val="001726B6"/>
    <w:rsid w:val="001929A2"/>
    <w:rsid w:val="001A34B1"/>
    <w:rsid w:val="001B2C5A"/>
    <w:rsid w:val="001C70D5"/>
    <w:rsid w:val="001F0728"/>
    <w:rsid w:val="001F1E8A"/>
    <w:rsid w:val="001F373D"/>
    <w:rsid w:val="001F563B"/>
    <w:rsid w:val="001F608B"/>
    <w:rsid w:val="001F734A"/>
    <w:rsid w:val="0020510F"/>
    <w:rsid w:val="0021087A"/>
    <w:rsid w:val="00250DBE"/>
    <w:rsid w:val="002779E6"/>
    <w:rsid w:val="00290A6A"/>
    <w:rsid w:val="00290B92"/>
    <w:rsid w:val="00294AFF"/>
    <w:rsid w:val="00295E00"/>
    <w:rsid w:val="002A7778"/>
    <w:rsid w:val="002C1322"/>
    <w:rsid w:val="002C1ACA"/>
    <w:rsid w:val="00305492"/>
    <w:rsid w:val="00340CB9"/>
    <w:rsid w:val="00353013"/>
    <w:rsid w:val="003555E0"/>
    <w:rsid w:val="00361ABC"/>
    <w:rsid w:val="00362F15"/>
    <w:rsid w:val="003825F5"/>
    <w:rsid w:val="003B6488"/>
    <w:rsid w:val="003C7121"/>
    <w:rsid w:val="003E1334"/>
    <w:rsid w:val="00410EC0"/>
    <w:rsid w:val="004135CA"/>
    <w:rsid w:val="0041524B"/>
    <w:rsid w:val="00451ABC"/>
    <w:rsid w:val="004809AC"/>
    <w:rsid w:val="004C33F4"/>
    <w:rsid w:val="004D7470"/>
    <w:rsid w:val="004E3041"/>
    <w:rsid w:val="004F2E26"/>
    <w:rsid w:val="00500074"/>
    <w:rsid w:val="00504DCC"/>
    <w:rsid w:val="00536EA8"/>
    <w:rsid w:val="005378D2"/>
    <w:rsid w:val="005465B0"/>
    <w:rsid w:val="00555394"/>
    <w:rsid w:val="00566604"/>
    <w:rsid w:val="005734E3"/>
    <w:rsid w:val="00585134"/>
    <w:rsid w:val="005B363F"/>
    <w:rsid w:val="005B3AA9"/>
    <w:rsid w:val="005C148E"/>
    <w:rsid w:val="005C4ECC"/>
    <w:rsid w:val="005D2F04"/>
    <w:rsid w:val="005E051D"/>
    <w:rsid w:val="005E5C56"/>
    <w:rsid w:val="005E5F7E"/>
    <w:rsid w:val="005F0B5F"/>
    <w:rsid w:val="0061756D"/>
    <w:rsid w:val="006240E4"/>
    <w:rsid w:val="00647649"/>
    <w:rsid w:val="006476DB"/>
    <w:rsid w:val="0068319E"/>
    <w:rsid w:val="0069158E"/>
    <w:rsid w:val="006926A9"/>
    <w:rsid w:val="006A5240"/>
    <w:rsid w:val="006A5963"/>
    <w:rsid w:val="006B2CA3"/>
    <w:rsid w:val="007227B0"/>
    <w:rsid w:val="00726977"/>
    <w:rsid w:val="00731B63"/>
    <w:rsid w:val="00741B0D"/>
    <w:rsid w:val="00744B69"/>
    <w:rsid w:val="00747E73"/>
    <w:rsid w:val="00751779"/>
    <w:rsid w:val="007629F2"/>
    <w:rsid w:val="00771B59"/>
    <w:rsid w:val="00775D9F"/>
    <w:rsid w:val="007801B0"/>
    <w:rsid w:val="007909DC"/>
    <w:rsid w:val="0079709D"/>
    <w:rsid w:val="007A1824"/>
    <w:rsid w:val="007B2D0D"/>
    <w:rsid w:val="007B6546"/>
    <w:rsid w:val="007E554B"/>
    <w:rsid w:val="007F67B3"/>
    <w:rsid w:val="00840797"/>
    <w:rsid w:val="00840A0E"/>
    <w:rsid w:val="008451CD"/>
    <w:rsid w:val="00847FF8"/>
    <w:rsid w:val="00852104"/>
    <w:rsid w:val="0088339D"/>
    <w:rsid w:val="00885EA9"/>
    <w:rsid w:val="008B5EF8"/>
    <w:rsid w:val="008B7D56"/>
    <w:rsid w:val="008C0EDB"/>
    <w:rsid w:val="008C505B"/>
    <w:rsid w:val="008E29A0"/>
    <w:rsid w:val="008E5894"/>
    <w:rsid w:val="008E6109"/>
    <w:rsid w:val="008F1A9A"/>
    <w:rsid w:val="008F1E03"/>
    <w:rsid w:val="00921CE7"/>
    <w:rsid w:val="00923F4C"/>
    <w:rsid w:val="00927E59"/>
    <w:rsid w:val="00966546"/>
    <w:rsid w:val="00967585"/>
    <w:rsid w:val="009728F1"/>
    <w:rsid w:val="00992F0A"/>
    <w:rsid w:val="00995728"/>
    <w:rsid w:val="009A736D"/>
    <w:rsid w:val="009B7625"/>
    <w:rsid w:val="009C7AD0"/>
    <w:rsid w:val="009E336B"/>
    <w:rsid w:val="009F4E44"/>
    <w:rsid w:val="009F53C6"/>
    <w:rsid w:val="009F6252"/>
    <w:rsid w:val="00A12AE6"/>
    <w:rsid w:val="00A33654"/>
    <w:rsid w:val="00A42A19"/>
    <w:rsid w:val="00A5378D"/>
    <w:rsid w:val="00A5539F"/>
    <w:rsid w:val="00A62441"/>
    <w:rsid w:val="00A7596D"/>
    <w:rsid w:val="00A9578A"/>
    <w:rsid w:val="00AB1DAE"/>
    <w:rsid w:val="00AC52E9"/>
    <w:rsid w:val="00AC54A4"/>
    <w:rsid w:val="00B0747D"/>
    <w:rsid w:val="00B100F5"/>
    <w:rsid w:val="00B2561B"/>
    <w:rsid w:val="00B425E4"/>
    <w:rsid w:val="00B4790F"/>
    <w:rsid w:val="00B74960"/>
    <w:rsid w:val="00B7578D"/>
    <w:rsid w:val="00B82205"/>
    <w:rsid w:val="00B831B2"/>
    <w:rsid w:val="00B943B8"/>
    <w:rsid w:val="00BA3231"/>
    <w:rsid w:val="00BB4A7B"/>
    <w:rsid w:val="00BC29A3"/>
    <w:rsid w:val="00BD7EF4"/>
    <w:rsid w:val="00BE683E"/>
    <w:rsid w:val="00BF48D0"/>
    <w:rsid w:val="00C02415"/>
    <w:rsid w:val="00C026AC"/>
    <w:rsid w:val="00C03FBA"/>
    <w:rsid w:val="00C14107"/>
    <w:rsid w:val="00C34D39"/>
    <w:rsid w:val="00C4691D"/>
    <w:rsid w:val="00C47552"/>
    <w:rsid w:val="00C534A6"/>
    <w:rsid w:val="00C562E1"/>
    <w:rsid w:val="00C6237D"/>
    <w:rsid w:val="00C67B42"/>
    <w:rsid w:val="00C71559"/>
    <w:rsid w:val="00C93461"/>
    <w:rsid w:val="00C95DB0"/>
    <w:rsid w:val="00CC557F"/>
    <w:rsid w:val="00CC634E"/>
    <w:rsid w:val="00D46F81"/>
    <w:rsid w:val="00D9455C"/>
    <w:rsid w:val="00D96A52"/>
    <w:rsid w:val="00DB0410"/>
    <w:rsid w:val="00DC35AE"/>
    <w:rsid w:val="00DC5535"/>
    <w:rsid w:val="00DC7490"/>
    <w:rsid w:val="00DD33F1"/>
    <w:rsid w:val="00DE1F52"/>
    <w:rsid w:val="00DE7464"/>
    <w:rsid w:val="00E03235"/>
    <w:rsid w:val="00E13A20"/>
    <w:rsid w:val="00E13E68"/>
    <w:rsid w:val="00E16771"/>
    <w:rsid w:val="00E326F6"/>
    <w:rsid w:val="00E5273C"/>
    <w:rsid w:val="00E64CA4"/>
    <w:rsid w:val="00E77F26"/>
    <w:rsid w:val="00EA34F9"/>
    <w:rsid w:val="00EC2A93"/>
    <w:rsid w:val="00EC4C40"/>
    <w:rsid w:val="00EE0F90"/>
    <w:rsid w:val="00EE6B8C"/>
    <w:rsid w:val="00EE7FCC"/>
    <w:rsid w:val="00F01A5B"/>
    <w:rsid w:val="00F052D8"/>
    <w:rsid w:val="00F22451"/>
    <w:rsid w:val="00F228F8"/>
    <w:rsid w:val="00F2301A"/>
    <w:rsid w:val="00F430EA"/>
    <w:rsid w:val="00F47B1D"/>
    <w:rsid w:val="00F53006"/>
    <w:rsid w:val="00F539E6"/>
    <w:rsid w:val="00F61BCC"/>
    <w:rsid w:val="00F7324F"/>
    <w:rsid w:val="00F83B3F"/>
    <w:rsid w:val="00F8529E"/>
    <w:rsid w:val="00F93803"/>
    <w:rsid w:val="00F94AB1"/>
    <w:rsid w:val="00F9692C"/>
    <w:rsid w:val="00FF63F5"/>
    <w:rsid w:val="04B2608F"/>
    <w:rsid w:val="067137E9"/>
    <w:rsid w:val="07E15FBD"/>
    <w:rsid w:val="0894479C"/>
    <w:rsid w:val="09182BA6"/>
    <w:rsid w:val="094B6519"/>
    <w:rsid w:val="09D34936"/>
    <w:rsid w:val="0A3B59B5"/>
    <w:rsid w:val="0A563A29"/>
    <w:rsid w:val="0C8370DF"/>
    <w:rsid w:val="0E1B4858"/>
    <w:rsid w:val="0E890CD0"/>
    <w:rsid w:val="10942B2A"/>
    <w:rsid w:val="1186317C"/>
    <w:rsid w:val="118E6D12"/>
    <w:rsid w:val="11F63B39"/>
    <w:rsid w:val="12B623E9"/>
    <w:rsid w:val="1316659D"/>
    <w:rsid w:val="13A764A0"/>
    <w:rsid w:val="148B7538"/>
    <w:rsid w:val="15383833"/>
    <w:rsid w:val="1649037D"/>
    <w:rsid w:val="166E7112"/>
    <w:rsid w:val="16C531D6"/>
    <w:rsid w:val="16CA07EC"/>
    <w:rsid w:val="17CC388B"/>
    <w:rsid w:val="19C33223"/>
    <w:rsid w:val="1AB20698"/>
    <w:rsid w:val="1E9A69CC"/>
    <w:rsid w:val="1FCC3717"/>
    <w:rsid w:val="24456F70"/>
    <w:rsid w:val="24E0776C"/>
    <w:rsid w:val="25732961"/>
    <w:rsid w:val="26E53B67"/>
    <w:rsid w:val="27772009"/>
    <w:rsid w:val="28003A90"/>
    <w:rsid w:val="280A1D27"/>
    <w:rsid w:val="2880568B"/>
    <w:rsid w:val="2AAE106E"/>
    <w:rsid w:val="2AC86EA6"/>
    <w:rsid w:val="2B3427DE"/>
    <w:rsid w:val="2C0068E2"/>
    <w:rsid w:val="2F8B5A5E"/>
    <w:rsid w:val="2FE06533"/>
    <w:rsid w:val="31646587"/>
    <w:rsid w:val="31B22151"/>
    <w:rsid w:val="33806570"/>
    <w:rsid w:val="348B5E15"/>
    <w:rsid w:val="372618BA"/>
    <w:rsid w:val="38E83761"/>
    <w:rsid w:val="3A4D2F9F"/>
    <w:rsid w:val="3D0F0F91"/>
    <w:rsid w:val="3E1321C9"/>
    <w:rsid w:val="3E3102AB"/>
    <w:rsid w:val="3E495BEB"/>
    <w:rsid w:val="3EE12D4B"/>
    <w:rsid w:val="40194252"/>
    <w:rsid w:val="407E1EB9"/>
    <w:rsid w:val="41E200C2"/>
    <w:rsid w:val="44894F93"/>
    <w:rsid w:val="44AF49DE"/>
    <w:rsid w:val="455E70EF"/>
    <w:rsid w:val="47D35D1E"/>
    <w:rsid w:val="482C0E85"/>
    <w:rsid w:val="483313C7"/>
    <w:rsid w:val="483A74D4"/>
    <w:rsid w:val="4BED7CC7"/>
    <w:rsid w:val="4C4579F1"/>
    <w:rsid w:val="4D49084D"/>
    <w:rsid w:val="4D60539E"/>
    <w:rsid w:val="4E657F86"/>
    <w:rsid w:val="4E672A1C"/>
    <w:rsid w:val="519B4DDE"/>
    <w:rsid w:val="52E30413"/>
    <w:rsid w:val="5302488E"/>
    <w:rsid w:val="54334197"/>
    <w:rsid w:val="55DE4423"/>
    <w:rsid w:val="562B40FC"/>
    <w:rsid w:val="576E2F27"/>
    <w:rsid w:val="584D1EC5"/>
    <w:rsid w:val="5B3D4236"/>
    <w:rsid w:val="5C7D733B"/>
    <w:rsid w:val="5DCE162C"/>
    <w:rsid w:val="5DD11D04"/>
    <w:rsid w:val="5DED6B07"/>
    <w:rsid w:val="5F5B6D6D"/>
    <w:rsid w:val="5F6B1BB4"/>
    <w:rsid w:val="602E6965"/>
    <w:rsid w:val="60426021"/>
    <w:rsid w:val="61815321"/>
    <w:rsid w:val="618F1564"/>
    <w:rsid w:val="635A392B"/>
    <w:rsid w:val="63B05C41"/>
    <w:rsid w:val="64085976"/>
    <w:rsid w:val="642872C3"/>
    <w:rsid w:val="66516E81"/>
    <w:rsid w:val="66C93608"/>
    <w:rsid w:val="670F484F"/>
    <w:rsid w:val="67673003"/>
    <w:rsid w:val="67A77178"/>
    <w:rsid w:val="67DF76F5"/>
    <w:rsid w:val="68250D1E"/>
    <w:rsid w:val="698543BF"/>
    <w:rsid w:val="6A6B5670"/>
    <w:rsid w:val="6D4E7EF2"/>
    <w:rsid w:val="6E930639"/>
    <w:rsid w:val="71794F50"/>
    <w:rsid w:val="721F699C"/>
    <w:rsid w:val="724F760A"/>
    <w:rsid w:val="74281823"/>
    <w:rsid w:val="75F0011F"/>
    <w:rsid w:val="77E307A7"/>
    <w:rsid w:val="795F5CE7"/>
    <w:rsid w:val="7BFF2E69"/>
    <w:rsid w:val="7DB06B11"/>
    <w:rsid w:val="7DE81409"/>
    <w:rsid w:val="7EE34CC4"/>
    <w:rsid w:val="7F063113"/>
    <w:rsid w:val="7F9B5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6"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6"/>
    <w:rPr>
      <w:rFonts w:ascii="Times New Roman" w:hAnsi="Times New Roman" w:eastAsia="宋体" w:cs="Times New Roman"/>
      <w:lang w:val="zh-CN"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pPr>
    <w:rPr>
      <w:rFonts w:ascii="宋体" w:hAnsi="宋体" w:cs="宋体"/>
      <w:sz w:val="24"/>
      <w:szCs w:val="24"/>
      <w:lang w:val="en-US" w:eastAsia="zh-CN"/>
    </w:rPr>
  </w:style>
  <w:style w:type="character" w:styleId="7">
    <w:name w:val="Strong"/>
    <w:basedOn w:val="6"/>
    <w:qFormat/>
    <w:uiPriority w:val="0"/>
    <w:rPr>
      <w:b/>
      <w:bCs/>
    </w:rPr>
  </w:style>
  <w:style w:type="character" w:customStyle="1" w:styleId="8">
    <w:name w:val="页眉 Char"/>
    <w:basedOn w:val="6"/>
    <w:link w:val="3"/>
    <w:qFormat/>
    <w:uiPriority w:val="0"/>
    <w:rPr>
      <w:sz w:val="18"/>
      <w:szCs w:val="18"/>
      <w:lang w:val="zh-CN" w:eastAsia="en-US"/>
    </w:rPr>
  </w:style>
  <w:style w:type="character" w:customStyle="1" w:styleId="9">
    <w:name w:val="页脚 Char"/>
    <w:basedOn w:val="6"/>
    <w:link w:val="2"/>
    <w:qFormat/>
    <w:uiPriority w:val="99"/>
    <w:rPr>
      <w:sz w:val="18"/>
      <w:szCs w:val="18"/>
      <w:lang w:val="zh-CN" w:eastAsia="en-US"/>
    </w:rPr>
  </w:style>
  <w:style w:type="paragraph" w:customStyle="1" w:styleId="10">
    <w:name w:val="[Normal]"/>
    <w:qFormat/>
    <w:uiPriority w:val="6"/>
    <w:rPr>
      <w:rFonts w:ascii="宋体" w:hAnsi="宋体" w:eastAsia="宋体" w:cs="Times New Roman"/>
      <w:sz w:val="24"/>
      <w:lang w:val="zh-CN" w:eastAsia="zh-CN" w:bidi="ar-SA"/>
    </w:rPr>
  </w:style>
  <w:style w:type="character" w:customStyle="1" w:styleId="11">
    <w:name w:val="font21"/>
    <w:basedOn w:val="6"/>
    <w:qFormat/>
    <w:uiPriority w:val="0"/>
    <w:rPr>
      <w:rFonts w:ascii="黑体" w:hAnsi="宋体" w:eastAsia="黑体" w:cs="黑体"/>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gdcz</Company>
  <Pages>8</Pages>
  <Words>2363</Words>
  <Characters>2562</Characters>
  <Lines>13</Lines>
  <Paragraphs>3</Paragraphs>
  <TotalTime>14</TotalTime>
  <ScaleCrop>false</ScaleCrop>
  <LinksUpToDate>false</LinksUpToDate>
  <CharactersWithSpaces>2576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2021-01-21T01:22:00Z</dcterms:created>
  <dc:creator>Administrator</dc:creator>
  <cp:lastModifiedBy>lee</cp:lastModifiedBy>
  <cp:lastPrinted>2022-07-18T02:35:00Z</cp:lastPrinted>
  <dcterms:modified xsi:type="dcterms:W3CDTF">2022-08-08T01:21:44Z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EDOID">
    <vt:r8>69370</vt:r8>
  </property>
  <property fmtid="{D5CDD505-2E9C-101B-9397-08002B2CF9AE}" pid="4" name="ICV">
    <vt:lpwstr>238B2DFBF5B2491793AF7174E0693A84</vt:lpwstr>
  </property>
</Properties>
</file>