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w w:val="9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w w:val="98"/>
          <w:sz w:val="24"/>
          <w:szCs w:val="24"/>
        </w:rPr>
        <w:t>附件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1" w:name="_GoBack"/>
      <w:bookmarkStart w:id="0" w:name="RANGE!A1:E231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4"/>
          <w:szCs w:val="24"/>
          <w:lang w:val="en-US" w:eastAsia="zh-CN" w:bidi="ar-SA"/>
        </w:rPr>
        <w:t>湖南南山国家公园管理局行政权力清单（试行）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right="-57" w:rightChars="-27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（邵阳市直部门授权部分）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right="-57" w:rightChars="-27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（共16项，其中行政许可8项、行政处罚8项）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</w:pPr>
    </w:p>
    <w:tbl>
      <w:tblPr>
        <w:tblStyle w:val="8"/>
        <w:tblW w:w="15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93"/>
        <w:gridCol w:w="5966"/>
        <w:gridCol w:w="555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权力类别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管理形式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一、邵阳市直部门授予湖南南山国家公园管理局行政权力清单（共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项，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、行政处罚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（一）邵阳市林业局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授予湖南南山国家公园管理局县级行政管理权限目录（共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项，其中行政许可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收购珍贵的和限制收购的林木种子审批。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授权前实施主体为邵阳市林业局；授权后管理局直接实施。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主要林木的良种苗木生产经营许可证核发。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授权前实施主体为邵阳市林业局；授权后管理局直接实施。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森林经营单位修筑直接为林业生产服务工程设施占用林地审批（除国有森林经营单位）。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授权前实施主体为邵阳市林业局；授权后管理局直接实施。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进入森林防火区进行实弹演习、爆破审批。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授权前实施主体为邵阳市林业局；授权后管理局直接实施。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移植古树名木（城市除外）审批。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授权前实施主体为邵阳市林业局；授权后管理局直接实施。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（二）邵阳市生态环境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局授予湖南南山国家公园管理局县级行政管理权限目录（共1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项，其中行政许可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项、行政处罚8项）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建设项目环境影响报告书（表）审批（行使市级环评审批权限）。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环评审批权限内相对应的噪声、固废污染防治设施验收。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建设项目环境影响报告书（表）审批（行使县级环评审批权限）。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授权前实施主体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局；授权后管理局直接实施。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对拒不改正环境违法行为的计日。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；授权后执法方式为管理局单独执法。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违反建设项目环境影响评价制度的。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；授权后执法方式为管理局单独执法。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违反建设项目三同时制度的。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 xml:space="preserve">；授权后执法方式为管理局单独执法。  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向水体排放、倾倒工业废物或实施违法堆放的。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；授权后执法方式为管理局单独执法。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处罚种类：责令停止违法行为、罚款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违反畜禽养殖规定的。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；授权后执法方式为管理局单独执法。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未设置危险废物识别标志等的。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 xml:space="preserve">；授权后执法方式为管理局单独执法。  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违法在特殊区域焚烧的。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；授权后执法方式为管理局单独执法。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违法排放污染物的。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授权前执法主体为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邵阳市生态环境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4"/>
                <w:kern w:val="0"/>
                <w:sz w:val="24"/>
                <w:szCs w:val="24"/>
              </w:rPr>
              <w:t>；授权后执法方式为管理局单独执法。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3" w:leftChars="-3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  <w:t>处罚种类：罚款</w:t>
            </w:r>
          </w:p>
        </w:tc>
      </w:tr>
    </w:tbl>
    <w:p/>
    <w:sectPr>
      <w:pgSz w:w="16838" w:h="11906" w:orient="landscape"/>
      <w:pgMar w:top="1531" w:right="1440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0B49"/>
    <w:rsid w:val="367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7"/>
    <w:basedOn w:val="1"/>
    <w:next w:val="1"/>
    <w:qFormat/>
    <w:uiPriority w:val="0"/>
    <w:pPr>
      <w:ind w:left="2520"/>
      <w:jc w:val="left"/>
    </w:pPr>
    <w:rPr>
      <w:b/>
      <w:bCs/>
    </w:rPr>
  </w:style>
  <w:style w:type="paragraph" w:styleId="6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2021-12-06T03:19:00Z</dcterms:created>
  <dc:creator>ya</dc:creator>
  <cp:lastModifiedBy>ya</cp:lastModifiedBy>
  <dcterms:modified xsi:type="dcterms:W3CDTF">2021-12-06T03:21:01Z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26EB6B293FC142658504DC0F3204AF77</vt:lpwstr>
  </property>
</Properties>
</file>