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color w:val="auto"/>
          <w:sz w:val="44"/>
          <w:szCs w:val="44"/>
        </w:rPr>
        <w:t>工程质量检测监督所含内容</w:t>
      </w:r>
    </w:p>
    <w:bookmarkEnd w:id="0"/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Theme="majorEastAsia" w:hAnsiTheme="majorEastAsia" w:eastAsiaTheme="majorEastAsia"/>
          <w:b/>
          <w:color w:val="auto"/>
          <w:sz w:val="36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一、专项检测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textAlignment w:val="baseline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（一）地基基础工程检测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1、地基及复合地基承载力静载检测；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2、桩的承载力检测；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3、桩身完整性检测；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4、锚杆锁定力检测。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textAlignment w:val="baseline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（二）主体结构工程现场检测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1、混凝土、砂浆、砌体强度现场检测；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2、钢筋保护层厚度检测；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3、混凝土预制构件结构性能检测；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4、后置埋件的力学性能检测。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textAlignment w:val="baseline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（三）建筑幕墙工程检测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1、建筑幕墙的气密性、水密性、风压变形性能、层间变位性能检测；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2、硅酮结构胶相容性检测。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textAlignment w:val="baseline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（四）钢结构工程检测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1、钢结构焊接质量无损检测；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2、钢结构防腐及防火涂装检测；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3、钢结构节点、机械连接用紧固标准件及高强度螺栓力学性能检测；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4、钢网架结构的变形检测。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textAlignment w:val="baseline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</w:t>
      </w:r>
      <w:r>
        <w:rPr>
          <w:rFonts w:ascii="楷体" w:hAnsi="楷体" w:eastAsia="楷体"/>
          <w:b/>
          <w:color w:val="auto"/>
          <w:sz w:val="32"/>
          <w:szCs w:val="32"/>
        </w:rPr>
        <w:t>五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）</w:t>
      </w:r>
      <w:r>
        <w:rPr>
          <w:rFonts w:ascii="楷体" w:hAnsi="楷体" w:eastAsia="楷体"/>
          <w:b/>
          <w:color w:val="auto"/>
          <w:sz w:val="32"/>
          <w:szCs w:val="32"/>
        </w:rPr>
        <w:t>建筑节能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textAlignment w:val="baseline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</w:t>
      </w:r>
      <w:r>
        <w:rPr>
          <w:rFonts w:ascii="楷体" w:hAnsi="楷体" w:eastAsia="楷体"/>
          <w:b/>
          <w:color w:val="auto"/>
          <w:sz w:val="32"/>
          <w:szCs w:val="32"/>
        </w:rPr>
        <w:t>六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）</w:t>
      </w:r>
      <w:r>
        <w:rPr>
          <w:rFonts w:ascii="楷体" w:hAnsi="楷体" w:eastAsia="楷体"/>
          <w:b/>
          <w:color w:val="auto"/>
          <w:sz w:val="32"/>
          <w:szCs w:val="32"/>
        </w:rPr>
        <w:t>室内环境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textAlignment w:val="baseline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</w:t>
      </w:r>
      <w:r>
        <w:rPr>
          <w:rFonts w:ascii="楷体" w:hAnsi="楷体" w:eastAsia="楷体"/>
          <w:b/>
          <w:color w:val="auto"/>
          <w:sz w:val="32"/>
          <w:szCs w:val="32"/>
        </w:rPr>
        <w:t>七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）</w:t>
      </w:r>
      <w:r>
        <w:rPr>
          <w:rFonts w:ascii="楷体" w:hAnsi="楷体" w:eastAsia="楷体"/>
          <w:b/>
          <w:color w:val="auto"/>
          <w:sz w:val="32"/>
          <w:szCs w:val="32"/>
        </w:rPr>
        <w:t>消防工程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textAlignment w:val="baseline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楷体" w:hAnsi="楷体" w:eastAsia="楷体"/>
          <w:b/>
          <w:color w:val="auto"/>
          <w:sz w:val="32"/>
          <w:szCs w:val="32"/>
        </w:rPr>
        <w:t>（</w:t>
      </w:r>
      <w:r>
        <w:rPr>
          <w:rFonts w:ascii="楷体" w:hAnsi="楷体" w:eastAsia="楷体"/>
          <w:b/>
          <w:color w:val="auto"/>
          <w:sz w:val="32"/>
          <w:szCs w:val="32"/>
        </w:rPr>
        <w:t>八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）</w:t>
      </w:r>
      <w:r>
        <w:rPr>
          <w:rFonts w:ascii="楷体" w:hAnsi="楷体" w:eastAsia="楷体"/>
          <w:b/>
          <w:color w:val="auto"/>
          <w:sz w:val="32"/>
          <w:szCs w:val="32"/>
        </w:rPr>
        <w:t>安全</w:t>
      </w:r>
      <w:r>
        <w:rPr>
          <w:rFonts w:hint="eastAsia" w:ascii="楷体" w:hAnsi="楷体" w:eastAsia="楷体"/>
          <w:b/>
          <w:color w:val="auto"/>
          <w:sz w:val="32"/>
          <w:szCs w:val="32"/>
        </w:rPr>
        <w:t>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二、见证取样检测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1、水泥物理力学性能检验；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2、钢筋（含焊接与机械连接）力学性能检验；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3、砂、石常规检验；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4、混凝土、砂浆强度检验；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5、简易土工试验；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6、混凝土掺加剂检验；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7、预应力钢绞线、锚夹具检验；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8、沥青、沥青混合料检验。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textAlignment w:val="baseline"/>
        <w:rPr>
          <w:rFonts w:hint="eastAsia" w:ascii="仿宋_GB2312" w:hAnsi="仿宋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2020-07-27T07:27:11Z</dcterms:created>
  <dc:creator>86157</dc:creator>
  <cp:lastModifiedBy>丁明</cp:lastModifiedBy>
  <dcterms:modified xsi:type="dcterms:W3CDTF">2020-07-27T07:27:25Z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