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1080" w:firstLineChars="300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邵阳市2020-2021年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度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政府集中采购目录</w:t>
      </w:r>
    </w:p>
    <w:bookmarkEnd w:id="0"/>
    <w:tbl>
      <w:tblPr>
        <w:tblStyle w:val="5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0"/>
        <w:gridCol w:w="1941"/>
        <w:gridCol w:w="2950"/>
        <w:gridCol w:w="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left="0" w:leftChars="0" w:firstLine="400" w:firstLineChars="2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编码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品目名称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说明</w:t>
            </w: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en-US"/>
              </w:rPr>
              <w:t>A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货物类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不包含单次釆购预算30万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以下的货物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通用设备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计算机设备及软件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A020101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计算机设备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A02010103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服务器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A02010104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台式计算机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不包括图形工作站</w:t>
            </w: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A02010105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便携式计算机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不包括移动工作站</w:t>
            </w: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A020102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计算机网络设备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pStyle w:val="8"/>
              <w:spacing w:line="206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仅指计算机网络设备，通信网络设备归入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“A0208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通信设备”</w:t>
            </w: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A02010201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路由器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A02010202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交换设备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指交换机</w:t>
            </w: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A0201020201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以太网交换机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A020103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信息安全设备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A02010301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防火墙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A020106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输入输出设备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A02010601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打印设备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A0201060101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喷墨打印机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A0201060102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激光打印机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A0201060103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热式打印机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包括热传式、热敏式打印机</w:t>
            </w: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A0201060104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针式打印机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A02010604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显示设备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A0201060401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液晶显示器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A02010609</w:t>
            </w:r>
          </w:p>
        </w:tc>
        <w:tc>
          <w:tcPr>
            <w:tcW w:w="194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图形图像输入设备</w:t>
            </w:r>
          </w:p>
        </w:tc>
        <w:tc>
          <w:tcPr>
            <w:tcW w:w="295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pStyle w:val="8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en-US"/>
        </w:rPr>
        <w:sectPr>
          <w:headerReference r:id="rId3" w:type="default"/>
          <w:footerReference r:id="rId4" w:type="default"/>
          <w:pgSz w:w="11906" w:h="16838"/>
          <w:pgMar w:top="1440" w:right="1587" w:bottom="1440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0"/>
        <w:gridCol w:w="1908"/>
        <w:gridCol w:w="2983"/>
        <w:gridCol w:w="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A0201060901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扫描仪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A020108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计算机软件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A02010803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应用软件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包括应用软件包和用户程序</w:t>
            </w: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A0201080301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通用应用软件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8"/>
              <w:spacing w:line="226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限操作系统、办公软件、杀毒软件</w:t>
            </w: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3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A0202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办公设备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A020201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复印机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A020202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投影仪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用于测量测绘等专用投影仪除外</w:t>
            </w: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A020204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多功能一体机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8"/>
              <w:spacing w:line="221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具有多种办公功能的设备，如带打印功能的复印机等</w:t>
            </w: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A020205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照相机及器材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A02020501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照相机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A0202050101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数字照相机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8"/>
              <w:spacing w:line="221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指数码机，包括单反数码相机、 卡片数码相机等</w:t>
            </w: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A020208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触控一体机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包括室内型、户外型触摸屏等</w:t>
            </w: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A020210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文印设备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A02021001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速印机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A020211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销毁设备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A02021101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纸机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A020212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条码打印机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3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A0203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车辆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A020305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乘用车（轿车）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包括驾驶员座位在内不超过（含）9个座位</w:t>
            </w: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A02030501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轿车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A02030502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越野车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A02030503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商务车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A020306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客车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A02030601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小型客车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8"/>
              <w:spacing w:line="221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除驾驶员座位外，座位数超过9 座，但不超过（含）16座</w:t>
            </w: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A02030602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大中型客车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8"/>
              <w:spacing w:line="211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除驾驶员座位外，座位数超过（含）16座</w:t>
            </w: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90" w:type="dxa"/>
            <w:shd w:val="clear" w:color="auto" w:fill="FFFFFF"/>
            <w:vAlign w:val="center"/>
          </w:tcPr>
          <w:p>
            <w:pPr>
              <w:pStyle w:val="8"/>
              <w:ind w:firstLine="260" w:firstLineChars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A020307</w:t>
            </w:r>
          </w:p>
        </w:tc>
        <w:tc>
          <w:tcPr>
            <w:tcW w:w="1908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专用车辆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8"/>
              <w:spacing w:line="211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</w:pPr>
          </w:p>
        </w:tc>
      </w:tr>
    </w:tbl>
    <w:p>
      <w:pPr>
        <w:spacing w:line="1" w:lineRule="exact"/>
        <w:jc w:val="both"/>
        <w:rPr>
          <w:sz w:val="2"/>
          <w:szCs w:val="2"/>
        </w:rPr>
        <w:sectPr>
          <w:footerReference r:id="rId5" w:type="default"/>
          <w:pgSz w:w="11906" w:h="16838"/>
          <w:pgMar w:top="1440" w:right="1587" w:bottom="1440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</w:pPr>
    </w:p>
    <w:tbl>
      <w:tblPr>
        <w:tblStyle w:val="5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6"/>
        <w:gridCol w:w="2091"/>
        <w:gridCol w:w="3063"/>
        <w:gridCol w:w="3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A02030728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清洁卫生车辆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A0203072801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垃圾车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A0203072802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洒水车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A0203072803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街道清洗清曰牛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34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A0205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机械设备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A02051228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电梯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34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A0206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电气设备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A020615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电源设备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A02061504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不间断电源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（UPS）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pStyle w:val="8"/>
              <w:spacing w:line="226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包括后备式不间断电源、在线式不间断电源等</w:t>
            </w: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A020618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生活用电器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A02061802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空气调节电器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A0206180203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空调机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pStyle w:val="8"/>
              <w:spacing w:line="221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空调类额定制冷量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14000W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及以下入此，（不含多联式空调机组）</w:t>
            </w: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44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A03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专用设备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34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A0324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环境污染防治设备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A032403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固体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废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弃物处理设备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限破碎压缩设备</w:t>
            </w: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44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A05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图书和档案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34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A0501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图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书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A050101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普通图书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A05010101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书籍、课本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pStyle w:val="8"/>
              <w:spacing w:line="216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指釆购预算在30万元以上，不包 括广告品</w:t>
            </w: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44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A09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办公消耗品及类似物品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34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A0901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纸制文具及办公用品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A090101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eastAsia="zh-CN"/>
              </w:rPr>
              <w:t>复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印纸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包括再生复印纸</w:t>
            </w: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34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A0902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硒鼓、粉盒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A090201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鼓粉盒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包括再生鼓粉盒</w:t>
            </w: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A090202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粉盒</w:t>
            </w:r>
          </w:p>
        </w:tc>
        <w:tc>
          <w:tcPr>
            <w:tcW w:w="30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</w:tbl>
    <w:p>
      <w:pPr>
        <w:pStyle w:val="8"/>
        <w:ind w:firstLine="260"/>
        <w:jc w:val="both"/>
        <w:rPr>
          <w:rFonts w:hint="eastAsia" w:asciiTheme="majorEastAsia" w:hAnsiTheme="majorEastAsia" w:eastAsiaTheme="majorEastAsia" w:cstheme="majorEastAsia"/>
          <w:sz w:val="18"/>
          <w:szCs w:val="18"/>
          <w:lang w:val="en-US" w:eastAsia="en-US"/>
        </w:rPr>
        <w:sectPr>
          <w:footerReference r:id="rId6" w:type="default"/>
          <w:pgSz w:w="11906" w:h="16838"/>
          <w:pgMar w:top="1440" w:right="1587" w:bottom="1440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6"/>
        <w:gridCol w:w="2299"/>
        <w:gridCol w:w="315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A090203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喷墨盒</w:t>
            </w:r>
          </w:p>
        </w:tc>
        <w:tc>
          <w:tcPr>
            <w:tcW w:w="3158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A090205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色带</w:t>
            </w:r>
          </w:p>
        </w:tc>
        <w:tc>
          <w:tcPr>
            <w:tcW w:w="3158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44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All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医药品</w:t>
            </w:r>
          </w:p>
        </w:tc>
        <w:tc>
          <w:tcPr>
            <w:tcW w:w="3158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34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A1107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生物化学制品</w:t>
            </w:r>
          </w:p>
        </w:tc>
        <w:tc>
          <w:tcPr>
            <w:tcW w:w="3158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2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A110703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人用疫苗</w:t>
            </w:r>
          </w:p>
        </w:tc>
        <w:tc>
          <w:tcPr>
            <w:tcW w:w="3158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Al1070301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脑炎疫苗</w:t>
            </w:r>
          </w:p>
        </w:tc>
        <w:tc>
          <w:tcPr>
            <w:tcW w:w="3158" w:type="dxa"/>
            <w:shd w:val="clear" w:color="auto" w:fill="FFFFFF"/>
            <w:vAlign w:val="center"/>
          </w:tcPr>
          <w:p>
            <w:pPr>
              <w:pStyle w:val="8"/>
              <w:spacing w:line="218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包括乙型脑炎灭活疫苗、乙型脑 炎纯化疫苗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（Vero）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细胞、冻干 流行性乙型脑炎活疫苗等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Al1070302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脑膜炎疫苗</w:t>
            </w:r>
          </w:p>
        </w:tc>
        <w:tc>
          <w:tcPr>
            <w:tcW w:w="3158" w:type="dxa"/>
            <w:shd w:val="clear" w:color="auto" w:fill="FFFFFF"/>
            <w:vAlign w:val="center"/>
          </w:tcPr>
          <w:p>
            <w:pPr>
              <w:pStyle w:val="8"/>
              <w:spacing w:line="216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包括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群脑膜炎球菌多糖疫苗、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A+C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群脑膜炎球菌多糖疫苗等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Al1070303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麻疹、风疹及腮腺炎疫苗</w:t>
            </w:r>
          </w:p>
        </w:tc>
        <w:tc>
          <w:tcPr>
            <w:tcW w:w="3158" w:type="dxa"/>
            <w:shd w:val="clear" w:color="auto" w:fill="FFFFFF"/>
            <w:vAlign w:val="center"/>
          </w:tcPr>
          <w:p>
            <w:pPr>
              <w:pStyle w:val="8"/>
              <w:spacing w:line="211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包括冻干麻疹活疫苗、麻疹减毒 活疫苗、风疹减毒活疫苗等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A11070304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狂犬病疫苗</w:t>
            </w:r>
          </w:p>
        </w:tc>
        <w:tc>
          <w:tcPr>
            <w:tcW w:w="3158" w:type="dxa"/>
            <w:shd w:val="clear" w:color="auto" w:fill="FFFFFF"/>
            <w:vAlign w:val="center"/>
          </w:tcPr>
          <w:p>
            <w:pPr>
              <w:pStyle w:val="8"/>
              <w:spacing w:line="221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包括人用浓缩狂犬病疫苗、人用 狂犬病纯化疫苗、冻干人用狂犬 病疫苗等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Al1070305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脊髓灰质炎疫苗</w:t>
            </w:r>
          </w:p>
        </w:tc>
        <w:tc>
          <w:tcPr>
            <w:tcW w:w="3158" w:type="dxa"/>
            <w:shd w:val="clear" w:color="auto" w:fill="FFFFFF"/>
            <w:vAlign w:val="center"/>
          </w:tcPr>
          <w:p>
            <w:pPr>
              <w:pStyle w:val="8"/>
              <w:spacing w:line="221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包括口服脊髓灰质炎减毒活疫苗 、脊髓灰质炎活疫苗糖丸等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A11070306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肝炎疫苗</w:t>
            </w:r>
          </w:p>
        </w:tc>
        <w:tc>
          <w:tcPr>
            <w:tcW w:w="3158" w:type="dxa"/>
            <w:shd w:val="clear" w:color="auto" w:fill="FFFFFF"/>
            <w:vAlign w:val="center"/>
          </w:tcPr>
          <w:p>
            <w:pPr>
              <w:pStyle w:val="8"/>
              <w:spacing w:line="216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包括重组（酵母）乙型肝炎疫苗 、乙型肝炎血源疫苗、重组酵母 乙肝疫苗等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Al1070307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流感疫苗</w:t>
            </w:r>
          </w:p>
        </w:tc>
        <w:tc>
          <w:tcPr>
            <w:tcW w:w="3158" w:type="dxa"/>
            <w:shd w:val="clear" w:color="auto" w:fill="FFFFFF"/>
            <w:vAlign w:val="center"/>
          </w:tcPr>
          <w:p>
            <w:pPr>
              <w:pStyle w:val="8"/>
              <w:spacing w:line="221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包括流行性感冒活疫苗、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B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型流 感嗜血杆菌疫苗、流行性感冒及 毒株病毒亚单位灭活疫苗等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Al1070308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肾综合症疫苗</w:t>
            </w:r>
          </w:p>
        </w:tc>
        <w:tc>
          <w:tcPr>
            <w:tcW w:w="3158" w:type="dxa"/>
            <w:shd w:val="clear" w:color="auto" w:fill="FFFFFF"/>
            <w:vAlign w:val="center"/>
          </w:tcPr>
          <w:p>
            <w:pPr>
              <w:pStyle w:val="8"/>
              <w:spacing w:line="219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包括I型肾综合症出血热灭活疫 苗、II型肾综合症出血热灭活疫 苗、双价肾综合症出血热灭活疫 苗等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A11070309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spacing w:line="230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破伤风、白喉及百日咳疫苗</w:t>
            </w:r>
          </w:p>
        </w:tc>
        <w:tc>
          <w:tcPr>
            <w:tcW w:w="3158" w:type="dxa"/>
            <w:shd w:val="clear" w:color="auto" w:fill="FFFFFF"/>
            <w:vAlign w:val="center"/>
          </w:tcPr>
          <w:p>
            <w:pPr>
              <w:pStyle w:val="8"/>
              <w:spacing w:line="221" w:lineRule="exact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包括吸附破伤风疫苗、吸附白喉 疫苗、吸附百日咳白喉联合疫苗 等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bottom"/>
          </w:tcPr>
          <w:p>
            <w:pPr>
              <w:pStyle w:val="8"/>
              <w:ind w:firstLine="18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A11070310</w:t>
            </w:r>
          </w:p>
        </w:tc>
        <w:tc>
          <w:tcPr>
            <w:tcW w:w="2299" w:type="dxa"/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黄热减毒活疫苗</w:t>
            </w:r>
          </w:p>
        </w:tc>
        <w:tc>
          <w:tcPr>
            <w:tcW w:w="3158" w:type="dxa"/>
            <w:shd w:val="clear" w:color="auto" w:fill="FFFFFF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77" w:type="dxa"/>
            <w:shd w:val="clear" w:color="auto" w:fill="FFFFFF"/>
            <w:vAlign w:val="bottom"/>
          </w:tcPr>
          <w:p>
            <w:pPr>
              <w:pStyle w:val="8"/>
              <w:ind w:firstLine="40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bottom"/>
          </w:tcPr>
          <w:p>
            <w:pPr>
              <w:pStyle w:val="8"/>
              <w:ind w:firstLine="18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1070399</w:t>
            </w:r>
          </w:p>
        </w:tc>
        <w:tc>
          <w:tcPr>
            <w:tcW w:w="2299" w:type="dxa"/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其他人用疫苗</w:t>
            </w:r>
          </w:p>
        </w:tc>
        <w:tc>
          <w:tcPr>
            <w:tcW w:w="3158" w:type="dxa"/>
            <w:shd w:val="clear" w:color="auto" w:fill="FFFFFF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77" w:type="dxa"/>
            <w:shd w:val="clear" w:color="auto" w:fill="FFFFFF"/>
            <w:vAlign w:val="bottom"/>
          </w:tcPr>
          <w:p>
            <w:pPr>
              <w:pStyle w:val="8"/>
              <w:ind w:firstLine="40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bottom"/>
          </w:tcPr>
          <w:p>
            <w:pPr>
              <w:pStyle w:val="8"/>
              <w:ind w:firstLine="30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A11053</w:t>
            </w:r>
          </w:p>
        </w:tc>
        <w:tc>
          <w:tcPr>
            <w:tcW w:w="2299" w:type="dxa"/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兽用疫苗</w:t>
            </w:r>
          </w:p>
        </w:tc>
        <w:tc>
          <w:tcPr>
            <w:tcW w:w="3158" w:type="dxa"/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只包括动物强制免疫疫苗</w:t>
            </w:r>
          </w:p>
        </w:tc>
        <w:tc>
          <w:tcPr>
            <w:tcW w:w="2977" w:type="dxa"/>
            <w:shd w:val="clear" w:color="auto" w:fill="FFFFFF"/>
            <w:vAlign w:val="bottom"/>
          </w:tcPr>
          <w:p>
            <w:pPr>
              <w:pStyle w:val="8"/>
              <w:ind w:firstLine="40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2299" w:type="dxa"/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工程类</w:t>
            </w:r>
          </w:p>
        </w:tc>
        <w:tc>
          <w:tcPr>
            <w:tcW w:w="3158" w:type="dxa"/>
            <w:shd w:val="clear" w:color="auto" w:fill="FFFFFF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77" w:type="dxa"/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不包含单次釆购预算60万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以下的工程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30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B0303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拆除工程</w:t>
            </w:r>
          </w:p>
        </w:tc>
        <w:tc>
          <w:tcPr>
            <w:tcW w:w="3158" w:type="dxa"/>
            <w:shd w:val="clear" w:color="auto" w:fill="FFFFFF"/>
            <w:vAlign w:val="bottom"/>
          </w:tcPr>
          <w:p>
            <w:pPr>
              <w:pStyle w:val="8"/>
              <w:spacing w:line="221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与建筑物、构筑物新建、改建、 扩建无关的单独的拆除工程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pStyle w:val="8"/>
              <w:ind w:firstLine="40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44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B07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装修工程</w:t>
            </w:r>
          </w:p>
        </w:tc>
        <w:tc>
          <w:tcPr>
            <w:tcW w:w="3158" w:type="dxa"/>
            <w:shd w:val="clear" w:color="auto" w:fill="FFFFFF"/>
            <w:vAlign w:val="bottom"/>
          </w:tcPr>
          <w:p>
            <w:pPr>
              <w:pStyle w:val="8"/>
              <w:spacing w:line="221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与建筑物、构筑物新建、改建、 扩建无关的单独的装修工程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pStyle w:val="8"/>
              <w:ind w:firstLine="40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center"/>
          </w:tcPr>
          <w:p>
            <w:pPr>
              <w:pStyle w:val="8"/>
              <w:ind w:firstLine="44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B08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修缮工程</w:t>
            </w:r>
          </w:p>
        </w:tc>
        <w:tc>
          <w:tcPr>
            <w:tcW w:w="3158" w:type="dxa"/>
            <w:shd w:val="clear" w:color="auto" w:fill="FFFFFF"/>
            <w:vAlign w:val="bottom"/>
          </w:tcPr>
          <w:p>
            <w:pPr>
              <w:pStyle w:val="8"/>
              <w:spacing w:line="216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与建筑物、构筑物新建、改建、 扩建无关的单独的修缮工程</w:t>
            </w:r>
          </w:p>
        </w:tc>
        <w:tc>
          <w:tcPr>
            <w:tcW w:w="2977" w:type="dxa"/>
            <w:shd w:val="clear" w:color="auto" w:fill="FFFFFF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6" w:type="dxa"/>
            <w:shd w:val="clear" w:color="auto" w:fill="FFFFFF"/>
            <w:vAlign w:val="bottom"/>
          </w:tcPr>
          <w:p>
            <w:pPr>
              <w:pStyle w:val="8"/>
              <w:ind w:firstLine="30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B0801</w:t>
            </w:r>
          </w:p>
        </w:tc>
        <w:tc>
          <w:tcPr>
            <w:tcW w:w="2299" w:type="dxa"/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房屋修缮</w:t>
            </w:r>
          </w:p>
        </w:tc>
        <w:tc>
          <w:tcPr>
            <w:tcW w:w="3158" w:type="dxa"/>
            <w:shd w:val="clear" w:color="auto" w:fill="FFFFFF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77" w:type="dxa"/>
            <w:shd w:val="clear" w:color="auto" w:fill="FFFFFF"/>
            <w:vAlign w:val="bottom"/>
          </w:tcPr>
          <w:p>
            <w:pPr>
              <w:pStyle w:val="8"/>
              <w:ind w:firstLine="40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</w:tbl>
    <w:p>
      <w:pPr>
        <w:spacing w:line="1" w:lineRule="exact"/>
        <w:rPr>
          <w:sz w:val="2"/>
          <w:szCs w:val="2"/>
        </w:rPr>
        <w:sectPr>
          <w:footerReference r:id="rId7" w:type="default"/>
          <w:pgSz w:w="11906" w:h="16838"/>
          <w:pgMar w:top="1440" w:right="1587" w:bottom="1440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</w:pPr>
    </w:p>
    <w:tbl>
      <w:tblPr>
        <w:tblStyle w:val="5"/>
        <w:tblW w:w="960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1"/>
        <w:gridCol w:w="2294"/>
        <w:gridCol w:w="3163"/>
        <w:gridCol w:w="29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firstLine="30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B0802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工业建筑修缮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firstLine="40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firstLine="30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B0803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文物保护建筑修缮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firstLine="30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B0899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其他建筑物、构筑物修缮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服务类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不包含单次釆购预算30万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以下的服务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firstLine="4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C06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会议和展览服务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firstLine="30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C0601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会议服务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ind w:firstLine="26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C060101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大型会议服务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pacing w:line="221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包括党代会、人代会、政协会等 大型会议服务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firstLine="26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C060102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一般会议服务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包括研讨会、表彰会等会议服务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firstLine="4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C08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商务服务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firstLine="30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C0814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印制和出版服务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firstLine="4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C12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房地产中介服务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ind w:firstLine="30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C1204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物业管理服务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指釆购人的办公场所或其他公用场所水电供应服务、设备运行、门窗保养维护、保洁、绿化养护 等的管理及服务。包括：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住宅物业管理服务：住宅小区、住宅楼、公寓等物业的管理服务；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办公楼物业管理服务：写字楼、单位办公楼等物业管理服务；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车站、机场、港口码头、医院、学校等物业管理服务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；——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其他物业管理服务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/>
              </w:rPr>
              <w:t>*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*标明最低层品目范围。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"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2、表中所列项目不包括高校、科研院所采购的科研仪器设备。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</w:rPr>
        <w:sectPr>
          <w:footerReference r:id="rId8" w:type="default"/>
          <w:pgSz w:w="11906" w:h="16838"/>
          <w:pgMar w:top="1440" w:right="1587" w:bottom="1440" w:left="1587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503321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503321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503322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503322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503323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503323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503324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503324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503325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503325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9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/>
      <w:color w:val="000000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Body text|3"/>
    <w:basedOn w:val="1"/>
    <w:qFormat/>
    <w:uiPriority w:val="99"/>
    <w:pPr>
      <w:spacing w:before="120" w:after="140"/>
      <w:ind w:firstLine="420"/>
    </w:pPr>
    <w:rPr>
      <w:rFonts w:ascii="宋体" w:hAnsi="宋体" w:cs="宋体"/>
      <w:sz w:val="17"/>
      <w:szCs w:val="17"/>
      <w:lang w:val="zh-TW" w:eastAsia="zh-TW"/>
    </w:rPr>
  </w:style>
  <w:style w:type="paragraph" w:customStyle="1" w:styleId="8">
    <w:name w:val="Other|1"/>
    <w:basedOn w:val="1"/>
    <w:qFormat/>
    <w:uiPriority w:val="99"/>
    <w:pPr>
      <w:spacing w:line="401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9">
    <w:name w:val="Table caption|1"/>
    <w:basedOn w:val="1"/>
    <w:qFormat/>
    <w:uiPriority w:val="99"/>
    <w:rPr>
      <w:rFonts w:ascii="Times New Roman" w:hAnsi="Times New Roman" w:cs="Times New Roman"/>
      <w:sz w:val="30"/>
      <w:szCs w:val="30"/>
      <w:lang w:val="zh-TW" w:eastAsia="zh-TW"/>
    </w:rPr>
  </w:style>
  <w:style w:type="paragraph" w:customStyle="1" w:styleId="10">
    <w:name w:val="Header or footer|2"/>
    <w:basedOn w:val="1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2020-06-19T05:45:18Z</dcterms:created>
  <dc:creator>86157</dc:creator>
  <cp:lastModifiedBy>丁明</cp:lastModifiedBy>
  <dcterms:modified xsi:type="dcterms:W3CDTF">2020-06-19T05:45:56Z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