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SYCR-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2022-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01014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Times New Roman" w:hAnsi="Times New Roman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/>
          <w:color w:val="000000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邵市政办发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〔2022〕2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号</w:t>
      </w:r>
    </w:p>
    <w:p>
      <w:pPr>
        <w:pStyle w:val="10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pacing w:val="0"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邵阳市人民政府办公室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关于印发《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邵阳市推动公立医院高质量发展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工作方案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县、市、区人民政府，邵阳经济技术开发区管委会，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《邵阳市推动公立医院高质量发展工作方案》已经市委、市人民政府同意，现印发给你们，请认真抓好贯彻落实。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邵阳市人民政府办公室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 w:firstLine="4800" w:firstLineChars="15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2022年9月22日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邵阳市推动公立医院高质量发展工作方案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为推动全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公立医院高质量发展，根据《湖南省人民政府办公厅关于印发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湖南省推动公立医院高质量发展实施方案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的通知》（湘政办发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〔2021〕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81号）精神，结合我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实际，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本方案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工作目标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以人民健康为中心，以建立健全现代医院管理制度为目标，强化体系创新、技术创新、模式创新、管理创新，加快优质医疗资源扩容和区域均衡布局，力争通过5年努力，公立医院发展方式从规模扩张转向提质增效，运行模式从粗放管理转向精细化管理，资源配置从注重物质要素转向更加注重人才技术要素，为更好提供优质高效医疗卫生服务、防范化解重大疫情和突发公共卫生风险、建设健康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邵阳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提供有力支撑。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二、工作任务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（一）推进新体系建设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1.打造省级专科类区域医疗中心。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以省级重点学科为基础，围绕疾病负担重、转外就医集中、严重危害健康的病种，重点建设肿瘤、精神、心脑血管、创伤等专科类别省级区域医疗中心。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责任单位：市卫生健康委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改革委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员会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、市科技局、市财政局、市医保局，排第一的为牵头单位，下同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调整医疗机构布局。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加快推进邵阳市第三人民医院（北塔区）、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邵阳市中医医院岐黄综合大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w w:val="100"/>
          <w:sz w:val="32"/>
          <w:szCs w:val="32"/>
          <w14:textFill>
            <w14:solidFill>
              <w14:schemeClr w14:val="tx1"/>
            </w14:solidFill>
          </w14:textFill>
        </w:rPr>
        <w:t>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、邵阳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w w:val="100"/>
          <w:sz w:val="32"/>
          <w:szCs w:val="32"/>
          <w14:textFill>
            <w14:solidFill>
              <w14:schemeClr w14:val="tx1"/>
            </w14:solidFill>
          </w14:textFill>
        </w:rPr>
        <w:t>市妇幼保健院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综合大楼建设；实现县域三级综合医院全覆盖、县域三级中医医院覆盖率达到50%以上</w:t>
      </w:r>
      <w:r>
        <w:rPr>
          <w:rFonts w:hint="eastAsia" w:ascii="仿宋" w:hAnsi="仿宋" w:eastAsia="仿宋" w:cs="仿宋"/>
          <w:color w:val="000000" w:themeColor="text1"/>
          <w:spacing w:val="-6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（责任单位：市卫生健康委、市发展和改革委员会、市财政局）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推进医疗集团建设。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邵阳市中心医院医疗集团、邵阳学院附属医院医疗集团、中医类医疗集团建设，由上述3个城市医疗集团牵头，各县市人民医院、中医医院、基层医疗卫生机构、公共卫生机构加盟，组建紧密型城市医疗集团，统筹负责网格内居民预防、治疗、康复、护理、健康促进等一体化、连续性医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（责任单位：市卫生健康委、市发展和改革委员会、市委编办）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4.加强中医内涵建设。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快推进省区域中医诊疗中心项目建设，邵东市、武冈市加快创建全国基层中医药工作示范县，隆回县、邵阳县、新宁县加快创建省级基层中医药工作示范县。继续推进医疗机构依法开展中药饮片加工炮制和临方炮制工作，依托市级中医医院建设1-2个区域中药制剂中心，依托县级中医医院建设6-7个中药共享调剂配送中心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（责任单位：市卫生健康委、市发展和改革委员会、市财政局）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构建疫情救治体系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市、县两级要加快推进传染病医院或公共卫生中心建设，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全市二、三级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医院在控制单体规模的基础上，采取新设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并购、重组等方式适度建设发展多院区，发生疫情时迅速转换功能；健全中西医结合的重大疫情防控救治机制，提升应对突发公共卫生事件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中中医药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救治能力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（责任单位：市卫生健康委、市发展和改革委员会、市财政局）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6.加强信息化建设。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推进电子病历、智慧服务、智慧管理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三位一体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的智慧医院建设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建立药品追溯制度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探索推行公立医院处方流转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以邵阳市中心医院为牵头单位，邵阳学院附属第一医院、邵阳学院附属第二医院、市中医医院、市中西医结合医院、市脑科医院为联盟单位，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通过远程影像中心、远程心电中心、医学检验中心、远程病理中心、远程会诊中心的建设，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实现“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基层检查、上级诊断、分级治疗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（责任单位：市卫生健康委、市发展和改革委员会、市工业和信息化局、市行政审批服务局）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7.推进优质资源下沉。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加强与省属医院的联系，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积极推进城市三级公立医院对口帮扶县级人民医院、中医医院，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以学科联盟形式实现优质医疗资源扩容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继续以病种为突破，派出专家到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门诊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坐诊、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科室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查房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带教，以优质医疗资源下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带动区域诊疗服务能力提升。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（责任单位：市卫生健康委、市医保局）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（二）强化医疗服务建设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1.加强临床重点专科建设。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以满足重大疾病临床需求为导向建设临床专科，重点发展重症、肿瘤、心脑血管、呼吸、消化、感染、儿科、麻醉、影像、病理、检验等临床专科和中医优势专科；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以学科建设为抓手，在全市范围内建成151个市临床重点专科、118个省临床重点专科，建设26个中医优势专科，将邵阳市中心医院泌尿外科建成国家级临床重点专科。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（责任单位：市卫生健康委）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2.加强医疗质量管理。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切实加强医疗质量监管，不定期对医疗机构医疗质量安全进行督查。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依托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省建立的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省、市、县三级医疗质量管理标准和控制体系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，推进全市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医疗质量管理与控制信息化平台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强化医疗技术临床应用管理，降低重点病种和重点手术死亡率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持续强化医院感染防控管理，提高重大疫情应对能力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加强用药监测与处方点评，提升临床合理用药水平。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（责任单位：市卫生健康委）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强化医学技术创新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复合手术在神经、心脏、血管等领域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广泛应用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数字减影血管造影（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DSA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设备与外科在百级层流手术室中的全面整合，实现微创介入手术与传统外科开放式手术相结合，降低手术风险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。推进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微创手术、介入手术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、手术机器人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等临床治疗新技术的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广泛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应用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，减少创伤，缩短住院时间。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推动重大疾病中医药防治技术创新，发展中药材精深加工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鼓励商业健康保险参与特需服务，促进医疗新技术进入临床使用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推动医、教、研、产结合，打造医学科技创新应用平台与产业链。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（责任单位：市科技局、市财政局、市卫生健康委、市医保局、市市场监督管理局、邵阳银监分局）。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）强化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医疗服务模式创新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推进预约诊疗与线上分诊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推行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预住院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、日间手术服务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实责任制整体护理，开展无陪护病房试点，开展延续护理服务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胸痛、卒中、创伤、危重孕产妇救治、危重儿童和新生儿救治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五大中心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市、县全覆盖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推广中医综合诊疗模式、多专业一体化诊疗模式、全链条服务模式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实施重大疑难疾病中西医临床协作试点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开设合理用药咨询或药物治疗管理门诊，开展精准用药服务。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（责任单位：市卫生健康委、市医保局）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深化体制机制改革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1.改革人事管理制度。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公立医院人员编制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动态调整机制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落实公立医院人员招聘、职称评审自主权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稳妥推进三级公立医院自主开展高级职称评审试点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改革完善人才评价机制，探索实行成果代表作制度，建立以临床需求为导向、符合医疗卫生行业特点的职称评定体系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完善岗位管理制度，进一步优化公立医院医、药、护、技、管人员比例和专业技术岗位结构比例，提高高级专业技术岗位占比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公立医院医护比逐步达到1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2左右。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（责任单位：市委编办、市人力资源和社会保障局、市卫生健康委）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2.改革薪酬分配制度。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两个允许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要求，建立健全主要体现岗位职责和知识价值的薪酬体系，落实公立医院内部分配自主权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合理核定和动态调整公立医院薪酬总量，合理确定人员支出占公立医院业务支出的比例，允许公立医院在核定的薪酬总量内自主设立薪酬项目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落实科技创新激励政策，科技成果转化所获收益主要用于对完成、转化该项科技成果作出重要贡献人员的奖励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鼓励推行公立医院主要负责人年薪制。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（责任单位：市人力资源和社会保障局、市财政局、市科技局、市卫生健康委、市医保局）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3.完善医务人员培养使用政策。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健全以职业需求为导向的人才培养体系，强化医学生职业素养教育，推动医学生早临床、多临床、反复临床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落实住院医师规范化培训、专科医师规范化培训和继续医学教育制度，落实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两个同等对待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加强中医药师承教育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加强老年、儿科、重症、传染病等紧缺护理专业护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理人员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的培养培训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加强县级医院医务人员培训和向上级医院跟班学习，提升医务人员能力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持续实施高层次卫生人才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225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加大海内外高层次医学人才引进，培养一批高层次复合型医学人才和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水平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医学领域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战略人才、领军人才、创新团队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鼓励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医疗卫生领域优秀青年人才申报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级人才工程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予以适当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倾斜。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（责任单位：市委组织部、市人力资源和社会保障局、市卫生健康委）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4.深化医疗服务价格改革。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建立价格科学、动态调整机制，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动态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调整医疗服务价格，持续优化医疗服务价格结构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完善基本医疗服务价格政府定价和特需服务价格市场调节机制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规范医疗服务价格项目管理，优化特需医疗服务项目的审核程序，加快新增医疗服务价格项目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初核上报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（责任单位：市医保局、市卫生健康委）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5.深化医保支付方式改革。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继续推进“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DIP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”支付改革试点工作，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推进医疗康复、慢性精神疾病等长期住院按床日付费，门诊特殊慢性病按人头付费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探索符合中医药特点的医保支付方式和中医特色的门诊、住院按病种付费管理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规范医保协议管理，确保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医疗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基金及时足额拨付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建立健全综合考核机制，做好国家组织药品和医用耗材集中采购使用常态化管理工作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探索对紧密型医疗联合体实行总额付费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结余留用、合理超支分担，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加强监督考核。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（责任单位：市医保局、市卫生健康委）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提高医院运营管理水平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1.健全医院运营管理体系。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加强法制建设，强化公立医院法治保障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落实公立医院总会计师制度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建立完善医院运营管理决策支持系统，推动医院运营管理科学化、规范化、精细化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以大数据方法建立病种组合标准体系，形成疾病严重程度与资源消耗在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病组的量化治疗标准、药品标准和耗材标准等，对医院病例组合指数（CMI）、成本产出、医生绩效等进行监测评价，引导医院回归功能定位，提升管理效益。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（责任单位：市卫生健康委、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" w:eastAsia="zh-CN" w:bidi="ar-SA"/>
          <w14:textFill>
            <w14:solidFill>
              <w14:schemeClr w14:val="tx1"/>
            </w14:solidFill>
          </w14:textFill>
        </w:rPr>
        <w:t>市人力资源和社会保障局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2.加强全面预算管理。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建立医院全面预算和绩效管理信息系统，以医院战略发展规划和年度计划目标为依据，实现预算编制、预算执行和绩效评价全过程的预算管理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强化预算绩效约束，规范绩效目标的设定、审核、监控、评价、应用，推进预算和绩效管理相融合，促进资源有效分配和使用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定期公开医院财务信息，主动接受社会监督。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（责任单位：市卫生健康委、市财政局）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3.完善内部控制制度。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以业务管理和经济管理的重大风险、重大事件、重要流程为重点，开展风险评估和内部控制评价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强化内部授权审批控制、预算控制、资产控制、合同控制、会计控制、政府采购控制、信息公开控制等，防范财务风险、业务风险、法律风险和廉政风险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强化成本消耗关键环节的流程管理，降低万元收入能耗支出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推行医院后勤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一站式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服务。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（责任单位：市卫生健康委）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4.强化绩效考核和结果运用。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健全绩效评价机制，突出医疗质量、运营效率、持续发展、满意度评价，改革完善公立医院内部绩效考核办法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全面推进公立医院绩效考核，将绩效考核结果作为公立医院发展规划、重大项目立项、财政投入、经费核拨、绩效工资总量核定、医保政策调整的重要依据，作为选拔任用医院党组织书记、院长和领导班子成员的重要参考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（责任单位：市委组织部、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" w:eastAsia="zh-CN" w:bidi="ar-SA"/>
          <w14:textFill>
            <w14:solidFill>
              <w14:schemeClr w14:val="tx1"/>
            </w14:solidFill>
          </w14:textFill>
        </w:rPr>
        <w:t>市人力资源和社会保障局、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市卫生健康委）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加强医院文化建设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1.强化患者需求导向。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坚持生命至上、人民至上，弘扬人文情怀，聚焦群众看病就医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急难愁盼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问题，优化就医流程，改善就医环境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设立一站式服务中心，开通军人、老年人、残疾人、孕妇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、失独家庭、公安人员、消防人员、高端人才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等特殊群体便捷就医通道，为患者提供预约、医保、财务、病案、投诉等多种安全、适宜、优质、高效的医疗卫生服务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探索开展医生医疗服务满意度评价，突出品德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能力和业绩评价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，纳入诚信登记。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（责任单位：市卫生健康委）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2.推动公立医院文化建设。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倡导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团结、和谐、敬业、奉献工作团队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整体推进医院文化建设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，充分挖掘整理体现医院发展历史、技术特色、价值取向等方面的文化特征，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与医德医风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建设、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清廉医院建设融合，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凝练成战略目标、精神品质、服务理念、品牌形象、服务特色和院训、院徽、院歌等文化共识，凝聚支撑医院发展的精神力量。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（责任单位：市卫生健康委）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3.关心关爱医务人员。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邵阳市建立保护关心关爱医务人员长效机制实施方案，建立健全关心关爱医务人员长效机制。推进临床一线医务人员办公室现代化、值班室舒适化、带薪休假常态化。推动建立医务人员职业荣誉制度，宣传表彰先进典型，提升医务人员职业使命感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（责任单位：市卫生健康委、市人力资源和社会保障局、市总工会）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4.加强医院安全建设。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医院要严格尽快落实湖南省地方标准DB43/T2180-2021《医院治安反恐防范要求》，进一步加强“三防”（人防、物防、技防）和“四室”（投诉室、警务室、调解室、监控室）建设，在重点部位安装一键式报警等装置，提高医院治安防范及反恐防范工作与管理能力。推进医疗纠纷人民调解和医疗责任保险工作，认真落实“首诉负责制”。建立涉医案事件联动机制，严防恶性事件发生。对发生的各类案事件，公安机关要迅速出警，依法予以查处，严厉打击医闹、暴力伤医等涉医违法犯罪行为，切实保护医务人员安全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（责任单位：市公安局、市卫生健康委）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坚持和加强党对公立医院的全面领导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1.全面执行党委领导下的院长负责制。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充分发挥公立医院党委把方向、管大局、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决策、促改革、保落实的领导作用，集体研究决定医院重大问题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健全医院党委会和院长办公会议事决策制度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建立书记、院长定期沟通和党委领导下的院长负责制执行情况报告制度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构建党委统一领导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党政分工合作、协调运行的工作机制，把党的领导融入医院治理全过程各方面各环节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把党的建设有关要求写入医院章程，落到实处。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（责任单位：市委组织部、市卫生健康委）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2.加强公立医院领导班子和干部人才队伍建设。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按规定设置医院党组织领导职数，选优配强医院领导班子特别是党组织书记和院长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党组织书记和院长分设的，党组织书记一般不兼任行政领导职务，院长是中共党员的同时担任党组织副书记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坚持党管干部、党管人才原则，医院党委按照干部选拔任用有关规定，制定实施医院内部组织机构负责人选拔任用具体办法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完善人才管理机制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建立医院领导班子成员联系服务高层次人才制度。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（责任单位：市委组织部、市委编办、市卫生健康委）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3.全面提升公立医院党组织和党员队伍建设质量。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实施党支部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五化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建设提质工程和基层党建工作示范点建设，推进基层党组织建设标准化、规范化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强化基层党组织政治功能，建立党支部参与人才引进、队伍建设、职称职务晋升、绩效考核、薪酬分配、评奖评优等重大事项讨论决策的制度机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实施党支部书记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双带头人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培育工程，建立健全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双培养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机制。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（责任单位：市委组织部、市人力资源和社会保障局、市卫生健康委）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4.全面落实公立医院党建工作责任。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建立健全各级党委统一领导、组织部门牵头抓总、卫生健康部门具体负责、相关部门齐抓共管的党建工作责任体系和联席会议制度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医院党组织承担党建工作主体责任，党组织书记是第一责任人，党政领导班子其他党员成员要严格落实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一岗双责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全面开展公立医院党组织书记抓基层党建述职评议考核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把党建工作成效纳入医院等级评定和巡视巡察工作内容，作为年度考核和干部选拔任用的重要依据。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（责任单位：市委组织部、市人力资源和社会保障局、市卫生健康委）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三、工作保障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（一）加强组织领导。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健全组织领导体制和工作推进机制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成立推动邵阳市公立医院高质量发展领导小组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统筹推进公立医院高质量发展相关工作。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 w:themeColor="text1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（二）落实投入责任。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市财政局、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发展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改革委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按规定落实政府对符合区域卫生规划公立医院的投入政策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落实对中医医院和传染病医院、精神病医院、妇幼保健院等专科医院的投入倾斜政策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落实对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区域医疗中心建设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的投入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 w:themeColor="text1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（三）落实责任分工。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县市区、各部门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要加强组织领导，统筹推进公立医院高质量发展与体制机制改革。各级医改牵头协调部门要牵头抓总，协调各部门按照分工积极配合，调整完善相关政策，为公立医院高质量发展创造良好环境。各级各类公立医院要结合实际，制定推动高质量发展的具体目标和实施细则并认真组织实施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 w:themeColor="text1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（四）强化督导考核。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建立科学合理的考核评价机制，围绕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邵阳市推进公立医院高质量发展评价指标（试行）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建立工作台账，定期调度、动态监测，与公立医院绩效考核等有机结合，适时开展评估。进一步健全多元化综合监管机制，加强医疗卫生行业作风建设。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 w:themeColor="text1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（五）总结推广经验。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各级卫生健康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部门要会同有关部门加强调研指导，总结推广典型经验。加强舆论引导，强化示范引领，重点培育一批示范性医院，以点带面推动公立医院高质量发展取得实效。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附件：邵阳市推进公立医院高质量发展评价指标（试行）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ind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w w:val="100"/>
          <w:sz w:val="32"/>
          <w:szCs w:val="32"/>
          <w:lang w:val="e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邵阳市推进公立医院高质量发展评价指标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（试行）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431"/>
        <w:gridCol w:w="2486"/>
        <w:gridCol w:w="1328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指标说明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指标要求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一、加强组织领导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1.由党委和政府主要负责同志（双组长）或其中一位主要负责同志任医改领导小组组长</w:t>
            </w:r>
          </w:p>
        </w:tc>
        <w:tc>
          <w:tcPr>
            <w:tcW w:w="137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1.市级是否落实到位；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2.落实到位的县（市、区）占比=落实到位的县（市、区）数/县（市、区）总数×100%</w:t>
            </w:r>
          </w:p>
        </w:tc>
        <w:tc>
          <w:tcPr>
            <w:tcW w:w="73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调整到位</w:t>
            </w:r>
          </w:p>
        </w:tc>
        <w:tc>
          <w:tcPr>
            <w:tcW w:w="89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医改监测系统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2.由一位政府负责同志统一分管医疗、医保、医药工作</w:t>
            </w:r>
          </w:p>
        </w:tc>
        <w:tc>
          <w:tcPr>
            <w:tcW w:w="1372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65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二、坚持和加强党对公立医院的全面领导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3.全面执行和落实党委领导下的院长负责制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实行党委领导下的院长负责制的公立医院占比=实行党委领导下的院长负责制的公立医院数/公立医院总数×100%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落实到位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医改监测系统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65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4.强化公立医院党委承担党建工作主体责任，基层党组织标准化、规范化建设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党委书记是党建工作第一责任人，领导班子及其成员落实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一岗双责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，开展公立医院党组织书记抓基层党建述职评议考核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加快落实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按季调度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65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5.坚持党管人事原则，完善人才培养、使用和引进管理办法，建立医院领导班子成员联系服务高层次人才制度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实施党支部书记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双带头人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培育工程，建立健全把业务骨干培养成党员、把党员培养成业务骨干的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双培养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机制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加快落实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按季调度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三、构建公立医院高质量发展新体系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6.三级公立医院门诊人次数与出院人次数比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门诊患者人次数/出院患者人次数（急诊、健康体检者不计入）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控制三级医院普通门诊规模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卫生健康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统计年鉴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7.县域内住院量占比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县域内参保住院补偿人次数/全县参保住院补偿总人次数×100%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逐步提高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医改监测系统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8.基层医疗卫生机构诊疗量占总诊疗量的比例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基层医疗卫生机构诊疗人次数/医疗卫生机构总诊疗人次数×100%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达到合理水平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医改监测系统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三、构建公立医院高质量发展新体系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9.县办中医医疗机构覆盖率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设置县办中医医疗机构（我省县级行政区划内政府举办的中医医院、中医门诊部和中医诊所）的县级行政区域数/本市辖区内县级行政区域总数×100%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实现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全覆盖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医改监测系统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10.中医类别执业（助理）医师数占三级公立中医院执业（助理）医师总数的比例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中医类别执业（助理）医师人数/执业（助理）医师总人数×100%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达到合理水平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卫生健康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统计年鉴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11.建立健全分级分层分流的重大疫情救治体系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市、县（市、区）的落实情况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加快完善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按季调度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四、引领公立医院高质量发展新趋势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12.三级公立医院病例组合指数（CMI值）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按病种分值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（D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）总权重/分析病例数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监测比较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三级公立医院绩效考核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13.三级公立医院出院患者四级手术比例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出院患者四级手术台次数/出院患者手术台次数×100%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逐步提高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三级公立医院绩效考核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6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14.三级公立医院每百名卫生技术人员科技成果转化金额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本年度科技成果转化总金额/同期医院卫生技术人员总数×100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逐步提高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三级公立医院绩效考核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6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15.三级公立中医医院门诊和出院患者中药饮片使用率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门诊患者应用中药饮片的人次数/门诊总人次数×100%；出院患者应用中药饮片的人次数/出院患者总人次数×100%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达到合理水平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中医医院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绩效考核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6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16.三级公立中医医院以中医为主治疗的出院患者比例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以中医为主治疗的出院患者人次数/同期出院患者总人次数×100%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达到合理水平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中医医院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绩效考核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17.全面提升公立医院临床安全用药水平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各级各类公立医院的落实情况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加快推进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按季调度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五、提升公立医院高质量发展新效能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18.三级公立医院平均住院日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出院者占用总床日数/出院人数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降低到合理水平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卫生健康统计年鉴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19.实现收支平衡的公立医院占比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现收支平衡的公立医院数/公立医院总数×100%，总收入-总支出≥0即为实现收支平衡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收支平衡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卫生健康财务年报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20.管理费用占公立医院费用总额的比重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管理费用/费用总额×100%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降低到合理水平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卫生健康财务年报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21.公立医院门诊和住院次均费用增幅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（本年门诊次均费用-上年门诊次均费用）/上年门诊次均费用×100%；（本年出院者平均医药费用-上年出院者平均医药费用）/上年出院者平均医药费用×100%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控制在合理范围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卫生健康财务年报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22.电子病历应用功能水平分级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参照国家卫生健康委《电子病历系统应用水平分级评价管理办法（试行）及评价标准（试行）》（国卫办医函〔2018〕1079号）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加快推进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绩效考核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六、激活公立医院高质量发展新活力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执行药品医用耗材集采政策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按时完成约定采购量，优先使用中选产品；及时支付企业货款；非中选产品采购不能超过规定比例；线下、备案采购占比达到要求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监测比较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医药采购平台监测、集采年度考核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24.医疗服务收入（不含药品、耗材、检查、化验收入）占公立医院医疗收入的比例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（医疗收入-药品收入-卫生材料收入-检查收入-化验收入）/医疗收入×100%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逐步提高到合理水平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卫生健康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财务年报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25.按病种付费（DRG、DIP、单病种）的住院参保人员数占公立医院总住院参保人员数的比例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按病种付费（DRG、DIP、单病种）的住院参保人员数/总住院参保人员数x100%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逐步提高到合理水平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医改监测系统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26.无基本建设和设备购置非流动负债的公立医院占比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无基本建设和设备购置非流动负债的公立医院数/公立医院总数×100%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禁止公立医院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举债建设和装备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卫生健康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财务年报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六、激活公立医院高质量发展新活力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27.人员费用占公立医院费用总额的比例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人员费用/总费用×100%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合理确定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卫生健康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财务年报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28.公立医院人员薪酬中稳定收入的比例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（在职职工人均工资性收入-在职职工人均绩效工资含奖金）/在职职工人均工资性收入×100%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发挥薪酬制度的保障功能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卫生健康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财务年报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29.公立医院医护比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公立医院医生总数/护士总数×100%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逐步达到1:2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卫生健康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统计年鉴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30.三级公立医院医学教育培训经费占单位年度业务总收入的比例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医学教育培训经费/年度业务总收入×100%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医学教育培训经费投入达单位年度业务总收入的1%以上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绩效考核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31.三级公立医院科研经费占单位年度业务总收入的比例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科研经费/年度业务总收入×100%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科研经费投入达单位年度业务总收入的1%以上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绩效考核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七、建设公立医院高质量发展新文化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32.公立医院门诊和住院患者满意度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公立医院门诊和住院患者满意度调查得分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逐步提高</w:t>
            </w:r>
          </w:p>
        </w:tc>
        <w:tc>
          <w:tcPr>
            <w:tcW w:w="89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国家卫生健康委满意度调查平台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33.公立医院医务人员满意度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公立医院医务人员满意度调查得分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逐步提高</w:t>
            </w:r>
          </w:p>
        </w:tc>
        <w:tc>
          <w:tcPr>
            <w:tcW w:w="89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八、结合实际推进公立医院高质量发展的创新举措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按季调度</w:t>
            </w:r>
          </w:p>
        </w:tc>
      </w:tr>
    </w:tbl>
    <w:tbl>
      <w:tblPr>
        <w:tblStyle w:val="12"/>
        <w:tblpPr w:leftFromText="180" w:rightFromText="180" w:vertAnchor="text" w:horzAnchor="page" w:tblpX="1676" w:tblpY="1046"/>
        <w:tblOverlap w:val="never"/>
        <w:tblW w:w="0" w:type="auto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2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color w:val="000000"/>
                <w:spacing w:val="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spacing w:val="11"/>
                <w:sz w:val="28"/>
                <w:szCs w:val="28"/>
                <w:vertAlign w:val="baseline"/>
                <w:lang w:eastAsia="zh-CN"/>
              </w:rPr>
              <w:t>抄送：市委各部门，邵阳军分区。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color w:val="000000"/>
                <w:spacing w:val="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spacing w:val="11"/>
                <w:sz w:val="28"/>
                <w:szCs w:val="28"/>
                <w:vertAlign w:val="baseline"/>
                <w:lang w:eastAsia="zh-CN"/>
              </w:rPr>
              <w:t>市人大常委会办公室，市政协办公室，市中级人民法院，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color w:val="000000"/>
                <w:spacing w:val="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spacing w:val="11"/>
                <w:sz w:val="28"/>
                <w:szCs w:val="28"/>
                <w:vertAlign w:val="baseline"/>
                <w:lang w:eastAsia="zh-CN"/>
              </w:rPr>
              <w:t>市人民检察院。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3" w:afterLines="2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spacing w:val="11"/>
                <w:sz w:val="28"/>
                <w:szCs w:val="28"/>
                <w:vertAlign w:val="baseline"/>
                <w:lang w:eastAsia="zh-CN"/>
              </w:rPr>
              <w:t>各民主党派市委。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3" w:afterLines="2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spacing w:val="11"/>
                <w:sz w:val="28"/>
                <w:szCs w:val="28"/>
                <w:vertAlign w:val="baseline"/>
                <w:lang w:eastAsia="zh-CN"/>
              </w:rPr>
              <w:t>邵阳市人民政府办公室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2022年9月</w:t>
            </w: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/>
    <w:sectPr>
      <w:footerReference r:id="rId3" w:type="default"/>
      <w:pgSz w:w="11906" w:h="16838"/>
      <w:pgMar w:top="2098" w:right="1531" w:bottom="1814" w:left="1531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jczZDZkMzExYmIzOTU4ZDZjNTFkOTJhZWE4YjcifQ=="/>
  </w:docVars>
  <w:rsids>
    <w:rsidRoot w:val="5B674790"/>
    <w:rsid w:val="021B67FA"/>
    <w:rsid w:val="11866BDF"/>
    <w:rsid w:val="13DB5EF4"/>
    <w:rsid w:val="2D186B22"/>
    <w:rsid w:val="2D2F5BC1"/>
    <w:rsid w:val="329F0109"/>
    <w:rsid w:val="380810A6"/>
    <w:rsid w:val="3E165D19"/>
    <w:rsid w:val="535A5FBE"/>
    <w:rsid w:val="5B674790"/>
    <w:rsid w:val="5C1D0F5D"/>
    <w:rsid w:val="7841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link w:val="14"/>
    <w:qFormat/>
    <w:uiPriority w:val="0"/>
    <w:pPr>
      <w:adjustRightInd w:val="0"/>
      <w:snapToGrid w:val="0"/>
      <w:spacing w:beforeAutospacing="0" w:afterAutospacing="0" w:line="600" w:lineRule="exact"/>
      <w:ind w:left="0" w:left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  <w:sz w:val="21"/>
      <w:szCs w:val="24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Body Text"/>
    <w:basedOn w:val="1"/>
    <w:next w:val="7"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paragraph" w:styleId="7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8">
    <w:name w:val="Block Text"/>
    <w:basedOn w:val="1"/>
    <w:qFormat/>
    <w:uiPriority w:val="0"/>
    <w:pPr>
      <w:spacing w:after="120" w:line="360" w:lineRule="auto"/>
      <w:ind w:right="18" w:firstLine="200" w:firstLineChars="200"/>
    </w:pPr>
    <w:rPr>
      <w:rFonts w:ascii="Arial" w:hAnsi="Arial" w:eastAsia="楷体_GB2312"/>
      <w:snapToGrid w:val="0"/>
      <w:color w:val="000000"/>
      <w:sz w:val="24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link w:val="4"/>
    <w:qFormat/>
    <w:uiPriority w:val="0"/>
    <w:rPr>
      <w:rFonts w:hint="eastAsia" w:ascii="宋体" w:hAnsi="宋体" w:eastAsia="方正小标宋简体" w:cs="宋体"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8937</Words>
  <Characters>9178</Characters>
  <Lines>0</Lines>
  <Paragraphs>0</Paragraphs>
  <TotalTime>13</TotalTime>
  <ScaleCrop>false</ScaleCrop>
  <LinksUpToDate>false</LinksUpToDate>
  <CharactersWithSpaces>9240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2022-09-23T01:42:00Z</dcterms:created>
  <dc:creator>Administrator</dc:creator>
  <cp:lastModifiedBy>A</cp:lastModifiedBy>
  <dcterms:modified xsi:type="dcterms:W3CDTF">2022-10-10T02:42:01Z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1E14962293D842B09C237442C50038DA</vt:lpwstr>
  </property>
</Properties>
</file>