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560" w:lineRule="exact"/>
        <w:ind w:right="0"/>
        <w:jc w:val="both"/>
        <w:textAlignment w:val="auto"/>
        <w:rPr>
          <w:rFonts w:hint="eastAsia" w:ascii="黑体" w:hAnsi="黑体" w:eastAsia="黑体" w:cs="黑体"/>
          <w:b w:val="0"/>
          <w:i w:val="0"/>
          <w:caps w:val="0"/>
          <w:color w:val="2F2F2F"/>
          <w:spacing w:val="0"/>
          <w:sz w:val="28"/>
          <w:szCs w:val="28"/>
          <w:lang w:eastAsia="zh-CN"/>
        </w:rPr>
      </w:pPr>
      <w:r>
        <w:rPr>
          <w:rFonts w:hint="eastAsia" w:ascii="黑体" w:hAnsi="黑体" w:eastAsia="黑体" w:cs="黑体"/>
          <w:b w:val="0"/>
          <w:i w:val="0"/>
          <w:caps w:val="0"/>
          <w:color w:val="2F2F2F"/>
          <w:spacing w:val="0"/>
          <w:sz w:val="28"/>
          <w:szCs w:val="28"/>
          <w:lang w:eastAsia="zh-CN"/>
        </w:rPr>
        <w:t>附件</w:t>
      </w:r>
    </w:p>
    <w:p>
      <w:pPr>
        <w:spacing w:line="240" w:lineRule="auto"/>
        <w:jc w:val="center"/>
        <w:textAlignment w:val="baseline"/>
        <w:rPr>
          <w:rFonts w:hint="eastAsia" w:ascii="华文中宋" w:hAnsi="华文中宋" w:eastAsia="华文中宋" w:cs="华文中宋"/>
          <w:sz w:val="36"/>
          <w:szCs w:val="36"/>
          <w:lang w:val="en-US" w:eastAsia="zh-CN"/>
        </w:rPr>
      </w:pPr>
      <w:r>
        <w:rPr>
          <w:rFonts w:hint="eastAsia" w:ascii="华文中宋" w:hAnsi="华文中宋" w:eastAsia="华文中宋" w:cs="华文中宋"/>
          <w:sz w:val="36"/>
          <w:szCs w:val="36"/>
          <w:lang w:eastAsia="zh-CN"/>
        </w:rPr>
        <w:t>邵阳市市</w:t>
      </w:r>
      <w:r>
        <w:rPr>
          <w:rFonts w:hint="eastAsia" w:ascii="华文中宋" w:hAnsi="华文中宋" w:eastAsia="华文中宋" w:cs="华文中宋"/>
          <w:sz w:val="36"/>
          <w:szCs w:val="36"/>
          <w:lang w:val="en-US" w:eastAsia="zh-CN"/>
        </w:rPr>
        <w:t>本级行政审批</w:t>
      </w:r>
      <w:r>
        <w:rPr>
          <w:rFonts w:hint="eastAsia" w:ascii="华文中宋" w:hAnsi="华文中宋" w:eastAsia="华文中宋" w:cs="华文中宋"/>
          <w:sz w:val="36"/>
          <w:szCs w:val="36"/>
        </w:rPr>
        <w:t>中介</w:t>
      </w:r>
      <w:bookmarkStart w:id="0" w:name="_GoBack"/>
      <w:bookmarkEnd w:id="0"/>
      <w:r>
        <w:rPr>
          <w:rFonts w:hint="eastAsia" w:ascii="华文中宋" w:hAnsi="华文中宋" w:eastAsia="华文中宋" w:cs="华文中宋"/>
          <w:sz w:val="36"/>
          <w:szCs w:val="36"/>
        </w:rPr>
        <w:t>服务事项清单</w:t>
      </w:r>
      <w:r>
        <w:rPr>
          <w:rStyle w:val="8"/>
          <w:rFonts w:hint="eastAsia" w:ascii="华文中宋" w:hAnsi="华文中宋" w:eastAsia="华文中宋" w:cs="华文中宋"/>
          <w:i w:val="0"/>
          <w:caps w:val="0"/>
          <w:color w:val="auto"/>
          <w:spacing w:val="0"/>
          <w:sz w:val="36"/>
          <w:szCs w:val="36"/>
          <w:u w:val="none"/>
          <w:shd w:val="clear" w:fill="FFFFFF"/>
        </w:rPr>
        <w:t>（2020年版）</w:t>
      </w:r>
    </w:p>
    <w:tbl>
      <w:tblPr>
        <w:tblStyle w:val="5"/>
        <w:tblW w:w="505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214"/>
        <w:gridCol w:w="663"/>
        <w:gridCol w:w="2017"/>
        <w:gridCol w:w="3945"/>
        <w:gridCol w:w="2023"/>
        <w:gridCol w:w="2146"/>
        <w:gridCol w:w="232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423"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对应行政</w:t>
            </w:r>
          </w:p>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审批项目</w:t>
            </w:r>
          </w:p>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lang w:val="en-US" w:eastAsia="zh-CN"/>
              </w:rPr>
            </w:pPr>
            <w:r>
              <w:rPr>
                <w:rFonts w:hint="eastAsia" w:ascii="黑体" w:hAnsi="黑体" w:eastAsia="黑体" w:cs="黑体"/>
                <w:color w:val="auto"/>
                <w:sz w:val="21"/>
                <w:szCs w:val="21"/>
              </w:rPr>
              <w:t>实施机关</w:t>
            </w:r>
          </w:p>
        </w:tc>
        <w:tc>
          <w:tcPr>
            <w:tcW w:w="231"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lang w:val="en-US" w:eastAsia="zh-CN"/>
              </w:rPr>
            </w:pPr>
            <w:r>
              <w:rPr>
                <w:rFonts w:hint="eastAsia" w:ascii="黑体" w:hAnsi="黑体" w:eastAsia="黑体" w:cs="黑体"/>
                <w:color w:val="auto"/>
                <w:sz w:val="21"/>
                <w:szCs w:val="21"/>
                <w:lang w:val="en-US" w:eastAsia="zh-CN"/>
              </w:rPr>
              <w:t>事项</w:t>
            </w:r>
          </w:p>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序号</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事项名称</w:t>
            </w:r>
          </w:p>
        </w:tc>
        <w:tc>
          <w:tcPr>
            <w:tcW w:w="1375"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设置依据</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实施机构</w:t>
            </w:r>
          </w:p>
        </w:tc>
        <w:tc>
          <w:tcPr>
            <w:tcW w:w="748"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对应行政审批</w:t>
            </w:r>
          </w:p>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项目名称</w:t>
            </w:r>
          </w:p>
        </w:tc>
        <w:tc>
          <w:tcPr>
            <w:tcW w:w="811" w:type="pct"/>
            <w:noWrap w:val="0"/>
            <w:vAlign w:val="center"/>
          </w:tcPr>
          <w:p>
            <w:pPr>
              <w:pageBreakBefore w:val="0"/>
              <w:kinsoku/>
              <w:wordWrap/>
              <w:overflowPunct/>
              <w:topLinePunct w:val="0"/>
              <w:autoSpaceDE/>
              <w:autoSpaceDN/>
              <w:bidi w:val="0"/>
              <w:spacing w:line="300" w:lineRule="exact"/>
              <w:jc w:val="center"/>
              <w:rPr>
                <w:rFonts w:hint="eastAsia" w:ascii="黑体" w:hAnsi="黑体" w:eastAsia="黑体" w:cs="黑体"/>
                <w:color w:val="auto"/>
                <w:sz w:val="21"/>
                <w:szCs w:val="21"/>
              </w:rPr>
            </w:pPr>
            <w:r>
              <w:rPr>
                <w:rFonts w:hint="eastAsia" w:ascii="黑体" w:hAnsi="黑体" w:eastAsia="黑体" w:cs="黑体"/>
                <w:color w:val="auto"/>
                <w:sz w:val="21"/>
                <w:szCs w:val="21"/>
              </w:rPr>
              <w:t>实施要求</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92" w:hRule="atLeast"/>
          <w:jc w:val="center"/>
        </w:trPr>
        <w:tc>
          <w:tcPr>
            <w:tcW w:w="423" w:type="pct"/>
            <w:vMerge w:val="restar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发改委</w:t>
            </w:r>
          </w:p>
        </w:tc>
        <w:tc>
          <w:tcPr>
            <w:tcW w:w="231"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项目评估</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《政府投资条例》（国务院令第712号）《企业投资项目核准和备案管理条例》（国务院令第673号）《企业投资项目核准和备案管理办法》（国家发展改革委令第2号）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工程咨询机构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企业投资项目核准、政府投资项目审批</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审批（核准）部门委托有相应合法资信等级的机构承担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市本级政府投资</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项目概算评审</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《邵阳市市本级政府投资项目审批及概算管理办法》（邵市政办发〔2018〕3号）《关于进一步加强市本级政府投资项目审批及概算管理有关事项的通知》（邵市政办发〔2020〕1号）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造价咨询机构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权限内政府投资项目概算审查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审批部门委托有相应合法资信等级的机构承担</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公安局</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驾驶人有关身体</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条件的证明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《中华人民共和国道路交通安全法》《机动车驾驶证申领和使用规定》</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医疗检测单位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机动车驾驶证核发、审验</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提供驾驶人的有关身体条件的证明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境外机动车驾驶证中文翻译文本</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《中华人民共和国道路交通安全法》《机动车驾驶证申领和使用规定》</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具备相应资质的</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技术服务机构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机动车驾驶证核发</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提供境外机动车驾驶证的中文翻译文本</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3"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机动车安全技术</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检验</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《中华人民共和国道路交通安全法》《机动车登记规定》</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机动车安全技术</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1F497D"/>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检验机构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机动车检验合格标志核发</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提供机动车安全技术检验报告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爆破设计施工方案安全评估报告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《民用爆炸物品安全管理</w:t>
            </w:r>
            <w:r>
              <w:rPr>
                <w:rFonts w:hint="eastAsia" w:ascii="宋体" w:hAnsi="宋体" w:cs="宋体"/>
                <w:color w:val="auto"/>
                <w:spacing w:val="0"/>
                <w:w w:val="100"/>
                <w:kern w:val="2"/>
                <w:position w:val="0"/>
                <w:sz w:val="21"/>
                <w:szCs w:val="21"/>
                <w:u w:val="none"/>
                <w:shd w:val="clear" w:color="auto" w:fill="auto"/>
                <w:lang w:val="en-US" w:eastAsia="zh-CN" w:bidi="zh-TW"/>
              </w:rPr>
              <w:t>条例</w:t>
            </w:r>
            <w:r>
              <w:rPr>
                <w:rFonts w:hint="eastAsia" w:ascii="宋体" w:hAnsi="宋体" w:eastAsia="宋体" w:cs="宋体"/>
                <w:color w:val="auto"/>
                <w:spacing w:val="0"/>
                <w:w w:val="100"/>
                <w:kern w:val="2"/>
                <w:position w:val="0"/>
                <w:sz w:val="21"/>
                <w:szCs w:val="21"/>
                <w:u w:val="none"/>
                <w:shd w:val="clear" w:color="auto" w:fill="auto"/>
                <w:lang w:val="en-US" w:eastAsia="zh-CN" w:bidi="zh-TW"/>
              </w:rPr>
              <w:t>》《爆破作业项目管理要求》</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营业性爆破作业</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单位（二级以上）</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城市、风景名胜区和重要工程设施附近实施爆破作业审批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由甲方自主选择安全评估单位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公安局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default"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小型民用爆炸物品储存库评价</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《爆破作业单位民爆爆炸物品储存库安全评价导则》</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取得民用爆破器材制造业的甲级资质证书单位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爆破作业单位许可（非营业性）</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由甲方自主选择安全评估单位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default"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焰火燃放安全评估</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en-US" w:eastAsia="zh-CN" w:bidi="zh-TW"/>
              </w:rPr>
              <w:t>大型焰火燃放安全技术规程</w:t>
            </w:r>
            <w:r>
              <w:rPr>
                <w:rFonts w:hint="eastAsia" w:ascii="宋体" w:hAnsi="宋体" w:cs="宋体"/>
                <w:color w:val="auto"/>
                <w:spacing w:val="0"/>
                <w:w w:val="100"/>
                <w:kern w:val="2"/>
                <w:position w:val="0"/>
                <w:sz w:val="21"/>
                <w:szCs w:val="21"/>
                <w:u w:val="none"/>
                <w:shd w:val="clear" w:color="auto" w:fill="auto"/>
                <w:lang w:val="en-US" w:eastAsia="zh-CN" w:bidi="zh-TW"/>
              </w:rPr>
              <w:t>》</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取得甲级资质的烟花爆竹制造业单位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焰火燃放许可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自主选择安全评估单位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0"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民政局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社会组织成立登记或变更注册资金登记需提供验资报告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《社会团体登记管理条例》、《民办非企业单位登记管理暂行条例》</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具有相关资质的</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会计师事务所</w:t>
            </w:r>
          </w:p>
        </w:tc>
        <w:tc>
          <w:tcPr>
            <w:tcW w:w="748" w:type="pct"/>
            <w:noWrap w:val="0"/>
            <w:vAlign w:val="center"/>
          </w:tcPr>
          <w:p>
            <w:pPr>
              <w:pageBreakBefore w:val="0"/>
              <w:numPr>
                <w:ilvl w:val="0"/>
                <w:numId w:val="1"/>
              </w:numPr>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社会团体成立登记</w:t>
            </w:r>
          </w:p>
          <w:p>
            <w:pPr>
              <w:pageBreakBefore w:val="0"/>
              <w:numPr>
                <w:ilvl w:val="0"/>
                <w:numId w:val="0"/>
              </w:numPr>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2.社会团体变更注册资金登记</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申请成立登记社会组织或变更注册资金登记需向登记管理机关提交验资报告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8"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邵阳市人力资源和社会保障局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验资报告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《劳务派遣行政许可实施办法》 （人社部令第19号）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第三方会计师</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事务所</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劳务派遣经营许可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申请人可委托第三方会计师事务所，审批部门不得以任何形式要求申请人必须委托特定中介机构提供服务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4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验资报告、资产评估报告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CN" w:bidi="zh-TW"/>
              </w:rPr>
              <w:t>《</w:t>
            </w:r>
            <w:r>
              <w:rPr>
                <w:rFonts w:hint="eastAsia" w:ascii="宋体" w:hAnsi="宋体" w:eastAsia="宋体" w:cs="宋体"/>
                <w:color w:val="auto"/>
                <w:spacing w:val="0"/>
                <w:w w:val="100"/>
                <w:kern w:val="2"/>
                <w:position w:val="0"/>
                <w:sz w:val="21"/>
                <w:szCs w:val="21"/>
                <w:u w:val="none"/>
                <w:shd w:val="clear" w:color="auto" w:fill="auto"/>
                <w:lang w:val="en-US" w:eastAsia="zh-CN" w:bidi="zh-TW"/>
              </w:rPr>
              <w:t>湖南省促进民办职业培训实施办法（修订）》（湘人社发〔2014〕48号）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第三方会计</w:t>
            </w:r>
            <w:r>
              <w:rPr>
                <w:rFonts w:hint="eastAsia" w:ascii="宋体" w:hAnsi="宋体" w:cs="宋体"/>
                <w:color w:val="auto"/>
                <w:spacing w:val="0"/>
                <w:w w:val="100"/>
                <w:kern w:val="2"/>
                <w:position w:val="0"/>
                <w:sz w:val="21"/>
                <w:szCs w:val="21"/>
                <w:u w:val="none"/>
                <w:shd w:val="clear" w:color="auto" w:fill="auto"/>
                <w:lang w:val="en-US" w:eastAsia="zh-CN" w:bidi="zh-TW"/>
              </w:rPr>
              <w:t>师</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民办职业培训学校设立、分立、合并、变更及终止审批</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申请人可委托第三方会计师事务所，审批部门不得以任何形式要求申请人必须委托特定中介机构提供服务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565" w:hRule="atLeast"/>
          <w:jc w:val="center"/>
        </w:trPr>
        <w:tc>
          <w:tcPr>
            <w:tcW w:w="42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邵阳市自然资源和规划局</w:t>
            </w:r>
          </w:p>
        </w:tc>
        <w:tc>
          <w:tcPr>
            <w:tcW w:w="231"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pStyle w:val="9"/>
              <w:keepNext w:val="0"/>
              <w:keepLines w:val="0"/>
              <w:pageBreakBefore w:val="0"/>
              <w:widowControl w:val="0"/>
              <w:shd w:val="clear" w:color="auto" w:fill="auto"/>
              <w:kinsoku/>
              <w:wordWrap/>
              <w:overflowPunct/>
              <w:topLinePunct w:val="0"/>
              <w:autoSpaceDE/>
              <w:autoSpaceDN/>
              <w:bidi w:val="0"/>
              <w:adjustRightInd/>
              <w:snapToGrid/>
              <w:spacing w:before="0" w:line="300" w:lineRule="exact"/>
              <w:ind w:left="0" w:right="0" w:firstLine="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工程建设项目</w:t>
            </w:r>
          </w:p>
          <w:p>
            <w:pPr>
              <w:pStyle w:val="9"/>
              <w:keepNext w:val="0"/>
              <w:keepLines w:val="0"/>
              <w:pageBreakBefore w:val="0"/>
              <w:widowControl w:val="0"/>
              <w:shd w:val="clear" w:color="auto" w:fill="auto"/>
              <w:kinsoku/>
              <w:wordWrap/>
              <w:overflowPunct/>
              <w:topLinePunct w:val="0"/>
              <w:autoSpaceDE/>
              <w:autoSpaceDN/>
              <w:bidi w:val="0"/>
              <w:adjustRightInd/>
              <w:snapToGrid/>
              <w:spacing w:before="0" w:line="300" w:lineRule="exact"/>
              <w:ind w:left="0" w:right="0" w:firstLine="0"/>
              <w:jc w:val="center"/>
              <w:rPr>
                <w:rFonts w:hint="eastAsia" w:ascii="宋体" w:hAnsi="宋体" w:eastAsia="宋体" w:cs="宋体"/>
                <w:color w:val="auto"/>
                <w:spacing w:val="0"/>
                <w:w w:val="100"/>
                <w:kern w:val="2"/>
                <w:position w:val="0"/>
                <w:sz w:val="21"/>
                <w:szCs w:val="21"/>
                <w:u w:val="none"/>
                <w:shd w:val="clear" w:color="auto" w:fill="auto"/>
                <w:lang w:val="zh-TW" w:eastAsia="zh-CN" w:bidi="zh-TW"/>
              </w:rPr>
            </w:pPr>
            <w:r>
              <w:rPr>
                <w:rFonts w:hint="eastAsia" w:ascii="宋体" w:hAnsi="宋体" w:eastAsia="宋体" w:cs="宋体"/>
                <w:color w:val="auto"/>
                <w:spacing w:val="0"/>
                <w:w w:val="100"/>
                <w:kern w:val="2"/>
                <w:position w:val="0"/>
                <w:sz w:val="21"/>
                <w:szCs w:val="21"/>
                <w:u w:val="none"/>
                <w:shd w:val="clear" w:color="auto" w:fill="auto"/>
                <w:lang w:val="zh-CN" w:eastAsia="zh-CN" w:bidi="zh-TW"/>
              </w:rPr>
              <w:t>“多测</w:t>
            </w:r>
            <w:r>
              <w:rPr>
                <w:rFonts w:hint="eastAsia" w:ascii="宋体" w:hAnsi="宋体" w:eastAsia="宋体" w:cs="宋体"/>
                <w:color w:val="auto"/>
                <w:spacing w:val="0"/>
                <w:w w:val="100"/>
                <w:kern w:val="2"/>
                <w:position w:val="0"/>
                <w:sz w:val="21"/>
                <w:szCs w:val="21"/>
                <w:u w:val="none"/>
                <w:shd w:val="clear" w:color="auto" w:fill="auto"/>
                <w:lang w:val="zh-TW" w:eastAsia="zh-TW" w:bidi="zh-TW"/>
              </w:rPr>
              <w:t>合一</w:t>
            </w:r>
            <w:r>
              <w:rPr>
                <w:rFonts w:hint="eastAsia" w:cs="宋体"/>
                <w:color w:val="auto"/>
                <w:spacing w:val="0"/>
                <w:w w:val="100"/>
                <w:kern w:val="2"/>
                <w:position w:val="0"/>
                <w:sz w:val="21"/>
                <w:szCs w:val="21"/>
                <w:u w:val="none"/>
                <w:shd w:val="clear" w:color="auto" w:fill="auto"/>
                <w:lang w:val="zh-TW" w:eastAsia="zh-CN" w:bidi="zh-TW"/>
              </w:rPr>
              <w:t>”</w:t>
            </w:r>
          </w:p>
        </w:tc>
        <w:tc>
          <w:tcPr>
            <w:tcW w:w="1375" w:type="pct"/>
            <w:noWrap w:val="0"/>
            <w:vAlign w:val="center"/>
          </w:tcPr>
          <w:p>
            <w:pPr>
              <w:pStyle w:val="9"/>
              <w:keepNext w:val="0"/>
              <w:keepLines w:val="0"/>
              <w:pageBreakBefore w:val="0"/>
              <w:widowControl w:val="0"/>
              <w:shd w:val="clear" w:color="auto" w:fill="auto"/>
              <w:kinsoku/>
              <w:wordWrap/>
              <w:overflowPunct/>
              <w:topLinePunct w:val="0"/>
              <w:autoSpaceDE/>
              <w:autoSpaceDN/>
              <w:bidi w:val="0"/>
              <w:adjustRightInd/>
              <w:snapToGrid/>
              <w:spacing w:before="0" w:line="300" w:lineRule="exact"/>
              <w:ind w:left="0" w:right="0" w:firstLine="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《国务院办公厅关于全面开展工程建设项目审批制度改革的实施意见》《湖南省人民政府办公厅关于印发〈工程建设项目审批制度深化改革实施</w:t>
            </w:r>
            <w:r>
              <w:rPr>
                <w:rFonts w:hint="eastAsia" w:ascii="宋体" w:hAnsi="宋体" w:eastAsia="宋体" w:cs="宋体"/>
                <w:color w:val="auto"/>
                <w:spacing w:val="0"/>
                <w:w w:val="100"/>
                <w:kern w:val="2"/>
                <w:position w:val="0"/>
                <w:sz w:val="21"/>
                <w:szCs w:val="21"/>
                <w:u w:val="none"/>
                <w:shd w:val="clear" w:color="auto" w:fill="auto"/>
                <w:lang w:val="zh-CN" w:eastAsia="zh-CN" w:bidi="zh-TW"/>
              </w:rPr>
              <w:t>方案〉</w:t>
            </w:r>
            <w:r>
              <w:rPr>
                <w:rFonts w:hint="eastAsia" w:ascii="宋体" w:hAnsi="宋体" w:eastAsia="宋体" w:cs="宋体"/>
                <w:color w:val="auto"/>
                <w:spacing w:val="0"/>
                <w:w w:val="100"/>
                <w:kern w:val="2"/>
                <w:position w:val="0"/>
                <w:sz w:val="21"/>
                <w:szCs w:val="21"/>
                <w:u w:val="none"/>
                <w:shd w:val="clear" w:color="auto" w:fill="auto"/>
                <w:lang w:val="zh-TW" w:eastAsia="zh-TW" w:bidi="zh-TW"/>
              </w:rPr>
              <w:t>的通知》</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kern w:val="0"/>
                <w:sz w:val="21"/>
                <w:szCs w:val="21"/>
                <w:lang w:val="en-US" w:eastAsia="zh-CN" w:bidi="ar"/>
              </w:rPr>
              <w:t>入选“多测合一”名录库的测绘机构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建设工程规划核验（验收）</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申请人委托有相应合法机构编制，一个标的物只测一次, 审核部门共认一个测绘结果</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0"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邵阳市自然资源和规划局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选址论证报告编制</w:t>
            </w:r>
          </w:p>
        </w:tc>
        <w:tc>
          <w:tcPr>
            <w:tcW w:w="137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《湖南省实施〈中华人民共和国城乡规划法〉》办法》《湖南省住建厅关于印发〈湖南省建设项目选址规划管理办法〉等</w:t>
            </w:r>
            <w:r>
              <w:rPr>
                <w:rFonts w:hint="eastAsia" w:ascii="宋体" w:hAnsi="宋体" w:eastAsia="宋体" w:cs="宋体"/>
                <w:color w:val="auto"/>
                <w:spacing w:val="0"/>
                <w:w w:val="100"/>
                <w:kern w:val="2"/>
                <w:position w:val="0"/>
                <w:sz w:val="21"/>
                <w:szCs w:val="21"/>
                <w:u w:val="none"/>
                <w:shd w:val="clear" w:color="auto" w:fill="auto"/>
                <w:lang w:val="zh-CN" w:eastAsia="zh-CN" w:bidi="zh-TW"/>
              </w:rPr>
              <w:t>“一书</w:t>
            </w:r>
            <w:r>
              <w:rPr>
                <w:rFonts w:hint="eastAsia" w:ascii="宋体" w:hAnsi="宋体" w:eastAsia="宋体" w:cs="宋体"/>
                <w:color w:val="auto"/>
                <w:spacing w:val="0"/>
                <w:w w:val="100"/>
                <w:kern w:val="2"/>
                <w:position w:val="0"/>
                <w:sz w:val="21"/>
                <w:szCs w:val="21"/>
                <w:u w:val="none"/>
                <w:shd w:val="clear" w:color="auto" w:fill="auto"/>
                <w:lang w:val="zh-TW" w:eastAsia="zh-TW" w:bidi="zh-TW"/>
              </w:rPr>
              <w:t>三证</w:t>
            </w:r>
            <w:r>
              <w:rPr>
                <w:rFonts w:hint="eastAsia" w:ascii="宋体" w:hAnsi="宋体" w:eastAsia="宋体" w:cs="宋体"/>
                <w:color w:val="auto"/>
                <w:spacing w:val="0"/>
                <w:w w:val="100"/>
                <w:kern w:val="2"/>
                <w:position w:val="0"/>
                <w:sz w:val="21"/>
                <w:szCs w:val="21"/>
                <w:u w:val="none"/>
                <w:shd w:val="clear" w:color="auto" w:fill="auto"/>
                <w:lang w:val="zh-TW"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管理办法的通知》（湘建规〔2017</w:t>
            </w:r>
            <w:r>
              <w:rPr>
                <w:rFonts w:hint="eastAsia" w:ascii="宋体" w:hAnsi="宋体" w:eastAsia="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253号）</w:t>
            </w:r>
          </w:p>
        </w:tc>
        <w:tc>
          <w:tcPr>
            <w:tcW w:w="70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kern w:val="0"/>
                <w:sz w:val="21"/>
                <w:szCs w:val="21"/>
                <w:lang w:val="en-US" w:eastAsia="zh-CN" w:bidi="ar"/>
              </w:rPr>
              <w:t>具备相应城乡规划编制资质的机构</w:t>
            </w:r>
          </w:p>
        </w:tc>
        <w:tc>
          <w:tcPr>
            <w:tcW w:w="748"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建设项目选址意见书核发</w:t>
            </w:r>
          </w:p>
        </w:tc>
        <w:tc>
          <w:tcPr>
            <w:tcW w:w="811" w:type="pct"/>
            <w:noWrap w:val="0"/>
            <w:vAlign w:val="center"/>
          </w:tcPr>
          <w:p>
            <w:pPr>
              <w:pStyle w:val="10"/>
              <w:keepNext w:val="0"/>
              <w:keepLines w:val="0"/>
              <w:pageBreakBefore w:val="0"/>
              <w:widowControl w:val="0"/>
              <w:shd w:val="clear" w:color="auto" w:fill="auto"/>
              <w:kinsoku/>
              <w:wordWrap/>
              <w:overflowPunct/>
              <w:topLinePunct w:val="0"/>
              <w:autoSpaceDE/>
              <w:autoSpaceDN/>
              <w:bidi w:val="0"/>
              <w:adjustRightInd/>
              <w:snapToGrid/>
              <w:spacing w:before="0" w:line="300" w:lineRule="exact"/>
              <w:ind w:left="0" w:leftChars="0" w:right="0" w:rightChars="0" w:firstLine="0" w:firstLineChars="0"/>
              <w:jc w:val="both"/>
              <w:textAlignment w:val="baseline"/>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申请人委托有相应合法机构编制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建筑面积复核</w:t>
            </w:r>
          </w:p>
        </w:tc>
        <w:tc>
          <w:tcPr>
            <w:tcW w:w="137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《建筑工程建筑面积计算规范》（GB/T50353—2013）、《湖南省人民政府办公厅印发〈关于降低实体经济企业成本的实施方案〉的通知》（湘政办发〔2018</w:t>
            </w:r>
            <w:r>
              <w:rPr>
                <w:rFonts w:hint="eastAsia" w:ascii="宋体" w:hAnsi="宋体" w:eastAsia="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56号）</w:t>
            </w:r>
          </w:p>
        </w:tc>
        <w:tc>
          <w:tcPr>
            <w:tcW w:w="70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kern w:val="0"/>
                <w:sz w:val="21"/>
                <w:szCs w:val="21"/>
                <w:lang w:val="en-US" w:eastAsia="zh-CN" w:bidi="ar"/>
              </w:rPr>
              <w:t>具备相应城乡规划编制资质的机构</w:t>
            </w:r>
          </w:p>
        </w:tc>
        <w:tc>
          <w:tcPr>
            <w:tcW w:w="748"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建设工程（含临时建设）规划许可证核发</w:t>
            </w:r>
          </w:p>
        </w:tc>
        <w:tc>
          <w:tcPr>
            <w:tcW w:w="811"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申请人委托有相应合法机构编制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规划条件核实测量</w:t>
            </w:r>
          </w:p>
        </w:tc>
        <w:tc>
          <w:tcPr>
            <w:tcW w:w="137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《不动产登记暂行条例》（国务院令第656号）、《湖南省实施〈中华人民共和国城乡规划法〉办</w:t>
            </w:r>
            <w:r>
              <w:rPr>
                <w:rFonts w:hint="eastAsia" w:cs="宋体"/>
                <w:color w:val="auto"/>
                <w:spacing w:val="0"/>
                <w:w w:val="100"/>
                <w:kern w:val="2"/>
                <w:position w:val="0"/>
                <w:sz w:val="21"/>
                <w:szCs w:val="21"/>
                <w:u w:val="none"/>
                <w:shd w:val="clear" w:color="auto" w:fill="auto"/>
                <w:lang w:val="zh-TW" w:eastAsia="zh-CN" w:bidi="zh-TW"/>
              </w:rPr>
              <w:t>法</w:t>
            </w: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》、《湖南省人民政府办公厅印发〈关于降低实体经济成本的实施方案〉的通知》（湘政办发〔2018</w:t>
            </w:r>
            <w:r>
              <w:rPr>
                <w:rFonts w:hint="eastAsia" w:ascii="宋体" w:hAnsi="宋体" w:eastAsia="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 xml:space="preserve"> 56号）</w:t>
            </w:r>
          </w:p>
        </w:tc>
        <w:tc>
          <w:tcPr>
            <w:tcW w:w="70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kern w:val="0"/>
                <w:sz w:val="21"/>
                <w:szCs w:val="21"/>
                <w:lang w:val="en-US" w:eastAsia="zh-CN" w:bidi="ar"/>
              </w:rPr>
              <w:t>具备相应城乡规划编制资质的机构</w:t>
            </w:r>
          </w:p>
        </w:tc>
        <w:tc>
          <w:tcPr>
            <w:tcW w:w="748"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建设工程规划核验（验收）</w:t>
            </w:r>
          </w:p>
        </w:tc>
        <w:tc>
          <w:tcPr>
            <w:tcW w:w="811"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申请人委托有相应合法机构编制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建筑物定点放线（含定位红线图）</w:t>
            </w:r>
          </w:p>
        </w:tc>
        <w:tc>
          <w:tcPr>
            <w:tcW w:w="137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《湖南省实施〈中华人民共和国城乡规划法〉办法》《湖南省人民政府办公厅印发〈关于降低实体经济企业成本的实施方案〉的通知》（湘政办发〔2018</w:t>
            </w:r>
            <w:r>
              <w:rPr>
                <w:rFonts w:hint="eastAsia" w:ascii="宋体" w:hAnsi="宋体" w:eastAsia="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56 号）</w:t>
            </w:r>
          </w:p>
        </w:tc>
        <w:tc>
          <w:tcPr>
            <w:tcW w:w="70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kern w:val="0"/>
                <w:sz w:val="21"/>
                <w:szCs w:val="21"/>
                <w:lang w:val="en-US" w:eastAsia="zh-CN" w:bidi="ar"/>
              </w:rPr>
              <w:t>具备相应测绘资质的测绘机构</w:t>
            </w:r>
          </w:p>
        </w:tc>
        <w:tc>
          <w:tcPr>
            <w:tcW w:w="748"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right="0" w:firstLine="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建设工程（含临时建设）规划许可证核发</w:t>
            </w:r>
          </w:p>
        </w:tc>
        <w:tc>
          <w:tcPr>
            <w:tcW w:w="811"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申请人委托有相应合法机构编制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5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现状地形图</w:t>
            </w:r>
          </w:p>
        </w:tc>
        <w:tc>
          <w:tcPr>
            <w:tcW w:w="137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《湖南省临时用地管理办法》（省政府令第140号）</w:t>
            </w:r>
          </w:p>
        </w:tc>
        <w:tc>
          <w:tcPr>
            <w:tcW w:w="70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kern w:val="0"/>
                <w:sz w:val="21"/>
                <w:szCs w:val="21"/>
                <w:lang w:val="en-US" w:eastAsia="zh-CN" w:bidi="ar"/>
              </w:rPr>
              <w:t>具备相应测绘资质的测绘机构</w:t>
            </w:r>
          </w:p>
        </w:tc>
        <w:tc>
          <w:tcPr>
            <w:tcW w:w="748"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建设项目选址意见书核发</w:t>
            </w:r>
          </w:p>
        </w:tc>
        <w:tc>
          <w:tcPr>
            <w:tcW w:w="811"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申请人委托有相应合法机构编制</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邵阳市自然资源和规划局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7</w:t>
            </w:r>
          </w:p>
        </w:tc>
        <w:tc>
          <w:tcPr>
            <w:tcW w:w="703"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勘测定界、提供</w:t>
            </w:r>
          </w:p>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建设项目位置图</w:t>
            </w:r>
          </w:p>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及地形图</w:t>
            </w:r>
          </w:p>
        </w:tc>
        <w:tc>
          <w:tcPr>
            <w:tcW w:w="137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《国土资源部关于改进报国务院批准城市建设用地申报与实施工作的通知》</w:t>
            </w:r>
          </w:p>
        </w:tc>
        <w:tc>
          <w:tcPr>
            <w:tcW w:w="705"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kern w:val="0"/>
                <w:sz w:val="21"/>
                <w:szCs w:val="21"/>
                <w:lang w:val="en-US" w:eastAsia="zh-CN" w:bidi="ar"/>
              </w:rPr>
              <w:t>具备相应测绘资质的测绘机构</w:t>
            </w:r>
          </w:p>
        </w:tc>
        <w:tc>
          <w:tcPr>
            <w:tcW w:w="748"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临时用地审批。2、乡（镇）村公共设施、公益事业使用集体建设用地审批。3、乡（镇）村企业使用集体建设用地审批。4、建设项目选址意见书核发。5、建设用地供地审查。6、国有建设用地使用权划拨批准。7、土地权属确定</w:t>
            </w:r>
          </w:p>
        </w:tc>
        <w:tc>
          <w:tcPr>
            <w:tcW w:w="811" w:type="pct"/>
            <w:noWrap w:val="0"/>
            <w:vAlign w:val="center"/>
          </w:tcPr>
          <w:p>
            <w:pPr>
              <w:pStyle w:val="10"/>
              <w:keepNext w:val="0"/>
              <w:keepLines w:val="0"/>
              <w:pageBreakBefore w:val="0"/>
              <w:widowControl w:val="0"/>
              <w:shd w:val="clear" w:color="auto" w:fill="auto"/>
              <w:kinsoku/>
              <w:wordWrap/>
              <w:overflowPunct/>
              <w:topLinePunct w:val="0"/>
              <w:autoSpaceDE/>
              <w:autoSpaceDN/>
              <w:bidi w:val="0"/>
              <w:spacing w:before="0" w:line="300" w:lineRule="exact"/>
              <w:ind w:left="0" w:leftChars="0" w:right="0" w:rightChars="0" w:firstLine="0" w:firstLineChars="0"/>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符合国家法律法规、政 策要求、技术规程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0"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邵阳市生态环境局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CN" w:bidi="zh-TW"/>
              </w:rPr>
              <w:t>建设项目环境影响报告书（表）</w:t>
            </w:r>
          </w:p>
        </w:tc>
        <w:tc>
          <w:tcPr>
            <w:tcW w:w="1375"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《中华人民共和国环境影响评价法》（2018年修订）</w:t>
            </w:r>
          </w:p>
        </w:tc>
        <w:tc>
          <w:tcPr>
            <w:tcW w:w="705"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无资质等级要求</w:t>
            </w:r>
          </w:p>
        </w:tc>
        <w:tc>
          <w:tcPr>
            <w:tcW w:w="748"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建设项目环境影响评价审批</w:t>
            </w:r>
          </w:p>
        </w:tc>
        <w:tc>
          <w:tcPr>
            <w:tcW w:w="811"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申请人可自行编制环境影响报告书（表），也可委托技术单位编制，审批部门不得以任何形式要求申请人必须委托特定中介机构提供服务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6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放射性监测报告</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《放射性同位素与射线装置安全许可管理办法》（环境保护部令第3号）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有计量认证资格的机构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辐射安全许可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申请人可按要求自行编制放射性监测报告，也可委托有相应合法资质的机构编制，审批部门不得以任何形式要求申请人必须委托特定中介机构提供服务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78"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邵阳市生态环境局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放射性同位素野外示踪实验环境影响评价</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《放射性同位素与射线装置安全许可管理办法》（环境保护部令第3号）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无资质等级要求</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在野外进行放射性同位素示踪试验审批</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申请人可按要求自行编制环境影响报告书（表），也可委托技术单位编制，审批部门不得以任何形式要求申请人必须委托特定中介机构提供服务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08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pStyle w:val="11"/>
              <w:pageBreakBefore w:val="0"/>
              <w:kinsoku/>
              <w:wordWrap/>
              <w:overflowPunct/>
              <w:topLinePunct w:val="0"/>
              <w:autoSpaceDE/>
              <w:autoSpaceDN/>
              <w:bidi w:val="0"/>
              <w:adjustRightInd w:val="0"/>
              <w:snapToGrid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入河排污口设置论证报告</w:t>
            </w:r>
          </w:p>
        </w:tc>
        <w:tc>
          <w:tcPr>
            <w:tcW w:w="1375" w:type="pct"/>
            <w:noWrap w:val="0"/>
            <w:vAlign w:val="center"/>
          </w:tcPr>
          <w:p>
            <w:pPr>
              <w:pStyle w:val="11"/>
              <w:pageBreakBefore w:val="0"/>
              <w:kinsoku/>
              <w:wordWrap/>
              <w:overflowPunct/>
              <w:topLinePunct w:val="0"/>
              <w:autoSpaceDE/>
              <w:autoSpaceDN/>
              <w:bidi w:val="0"/>
              <w:adjustRightInd w:val="0"/>
              <w:snapToGrid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《入河排污口监督管理办法》</w:t>
            </w:r>
            <w:r>
              <w:rPr>
                <w:rFonts w:hint="eastAsia" w:ascii="宋体" w:hAnsi="宋体" w:cs="宋体"/>
                <w:color w:val="auto"/>
                <w:spacing w:val="0"/>
                <w:w w:val="100"/>
                <w:kern w:val="2"/>
                <w:position w:val="0"/>
                <w:sz w:val="21"/>
                <w:szCs w:val="21"/>
                <w:u w:val="none"/>
                <w:shd w:val="clear" w:color="auto" w:fill="auto"/>
                <w:lang w:val="zh-TW"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水利部令第22号</w:t>
            </w:r>
            <w:r>
              <w:rPr>
                <w:rFonts w:hint="eastAsia" w:ascii="宋体" w:hAnsi="宋体" w:cs="宋体"/>
                <w:color w:val="auto"/>
                <w:spacing w:val="0"/>
                <w:w w:val="100"/>
                <w:kern w:val="2"/>
                <w:position w:val="0"/>
                <w:sz w:val="21"/>
                <w:szCs w:val="21"/>
                <w:u w:val="none"/>
                <w:shd w:val="clear" w:color="auto" w:fill="auto"/>
                <w:lang w:val="zh-TW"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《湖南省入河排污口监督管理办法》（湘政办发</w:t>
            </w:r>
            <w:r>
              <w:rPr>
                <w:rFonts w:hint="eastAsia" w:ascii="宋体" w:hAnsi="宋体" w:eastAsia="宋体" w:cs="宋体"/>
                <w:color w:val="auto"/>
                <w:spacing w:val="0"/>
                <w:w w:val="100"/>
                <w:kern w:val="2"/>
                <w:position w:val="0"/>
                <w:sz w:val="21"/>
                <w:szCs w:val="21"/>
                <w:u w:val="none"/>
                <w:shd w:val="clear" w:color="auto" w:fill="auto"/>
                <w:lang w:val="en-US" w:eastAsia="zh-CN" w:bidi="zh-TW"/>
              </w:rPr>
              <w:t>〔201</w:t>
            </w:r>
            <w:r>
              <w:rPr>
                <w:rFonts w:hint="eastAsia" w:ascii="宋体" w:hAnsi="宋体" w:cs="宋体"/>
                <w:color w:val="auto"/>
                <w:spacing w:val="0"/>
                <w:w w:val="100"/>
                <w:kern w:val="2"/>
                <w:position w:val="0"/>
                <w:sz w:val="21"/>
                <w:szCs w:val="21"/>
                <w:u w:val="none"/>
                <w:shd w:val="clear" w:color="auto" w:fill="auto"/>
                <w:lang w:val="en-US" w:eastAsia="zh-CN" w:bidi="zh-TW"/>
              </w:rPr>
              <w:t>8</w:t>
            </w:r>
            <w:r>
              <w:rPr>
                <w:rFonts w:hint="eastAsia" w:ascii="宋体" w:hAnsi="宋体" w:eastAsia="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44号）</w:t>
            </w:r>
          </w:p>
        </w:tc>
        <w:tc>
          <w:tcPr>
            <w:tcW w:w="705" w:type="pct"/>
            <w:noWrap w:val="0"/>
            <w:vAlign w:val="center"/>
          </w:tcPr>
          <w:p>
            <w:pPr>
              <w:pStyle w:val="11"/>
              <w:pageBreakBefore w:val="0"/>
              <w:kinsoku/>
              <w:wordWrap/>
              <w:overflowPunct/>
              <w:topLinePunct w:val="0"/>
              <w:autoSpaceDE/>
              <w:autoSpaceDN/>
              <w:bidi w:val="0"/>
              <w:adjustRightInd w:val="0"/>
              <w:snapToGrid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无资质等级要求</w:t>
            </w:r>
          </w:p>
        </w:tc>
        <w:tc>
          <w:tcPr>
            <w:tcW w:w="748" w:type="pct"/>
            <w:noWrap w:val="0"/>
            <w:vAlign w:val="center"/>
          </w:tcPr>
          <w:p>
            <w:pPr>
              <w:pStyle w:val="11"/>
              <w:pageBreakBefore w:val="0"/>
              <w:kinsoku/>
              <w:wordWrap/>
              <w:overflowPunct/>
              <w:topLinePunct w:val="0"/>
              <w:autoSpaceDE/>
              <w:autoSpaceDN/>
              <w:bidi w:val="0"/>
              <w:adjustRightInd w:val="0"/>
              <w:snapToGrid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权限内入河排污口（新建、改建、扩大）审批</w:t>
            </w:r>
          </w:p>
        </w:tc>
        <w:tc>
          <w:tcPr>
            <w:tcW w:w="811" w:type="pct"/>
            <w:noWrap w:val="0"/>
            <w:vAlign w:val="center"/>
          </w:tcPr>
          <w:p>
            <w:pPr>
              <w:pStyle w:val="11"/>
              <w:pageBreakBefore w:val="0"/>
              <w:kinsoku/>
              <w:wordWrap/>
              <w:overflowPunct/>
              <w:topLinePunct w:val="0"/>
              <w:autoSpaceDE/>
              <w:autoSpaceDN/>
              <w:bidi w:val="0"/>
              <w:adjustRightInd w:val="0"/>
              <w:snapToGrid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1）申请人可按要求自行编制入河排污口设置论证报告，也可以委托其他单位或机构编制，审批部门不得以任何形式要求申请人必须委托特定中介机构提供服务；（2）设置的入河排污口对水功能区（水域）影响明显轻微的，经市级入河排污口主管部门同意，可以不编制入河排污口设置论证报告，只提交设置入河排污口对水功能区（水域）影响的简要分析材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邵阳市住房和城乡建设局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建筑消防设施检测</w:t>
            </w:r>
          </w:p>
        </w:tc>
        <w:tc>
          <w:tcPr>
            <w:tcW w:w="1375"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《社会消防技术服务管理规定》（公安部令129号）</w:t>
            </w:r>
          </w:p>
        </w:tc>
        <w:tc>
          <w:tcPr>
            <w:tcW w:w="705" w:type="pct"/>
            <w:noWrap w:val="0"/>
            <w:vAlign w:val="center"/>
          </w:tcPr>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消防设施检测机构的资质分为一级、二级和三级</w:t>
            </w:r>
          </w:p>
        </w:tc>
        <w:tc>
          <w:tcPr>
            <w:tcW w:w="748"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建设工程消防验收</w:t>
            </w:r>
          </w:p>
        </w:tc>
        <w:tc>
          <w:tcPr>
            <w:tcW w:w="811"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申请人可委托有关机构进行检测，审批部门不得以任何形式要求申请人必须委托特定中介机构提供服务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特种作业人员培训</w:t>
            </w:r>
          </w:p>
        </w:tc>
        <w:tc>
          <w:tcPr>
            <w:tcW w:w="1375"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《特种作业人员安全技术培训考核管理规定》</w:t>
            </w:r>
          </w:p>
        </w:tc>
        <w:tc>
          <w:tcPr>
            <w:tcW w:w="705" w:type="pct"/>
            <w:noWrap w:val="0"/>
            <w:vAlign w:val="center"/>
          </w:tcPr>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 xml:space="preserve">具备安全培训条件的机构 </w:t>
            </w:r>
          </w:p>
        </w:tc>
        <w:tc>
          <w:tcPr>
            <w:tcW w:w="748"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特种作业人员操作资格认定</w:t>
            </w:r>
          </w:p>
        </w:tc>
        <w:tc>
          <w:tcPr>
            <w:tcW w:w="811"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具备安全培训条件的生产经营单位应当以自主培训为主</w:t>
            </w:r>
            <w:r>
              <w:rPr>
                <w:rFonts w:hint="eastAsia" w:ascii="宋体" w:hAnsi="宋体" w:eastAsia="宋体" w:cs="宋体"/>
                <w:color w:val="auto"/>
                <w:spacing w:val="0"/>
                <w:w w:val="100"/>
                <w:kern w:val="2"/>
                <w:position w:val="0"/>
                <w:sz w:val="21"/>
                <w:szCs w:val="21"/>
                <w:u w:val="none"/>
                <w:shd w:val="clear" w:color="auto" w:fill="auto"/>
                <w:lang w:val="zh-TW" w:eastAsia="zh-CN" w:bidi="zh-TW"/>
              </w:rPr>
              <w:t>，</w:t>
            </w:r>
            <w:r>
              <w:rPr>
                <w:rFonts w:hint="eastAsia" w:ascii="宋体" w:hAnsi="宋体" w:eastAsia="宋体" w:cs="宋体"/>
                <w:color w:val="auto"/>
                <w:spacing w:val="0"/>
                <w:w w:val="100"/>
                <w:kern w:val="2"/>
                <w:position w:val="0"/>
                <w:sz w:val="21"/>
                <w:szCs w:val="21"/>
                <w:u w:val="none"/>
                <w:shd w:val="clear" w:color="auto" w:fill="auto"/>
                <w:lang w:val="zh-TW" w:eastAsia="zh-TW" w:bidi="zh-TW"/>
              </w:rPr>
              <w:t>也可委托具备条件的机构培训</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施工图设计文件</w:t>
            </w:r>
          </w:p>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审查</w:t>
            </w:r>
          </w:p>
        </w:tc>
        <w:tc>
          <w:tcPr>
            <w:tcW w:w="1375"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工程质量管理条例》（国务院令第279号，2017年修订）《房屋建筑和市政基础设施工程施工图设计文件审查管理办法》（住建部令第13号，2018年修订）《建设工程勘察设计管理条例》（国务院令第293号，2015年修订）</w:t>
            </w:r>
          </w:p>
        </w:tc>
        <w:tc>
          <w:tcPr>
            <w:tcW w:w="705" w:type="pct"/>
            <w:noWrap w:val="0"/>
            <w:vAlign w:val="center"/>
          </w:tcPr>
          <w:p>
            <w:pPr>
              <w:keepNext w:val="0"/>
              <w:keepLines w:val="0"/>
              <w:pageBreakBefore w:val="0"/>
              <w:kinsoku/>
              <w:wordWrap/>
              <w:overflowPunct/>
              <w:topLinePunct w:val="0"/>
              <w:autoSpaceDE/>
              <w:autoSpaceDN/>
              <w:bidi w:val="0"/>
              <w:adjustRightInd/>
              <w:snapToGrid/>
              <w:spacing w:line="26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CN" w:bidi="zh-TW"/>
              </w:rPr>
              <w:t>湖南省政府购买施工图审查服务“定点入围”施工图审查机构</w:t>
            </w:r>
          </w:p>
        </w:tc>
        <w:tc>
          <w:tcPr>
            <w:tcW w:w="748"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CN" w:bidi="zh-TW"/>
              </w:rPr>
              <w:t>建筑工程施工许可证核发</w:t>
            </w:r>
          </w:p>
        </w:tc>
        <w:tc>
          <w:tcPr>
            <w:tcW w:w="811" w:type="pct"/>
            <w:noWrap w:val="0"/>
            <w:vAlign w:val="center"/>
          </w:tcPr>
          <w:p>
            <w:pPr>
              <w:keepNext w:val="0"/>
              <w:keepLines w:val="0"/>
              <w:pageBreakBefore w:val="0"/>
              <w:kinsoku/>
              <w:wordWrap/>
              <w:overflowPunct/>
              <w:topLinePunct w:val="0"/>
              <w:autoSpaceDE/>
              <w:autoSpaceDN/>
              <w:bidi w:val="0"/>
              <w:adjustRightInd/>
              <w:snapToGrid/>
              <w:spacing w:line="26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审批部门委托有合法资质的</w:t>
            </w:r>
            <w:r>
              <w:rPr>
                <w:rFonts w:hint="eastAsia" w:ascii="宋体" w:hAnsi="宋体" w:eastAsia="宋体" w:cs="宋体"/>
                <w:color w:val="auto"/>
                <w:spacing w:val="0"/>
                <w:w w:val="100"/>
                <w:kern w:val="2"/>
                <w:position w:val="0"/>
                <w:sz w:val="21"/>
                <w:szCs w:val="21"/>
                <w:u w:val="none"/>
                <w:shd w:val="clear" w:color="auto" w:fill="auto"/>
                <w:lang w:val="zh-TW" w:eastAsia="zh-CN" w:bidi="zh-TW"/>
              </w:rPr>
              <w:t>施工图审查</w:t>
            </w:r>
            <w:r>
              <w:rPr>
                <w:rFonts w:hint="eastAsia" w:ascii="宋体" w:hAnsi="宋体" w:eastAsia="宋体" w:cs="宋体"/>
                <w:color w:val="auto"/>
                <w:spacing w:val="0"/>
                <w:w w:val="100"/>
                <w:kern w:val="2"/>
                <w:position w:val="0"/>
                <w:sz w:val="21"/>
                <w:szCs w:val="21"/>
                <w:u w:val="none"/>
                <w:shd w:val="clear" w:color="auto" w:fill="auto"/>
                <w:lang w:val="zh-TW" w:eastAsia="zh-TW" w:bidi="zh-TW"/>
              </w:rPr>
              <w:t>机构进行审查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17"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邵阳市城市管理和综合执法局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渣土处置工程方量复核检测</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邵阳市建设工地渣土、土石方测量技术服务项目政府采购合同</w:t>
            </w:r>
            <w:r>
              <w:rPr>
                <w:rFonts w:hint="eastAsia" w:ascii="宋体" w:hAnsi="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en-US" w:eastAsia="zh-CN" w:bidi="zh-TW"/>
              </w:rPr>
              <w:t>(政府采购编号：邵财采计〔201</w:t>
            </w:r>
            <w:r>
              <w:rPr>
                <w:rFonts w:hint="eastAsia" w:ascii="宋体" w:hAnsi="宋体" w:cs="宋体"/>
                <w:color w:val="auto"/>
                <w:spacing w:val="0"/>
                <w:w w:val="100"/>
                <w:kern w:val="2"/>
                <w:position w:val="0"/>
                <w:sz w:val="21"/>
                <w:szCs w:val="21"/>
                <w:u w:val="none"/>
                <w:shd w:val="clear" w:color="auto" w:fill="auto"/>
                <w:lang w:val="en-US" w:eastAsia="zh-CN" w:bidi="zh-TW"/>
              </w:rPr>
              <w:t>8</w:t>
            </w:r>
            <w:r>
              <w:rPr>
                <w:rFonts w:hint="eastAsia" w:ascii="宋体" w:hAnsi="宋体" w:eastAsia="宋体" w:cs="宋体"/>
                <w:color w:val="auto"/>
                <w:spacing w:val="0"/>
                <w:w w:val="100"/>
                <w:kern w:val="2"/>
                <w:position w:val="0"/>
                <w:sz w:val="21"/>
                <w:szCs w:val="21"/>
                <w:u w:val="none"/>
                <w:shd w:val="clear" w:color="auto" w:fill="auto"/>
                <w:lang w:val="en-US" w:eastAsia="zh-CN" w:bidi="zh-TW"/>
              </w:rPr>
              <w:t>〕000166)</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具有相应资质的专业测绘部门</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城市建筑垃圾处置核准</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出测量复核结果后实施许可</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移动式压力容器汽车罐车全面检验</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《道路危险货物运输管理规定》（交通运输部令2016年第36号）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具备相应资质的质量检验部门</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道路货</w:t>
            </w:r>
            <w:r>
              <w:rPr>
                <w:rFonts w:hint="eastAsia" w:ascii="宋体" w:hAnsi="宋体" w:cs="宋体"/>
                <w:i w:val="0"/>
                <w:color w:val="auto"/>
                <w:kern w:val="0"/>
                <w:sz w:val="21"/>
                <w:szCs w:val="21"/>
                <w:highlight w:val="none"/>
                <w:u w:val="none"/>
                <w:lang w:val="en-US" w:eastAsia="zh-CN" w:bidi="ar"/>
              </w:rPr>
              <w:t>物</w:t>
            </w:r>
            <w:r>
              <w:rPr>
                <w:rFonts w:hint="eastAsia" w:ascii="宋体" w:hAnsi="宋体" w:eastAsia="宋体" w:cs="宋体"/>
                <w:i w:val="0"/>
                <w:color w:val="auto"/>
                <w:kern w:val="0"/>
                <w:sz w:val="21"/>
                <w:szCs w:val="21"/>
                <w:highlight w:val="none"/>
                <w:u w:val="none"/>
                <w:lang w:val="en-US" w:eastAsia="zh-CN" w:bidi="ar"/>
              </w:rPr>
              <w:t>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申请人应委托有合法资质的机构进行检验，审批部门不得以任何形式要求申请人必须委托特定中介机构提供服务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营运车辆技术等级评定</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w:t>
            </w:r>
            <w:r>
              <w:rPr>
                <w:rFonts w:hint="eastAsia" w:ascii="宋体" w:hAnsi="宋体" w:cs="宋体"/>
                <w:i w:val="0"/>
                <w:color w:val="auto"/>
                <w:kern w:val="0"/>
                <w:sz w:val="21"/>
                <w:szCs w:val="21"/>
                <w:highlight w:val="none"/>
                <w:u w:val="none"/>
                <w:lang w:val="en-US" w:eastAsia="zh-CN" w:bidi="ar"/>
              </w:rPr>
              <w:t>中华人民共和国</w:t>
            </w:r>
            <w:r>
              <w:rPr>
                <w:rFonts w:hint="eastAsia" w:ascii="宋体" w:hAnsi="宋体" w:eastAsia="宋体" w:cs="宋体"/>
                <w:i w:val="0"/>
                <w:color w:val="auto"/>
                <w:kern w:val="0"/>
                <w:sz w:val="21"/>
                <w:szCs w:val="21"/>
                <w:highlight w:val="none"/>
                <w:u w:val="none"/>
                <w:lang w:val="en-US" w:eastAsia="zh-CN" w:bidi="ar"/>
              </w:rPr>
              <w:t>道路运输条例》（国务院令第628号）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具备相应资质的汽车综合性能检测机构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1、道路运输经营和增加道路客运班线许可2、道路货</w:t>
            </w:r>
            <w:r>
              <w:rPr>
                <w:rFonts w:hint="eastAsia" w:ascii="宋体" w:hAnsi="宋体" w:cs="宋体"/>
                <w:i w:val="0"/>
                <w:color w:val="auto"/>
                <w:kern w:val="0"/>
                <w:sz w:val="21"/>
                <w:szCs w:val="21"/>
                <w:highlight w:val="none"/>
                <w:u w:val="none"/>
                <w:lang w:val="en-US" w:eastAsia="zh-CN" w:bidi="ar"/>
              </w:rPr>
              <w:t>物</w:t>
            </w:r>
            <w:r>
              <w:rPr>
                <w:rFonts w:hint="eastAsia" w:ascii="宋体" w:hAnsi="宋体" w:eastAsia="宋体" w:cs="宋体"/>
                <w:i w:val="0"/>
                <w:color w:val="auto"/>
                <w:kern w:val="0"/>
                <w:sz w:val="21"/>
                <w:szCs w:val="21"/>
                <w:highlight w:val="none"/>
                <w:u w:val="none"/>
                <w:lang w:val="en-US" w:eastAsia="zh-CN" w:bidi="ar"/>
              </w:rPr>
              <w:t>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申请人可自行委托有合法资质的机构进行评定，审批部门不得以任何形式要求申请人必须委托特定中介机构提供服务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8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道路运输达标车型核查</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《道路运输达标车辆核查工作规范》（交办运[2018]155号）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具备相应资质的汽车综合性能检测机构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1、道路运输经营和增加道路客运班线许可2、道路货</w:t>
            </w:r>
            <w:r>
              <w:rPr>
                <w:rFonts w:hint="eastAsia" w:ascii="宋体" w:hAnsi="宋体" w:cs="宋体"/>
                <w:i w:val="0"/>
                <w:color w:val="auto"/>
                <w:kern w:val="0"/>
                <w:sz w:val="21"/>
                <w:szCs w:val="21"/>
                <w:highlight w:val="none"/>
                <w:u w:val="none"/>
                <w:lang w:val="en-US" w:eastAsia="zh-CN" w:bidi="ar"/>
              </w:rPr>
              <w:t>物</w:t>
            </w:r>
            <w:r>
              <w:rPr>
                <w:rFonts w:hint="eastAsia" w:ascii="宋体" w:hAnsi="宋体" w:eastAsia="宋体" w:cs="宋体"/>
                <w:i w:val="0"/>
                <w:color w:val="auto"/>
                <w:kern w:val="0"/>
                <w:sz w:val="21"/>
                <w:szCs w:val="21"/>
                <w:highlight w:val="none"/>
                <w:u w:val="none"/>
                <w:lang w:val="en-US" w:eastAsia="zh-CN" w:bidi="ar"/>
              </w:rPr>
              <w:t>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申请人可自行委托有合法资质的机构进行核查，审批部门不得以任何形式要求申请人必须委托特定中介机构提供服务（仅限新车）</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1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客运汽车综合性能检测</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《道路旅客运输及客运站管理规定》（交通运输部令2016年第34号）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具备相应资质的汽车综合性能检测机构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道路运输经营和增加道路客运班线许可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申请人可自行委托有合法资质的机构进行检测，审批部门不得以任何形式要求申请人必须委托特定中介机构提供服务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道路运输车辆安装卫星定位装置</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《道路运输车辆动态监督管理办法》（交通运输部令2016年第55号）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具有符合资质条件的定位装置安装机构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highlight w:val="none"/>
                <w:u w:val="none"/>
                <w:lang w:val="en-US" w:eastAsia="zh-CN" w:bidi="ar"/>
              </w:rPr>
              <w:t>1、道路运输经营和增加道路客运班线许可2、道路货</w:t>
            </w:r>
            <w:r>
              <w:rPr>
                <w:rFonts w:hint="eastAsia" w:ascii="宋体" w:hAnsi="宋体" w:cs="宋体"/>
                <w:i w:val="0"/>
                <w:color w:val="auto"/>
                <w:kern w:val="0"/>
                <w:sz w:val="21"/>
                <w:szCs w:val="21"/>
                <w:highlight w:val="none"/>
                <w:u w:val="none"/>
                <w:lang w:val="en-US" w:eastAsia="zh-CN" w:bidi="ar"/>
              </w:rPr>
              <w:t>物</w:t>
            </w:r>
            <w:r>
              <w:rPr>
                <w:rFonts w:hint="eastAsia" w:ascii="宋体" w:hAnsi="宋体" w:eastAsia="宋体" w:cs="宋体"/>
                <w:i w:val="0"/>
                <w:color w:val="auto"/>
                <w:kern w:val="0"/>
                <w:sz w:val="21"/>
                <w:szCs w:val="21"/>
                <w:highlight w:val="none"/>
                <w:u w:val="none"/>
                <w:lang w:val="en-US" w:eastAsia="zh-CN" w:bidi="ar"/>
              </w:rPr>
              <w:t>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申请人可自行选择符合资质条件的定位装置安装机构，审批部门不得以任何形式要求申请人必须委托特定中介机构提供服务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08"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车辆技术等级评定</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《机动车驾驶员培训管理规定》（交通</w:t>
            </w:r>
            <w:r>
              <w:rPr>
                <w:rFonts w:hint="eastAsia" w:ascii="宋体" w:hAnsi="宋体" w:cs="宋体"/>
                <w:i w:val="0"/>
                <w:color w:val="auto"/>
                <w:kern w:val="0"/>
                <w:sz w:val="21"/>
                <w:szCs w:val="21"/>
                <w:u w:val="none"/>
                <w:lang w:val="en-US" w:eastAsia="zh-CN" w:bidi="ar"/>
              </w:rPr>
              <w:t>运输</w:t>
            </w:r>
            <w:r>
              <w:rPr>
                <w:rFonts w:hint="eastAsia" w:ascii="宋体" w:hAnsi="宋体" w:eastAsia="宋体" w:cs="宋体"/>
                <w:i w:val="0"/>
                <w:color w:val="auto"/>
                <w:kern w:val="0"/>
                <w:sz w:val="21"/>
                <w:szCs w:val="21"/>
                <w:u w:val="none"/>
                <w:lang w:val="en-US" w:eastAsia="zh-CN" w:bidi="ar"/>
              </w:rPr>
              <w:t>部令2016年第51号）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具备相应资质的汽车综合性能检测机构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普通机动车驾驶员培训经营许可中的等级评定</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申请人可自行选择符合资质条件的机构进行评定，审批部门不得以任何形式要求申请人必须委托特定中介机构提供服务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33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7</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道路客运、货运驾驶员从业资格培训</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《道路运输从业人员管理规定》（交通</w:t>
            </w:r>
            <w:r>
              <w:rPr>
                <w:rFonts w:hint="eastAsia" w:ascii="宋体" w:hAnsi="宋体" w:cs="宋体"/>
                <w:i w:val="0"/>
                <w:color w:val="auto"/>
                <w:kern w:val="0"/>
                <w:sz w:val="21"/>
                <w:szCs w:val="21"/>
                <w:u w:val="none"/>
                <w:lang w:val="en-US" w:eastAsia="zh-CN" w:bidi="ar"/>
              </w:rPr>
              <w:t>运输</w:t>
            </w:r>
            <w:r>
              <w:rPr>
                <w:rFonts w:hint="eastAsia" w:ascii="宋体" w:hAnsi="宋体" w:eastAsia="宋体" w:cs="宋体"/>
                <w:i w:val="0"/>
                <w:color w:val="auto"/>
                <w:kern w:val="0"/>
                <w:sz w:val="21"/>
                <w:szCs w:val="21"/>
                <w:u w:val="none"/>
                <w:lang w:val="en-US" w:eastAsia="zh-CN" w:bidi="ar"/>
              </w:rPr>
              <w:t>部令2019年第18号）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取得相应从业资格培训许可的驾驶员培训机构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经营性道路旅客货物运输驾驶员从业资格证核发</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申请人可自行选择取得相应从业资格培训许可的驾驶员培训机构进行培训，审批部门不得以任何形式要求申请人必须委托特定中介机构提供服务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2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施工图文件设计</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审查</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《公路建设市场管理办法》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有相应工程咨询或设计资质的单位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公路水运工程建设项目设计文件审批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按《公路建设管路办法》第十条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4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9</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全市交通建设交（竣）工项目验证性检测</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《公路水运工程质量监督管理规定》（交通运输部令2017年第28号）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交通建设行业有资质的检测机构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公路、水路工程交竣工质量鉴定</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73"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10</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保障公路、公路附属设施质量和安全的技术评价报告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《公路安全保护条例》《湖南省实施〈中华人民共和国公路法〉办法》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具备相应资质的公路质量安全评价机构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1、公路超限运输许可2、在公路增设或改造平面交叉道口审批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实施道路危险货物运输驾驶员培训</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《道路运输从业人员管理规定》（交通运输部令2019年第18号）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具有道路危险货物运输驾驶员培训资质的驾培机构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危险货物道路运输从业人员资格许可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公路、水运工程</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设计文件审查</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both"/>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《公路建设市场管理办法》《建设工程勘察设计管理条例》《港口工程建设管理规定》《航道建设管理规定》</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公路：公路行业设计或公路工程咨询机构；水运：具备水运行业资质或专业资质的设计院</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公路水运工程建设项目设计文件审批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审批部门委托有相应合法资质的机构进行技术审查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出具老码头评估</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合格检测报告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《中华人民共和国港口法》（2015年修改）《湖南省港口岸线使用审批管理办法》（湘交港航〔2018〕70号）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具备水运工程结构资质的工程检测机构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港口经营许可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出具建设项目安全条件论证报告（涉及危险化学品的提供）</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《港口危险货物安全管理规定》（交通运输部令2017年第27号）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具备安全评估资质的机构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新建、改建、扩建从事港口危险货物作业的建设项目安全条件审查</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21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出具罐式专用车辆的罐体检测合格证或者检测报告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 xml:space="preserve">《道路危险货物运输管理规定》（交通运输部令2016年第36号） </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质量检验部门</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道路危险货物运输经营许可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出具道路运输车辆综合性能检测结果和技术等级评定结论</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w:t>
            </w:r>
            <w:r>
              <w:rPr>
                <w:rFonts w:hint="eastAsia" w:ascii="宋体" w:hAnsi="宋体" w:cs="宋体"/>
                <w:i w:val="0"/>
                <w:color w:val="auto"/>
                <w:kern w:val="0"/>
                <w:sz w:val="21"/>
                <w:szCs w:val="21"/>
                <w:highlight w:val="none"/>
                <w:u w:val="none"/>
                <w:lang w:val="en-US" w:eastAsia="zh-CN" w:bidi="ar"/>
              </w:rPr>
              <w:t>中华人民共和国</w:t>
            </w:r>
            <w:r>
              <w:rPr>
                <w:rFonts w:hint="eastAsia" w:ascii="宋体" w:hAnsi="宋体" w:eastAsia="宋体" w:cs="宋体"/>
                <w:i w:val="0"/>
                <w:color w:val="auto"/>
                <w:kern w:val="0"/>
                <w:sz w:val="21"/>
                <w:szCs w:val="21"/>
                <w:u w:val="none"/>
                <w:lang w:val="en-US" w:eastAsia="zh-CN" w:bidi="ar"/>
              </w:rPr>
              <w:t>道路运输条例》（2019年修正）《道路运输车辆技术管理规定》（交通运输部令2019年第19号）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对营运货车辆类型划分及等级评定的确认</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8"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17</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出具道路运输车辆卫星定位系统监控平台标准符合性技术审查检测报告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 xml:space="preserve">《道路运输车辆动态监督管理办法》（交通运输部令2016年第55号）  </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有关专业机构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道路运输企业新建、变更卫星定位监控平台以及提供道路运输车辆动态监控社会化服务的备案</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出具车辆技术等级评定结论和客车类型等级评定结果</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7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《中华人民共和国道路运输条例》（国务院令第709号修改）《道路旅客运输及客运站管理规定》（交通运输部令2016年第82号）《道路运输车辆技术管理规定》（交通运输部令2019年第19号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道路旅客运输经营许可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出具车辆技术等级评定结论和客车类型等级评定结果</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7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w:t>
            </w:r>
            <w:r>
              <w:rPr>
                <w:rFonts w:hint="eastAsia" w:ascii="宋体" w:hAnsi="宋体" w:cs="宋体"/>
                <w:i w:val="0"/>
                <w:color w:val="auto"/>
                <w:kern w:val="0"/>
                <w:sz w:val="21"/>
                <w:szCs w:val="21"/>
                <w:highlight w:val="none"/>
                <w:u w:val="none"/>
                <w:lang w:val="en-US" w:eastAsia="zh-CN" w:bidi="ar"/>
              </w:rPr>
              <w:t>中华人民共和国</w:t>
            </w:r>
            <w:r>
              <w:rPr>
                <w:rFonts w:hint="eastAsia" w:ascii="宋体" w:hAnsi="宋体" w:eastAsia="宋体" w:cs="宋体"/>
                <w:color w:val="auto"/>
                <w:spacing w:val="0"/>
                <w:w w:val="100"/>
                <w:kern w:val="2"/>
                <w:position w:val="0"/>
                <w:sz w:val="21"/>
                <w:szCs w:val="21"/>
                <w:u w:val="none"/>
                <w:shd w:val="clear" w:color="auto" w:fill="auto"/>
                <w:lang w:val="en-US" w:eastAsia="zh-CN" w:bidi="zh-TW"/>
              </w:rPr>
              <w:t>道路运输条例》（2019年修正）《道路危险货物运输管理规定》（交通运输部令2016年第36号）　《道路货物运输及站场管理规定》（交通运输部令2016年第35号）</w:t>
            </w:r>
          </w:p>
          <w:p>
            <w:pPr>
              <w:keepNext w:val="0"/>
              <w:keepLines w:val="0"/>
              <w:pageBreakBefore w:val="0"/>
              <w:widowControl/>
              <w:suppressLineNumbers w:val="0"/>
              <w:kinsoku/>
              <w:wordWrap/>
              <w:overflowPunct/>
              <w:topLinePunct w:val="0"/>
              <w:autoSpaceDE/>
              <w:autoSpaceDN/>
              <w:bidi w:val="0"/>
              <w:adjustRightInd/>
              <w:snapToGrid/>
              <w:spacing w:line="27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车辆运营证核发</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77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出具车辆技术等级评定结论和客车类型等级评定结果</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7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《道路旅客运输及客运站管理规定》（交通运输部令2016年第82号）</w:t>
            </w:r>
            <w:r>
              <w:rPr>
                <w:rFonts w:hint="eastAsia"/>
                <w:lang w:val="en-US" w:eastAsia="zh-CN"/>
              </w:rPr>
              <w:t>《道路运输车辆技术管理规定》（</w:t>
            </w:r>
            <w:r>
              <w:rPr>
                <w:rFonts w:hint="eastAsia" w:asciiTheme="majorEastAsia" w:hAnsiTheme="majorEastAsia" w:eastAsiaTheme="majorEastAsia" w:cstheme="majorEastAsia"/>
                <w:lang w:val="en-US" w:eastAsia="zh-CN"/>
              </w:rPr>
              <w:t>交通运输部令2019年第19号）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确认特定时段开行包车或者加班车资质</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163"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出具车辆技术等级评定结论和客车类型等级评定结果</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货物运输及站场管理规定》（交通运输部令2019年第17号）《道路旅客运输及客运站管理规定》（交通运输部令2016年第82号）《道路危险货物运输管理规定》（交通运输部令2016年第36号）《道路运输车辆技术管理规定（交通运输部令2019年第19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道路运输营运车辆年度定期审验</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19</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出具车辆技术等级评定结论</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《道路危险货物运输管理规定》（交通运输部令2016年第36号）《道路运输车辆技术管理规定》（交通运输部令2016年第1号）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危险货物运输经营许可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19</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出具车辆技术等级评定结论</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w:t>
            </w:r>
            <w:r>
              <w:rPr>
                <w:rFonts w:hint="eastAsia" w:ascii="宋体" w:hAnsi="宋体" w:cs="宋体"/>
                <w:i w:val="0"/>
                <w:color w:val="auto"/>
                <w:kern w:val="0"/>
                <w:sz w:val="21"/>
                <w:szCs w:val="21"/>
                <w:u w:val="none"/>
                <w:lang w:val="en-US" w:eastAsia="zh-CN" w:bidi="ar"/>
              </w:rPr>
              <w:t>中华人民共和国</w:t>
            </w:r>
            <w:r>
              <w:rPr>
                <w:rFonts w:hint="eastAsia" w:ascii="宋体" w:hAnsi="宋体" w:eastAsia="宋体" w:cs="宋体"/>
                <w:i w:val="0"/>
                <w:color w:val="auto"/>
                <w:kern w:val="0"/>
                <w:sz w:val="21"/>
                <w:szCs w:val="21"/>
                <w:u w:val="none"/>
                <w:lang w:val="en-US" w:eastAsia="zh-CN" w:bidi="ar"/>
              </w:rPr>
              <w:t>道路运输条例》（2019年修正） 《道路运输车辆技术管理规定》（交通运输部令2019年第19号）　</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机动车综合性能检测机构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道路货运经营许可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检测机构需通过质量技术监督部门的计量认证、取得计量认证证书并符合《汽车综合性能检测站能力的通用要求》（GB 17993）</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9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20</w:t>
            </w:r>
          </w:p>
        </w:tc>
        <w:tc>
          <w:tcPr>
            <w:tcW w:w="70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公路水运工程造价咨询</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《湖南省建设工程造价管理办法》（2004年湖南省政府令第192号）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具备工程造价咨询资质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公路水运工程建设项目设计文件审批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审批部门委托有相应合法资质的机构进行技术审查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5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70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《湖南省建设工程造价管理办法》（2004年湖南省政府令第192号）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具备工程造价咨询资质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公路建设项目竣工验收</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审批部门委托有相应合法资质的机构进行技术审查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65"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邵阳市交通运输局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20</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公路水运工程造价咨询</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《湖南省建设工程造价管理办法》（2004年湖南省政府令第192号）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具备工程造价咨询资质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水运工程竣工验收</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审批部门委托有相应合法资质的机构进行技术审查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02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超限运输车辆行驶公路通行、加固、改造方案制定</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《公路安全保护条例》（国务院令第593号）《湖南省公路路政许可暂行规定》（湘交路政〔2018〕139号）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具备公路行业设计资质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公路超限运输许可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2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公路桥梁结构荷载验算报告编制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《超限运输车辆行驶公路管理规定》（交通运输部令2016年第62号）《交通运输部办公厅关于做好跨省大件运输并联许可系统联网运行工作的通知》（交办公路函〔201</w:t>
            </w:r>
            <w:r>
              <w:rPr>
                <w:rFonts w:hint="eastAsia" w:ascii="宋体" w:hAnsi="宋体" w:cs="宋体"/>
                <w:i w:val="0"/>
                <w:color w:val="auto"/>
                <w:kern w:val="0"/>
                <w:sz w:val="21"/>
                <w:szCs w:val="21"/>
                <w:u w:val="none"/>
                <w:lang w:val="en-US" w:eastAsia="zh-CN" w:bidi="ar"/>
              </w:rPr>
              <w:t>7</w:t>
            </w:r>
            <w:r>
              <w:rPr>
                <w:rFonts w:hint="eastAsia" w:ascii="宋体" w:hAnsi="宋体" w:eastAsia="宋体" w:cs="宋体"/>
                <w:i w:val="0"/>
                <w:color w:val="auto"/>
                <w:kern w:val="0"/>
                <w:sz w:val="21"/>
                <w:szCs w:val="21"/>
                <w:u w:val="none"/>
                <w:lang w:val="en-US" w:eastAsia="zh-CN" w:bidi="ar"/>
              </w:rPr>
              <w:t>〕1407号）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具备公路行业设计资质或检测资质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公路超限运输许可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9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出具保</w:t>
            </w:r>
            <w:r>
              <w:rPr>
                <w:rFonts w:hint="eastAsia" w:ascii="宋体" w:hAnsi="宋体" w:eastAsia="宋体" w:cs="宋体"/>
                <w:i w:val="0"/>
                <w:color w:val="auto"/>
                <w:spacing w:val="-11"/>
                <w:kern w:val="0"/>
                <w:sz w:val="21"/>
                <w:szCs w:val="21"/>
                <w:u w:val="none"/>
                <w:lang w:val="en-US" w:eastAsia="zh-CN" w:bidi="ar"/>
              </w:rPr>
              <w:t>障公路、公路附属设施质量和安全措施的技术评价报告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《公路安全保护条例》(国务院令第593号)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具备公路行业设计资质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在公路增设或改造平面交叉道口审批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84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维修检测设备及</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计量设备检定</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合格证明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default"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《机动车维修管理规定》</w:t>
            </w:r>
            <w:r>
              <w:rPr>
                <w:rFonts w:hint="eastAsia" w:ascii="宋体" w:hAnsi="宋体" w:cs="宋体"/>
                <w:i w:val="0"/>
                <w:color w:val="auto"/>
                <w:kern w:val="0"/>
                <w:sz w:val="21"/>
                <w:szCs w:val="21"/>
                <w:u w:val="none"/>
                <w:lang w:val="en-US" w:eastAsia="zh-CN" w:bidi="ar"/>
              </w:rPr>
              <w:t>（</w:t>
            </w:r>
            <w:r>
              <w:rPr>
                <w:rFonts w:hint="eastAsia" w:ascii="宋体" w:hAnsi="宋体" w:eastAsia="宋体" w:cs="宋体"/>
                <w:i w:val="0"/>
                <w:color w:val="auto"/>
                <w:kern w:val="0"/>
                <w:sz w:val="21"/>
                <w:szCs w:val="21"/>
                <w:u w:val="none"/>
                <w:lang w:val="en-US" w:eastAsia="zh-CN" w:bidi="ar"/>
              </w:rPr>
              <w:t>交通运输部</w:t>
            </w:r>
            <w:r>
              <w:rPr>
                <w:rFonts w:hint="eastAsia" w:ascii="宋体" w:hAnsi="宋体" w:cs="宋体"/>
                <w:i w:val="0"/>
                <w:color w:val="auto"/>
                <w:kern w:val="0"/>
                <w:sz w:val="21"/>
                <w:szCs w:val="21"/>
                <w:u w:val="none"/>
                <w:lang w:val="en-US" w:eastAsia="zh-CN" w:bidi="ar"/>
              </w:rPr>
              <w:t>2019年修正）</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具备检测资质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机动车维修经营备案</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交通行业标准和规范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143"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出具工程质量检测意见、鉴定报告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《公路水运工程质量监督管理规定》（交通运输部令2017年第28号）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left"/>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具备公路工程试验检测综合资质、桥梁隧道工程专项资质、交通工程专项资质、水运工程材料类资质、水运工程结构类资质</w:t>
            </w:r>
            <w:r>
              <w:rPr>
                <w:rFonts w:hint="eastAsia" w:ascii="宋体" w:hAnsi="宋体" w:eastAsia="宋体" w:cs="宋体"/>
                <w:color w:val="auto"/>
                <w:spacing w:val="0"/>
                <w:w w:val="100"/>
                <w:kern w:val="2"/>
                <w:position w:val="0"/>
                <w:sz w:val="21"/>
                <w:szCs w:val="21"/>
                <w:u w:val="none"/>
                <w:shd w:val="clear" w:color="auto" w:fill="auto"/>
                <w:lang w:val="en-US" w:eastAsia="zh-CN" w:bidi="zh-TW"/>
              </w:rPr>
              <w:t>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公路、水运工程交竣工质量鉴定</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审批部门委托有相应合法资质的机构进行技术审查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邵阳市农业农村局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出具转基因检测</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《主要农作物品种审定办法》（农业部令2016年第4号）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主要农作物品种和主要林木品种审定</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申请人可按要求自行进行检测，也可委托有相应合法资质的机构进行检测，审批部门不得以任何形式要求申请人必须委托特定中介机构提供服务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肥料田间试验</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《肥料登记管理办法》（农业部令2000年第32号， 2017年修订）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肥料登记</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申请人可按要求自行开展肥料田间试验，也可委托有相应合法资质的机构开展，审批部门不得以任何形式要求申请人必须委托特定中介机构提供服务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出具产品主成分指标检测方法验证</w:t>
            </w:r>
          </w:p>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结论</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《饲料和饲料添加剂管理条例》（2017年修订）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饲料添加剂产品批准文号核发</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申请人应委托有相应合法资质的机构实施相关检验检测并出具相应结论，审批部门不得以任何形式要求申请人必须委托特定中介机构提供服务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2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驯养繁殖物种来源证明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《中华人民共和国水生野生动物利用特许办法》（农业部令2013年第5号）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驯养繁殖国家二级保护和省重点保护野生动物审批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申请人可按要求自行证明物种来源，也可委托有相应合法资质的机构证明，审批部门不得以任何形式要求申请人必须委托特定中介机构提供服务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邵阳市农业农村局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出售收购利用物种来源证明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《中华人民共和国水生野生动物利用特许办法》（农业部令2013年第5号）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出售、收购、利用国家重点保护野生动物和省重点保护野生动植物及其产品审批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申请人可按要求自行证明物种来源，也可委托有相应合法资质的机构证明，审批部门不得以任何形式要求申请人必须委托特定中介机构提供服务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出具洁净室（区）检测报告（已下放到县级实施）</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《兽药生产质量管理规范检查验收办法》（农业部公告第1427号）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兽药生产许可证核发</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申请人应委托有相应合法资质的机构进行检测，审批部门不得以任何形式要求申请人必须委托特定中介机构提供服务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z w:val="21"/>
                <w:szCs w:val="21"/>
                <w:lang w:bidi="zh-TW"/>
              </w:rPr>
            </w:pPr>
            <w:r>
              <w:rPr>
                <w:rFonts w:hint="eastAsia" w:ascii="宋体" w:hAnsi="宋体" w:eastAsia="宋体" w:cs="宋体"/>
                <w:color w:val="auto"/>
                <w:sz w:val="21"/>
                <w:szCs w:val="21"/>
                <w:lang w:bidi="zh-TW"/>
              </w:rPr>
              <w:t>中型水闸除险加固的初设设计报告</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bidi="zh-TW"/>
              </w:rPr>
              <w:t>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《水利工程建设程序管理暂行规定》（水利部水建〔1998〕16号，2019年修订）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水利基建项目初步设计文件审批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申请人可按要求自行编制设计报告，也可委托机构编制，审批部门不得以任何形式要求申请人必须委托特定中介机构提供服务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bidi="zh-TW"/>
              </w:rPr>
              <w:t>水利基建项目中小河流治理工程初步设计报告编制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《水利工程建设程序管理暂行规定》（水利部水建〔1998〕16号，2019年修订）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水利基建项目初步设计文件审批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申请人可按要求自行编制设计报告，也可委托机构编制，审批部门不得以任何形式要求申请人必须委托特定中介机构提供服务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88"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bidi="zh-TW"/>
              </w:rPr>
              <w:t>新建小Ⅰ型水库（含抗旱应急水源工程）初步设计报告编制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《水利工程建设程序管理暂行规定》（水利部水建〔1998〕16号，2019年修订）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水利基建项目初步设计文件审批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申请人可按要求自行编制设计报告，也可委托机构编制，审批部门不得以任何形式要求申请人必须委托特定中介机构提供服务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2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bidi="zh-TW"/>
              </w:rPr>
              <w:t>在大坝管理和保护范围内修建码头、渔塘建设方案编制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《水库大坝安全管理条例》（国务院令第77号）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在大坝管理和保护范围内修建码头、渔塘许可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申请人可按要求自行编制设计报告，也可委托机构编制，审批部门不得以任何形式要求申请人必须委托特定中介机构提供服务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3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bidi="zh-TW"/>
              </w:rPr>
              <w:t>水库大坝注册登记报告编制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《中华人民共和国水库大坝安全管理条例》（国务院令第77号）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权限内水库大坝注册登记</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申请人可按要求自行编制设计报告，也可委托机构编制，审批部门不得以任何形式要求申请人必须委托特定中介机构提供服务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3815"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bidi="zh-TW"/>
              </w:rPr>
              <w:t>水电站建设项目初步设计报告编制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《水利工程建设程序管理暂行规定》（水利部水建〔1998〕16号，2019年修订）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相应资格的设计</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水电站建设项目初步设计文件审批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申请人应委托相应资格的设计单位对单站装机1万kw（含1万kw）至2.5万kw（不含2.5万kw）的水电站项目按照《水利水电工程初步设计报告编制规程》的要求进行初步设计编制</w:t>
            </w:r>
            <w:r>
              <w:rPr>
                <w:rFonts w:hint="eastAsia" w:ascii="宋体" w:hAnsi="宋体" w:cs="宋体"/>
                <w:color w:val="auto"/>
                <w:spacing w:val="0"/>
                <w:w w:val="100"/>
                <w:kern w:val="2"/>
                <w:position w:val="0"/>
                <w:sz w:val="21"/>
                <w:szCs w:val="21"/>
                <w:u w:val="none"/>
                <w:shd w:val="clear" w:color="auto" w:fill="auto"/>
                <w:lang w:val="en-US" w:eastAsia="zh-CN" w:bidi="zh-TW"/>
              </w:rPr>
              <w:t>，</w:t>
            </w:r>
            <w:r>
              <w:rPr>
                <w:rFonts w:hint="eastAsia" w:ascii="宋体" w:hAnsi="宋体" w:eastAsia="宋体" w:cs="宋体"/>
                <w:color w:val="auto"/>
                <w:spacing w:val="0"/>
                <w:w w:val="100"/>
                <w:kern w:val="2"/>
                <w:position w:val="0"/>
                <w:sz w:val="21"/>
                <w:szCs w:val="21"/>
                <w:u w:val="none"/>
                <w:shd w:val="clear" w:color="auto" w:fill="auto"/>
                <w:lang w:val="en-US" w:eastAsia="zh-CN" w:bidi="zh-TW"/>
              </w:rPr>
              <w:t>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1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7</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水工程建设规划同意书论证报告编制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《水工程建设规划同意书制度管理办法（试行）》（水利部令第31号）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有相应工程咨询资质的单位或者流域综合规划或者防洪规划的编制单位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水工程建设规划同意书审核</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65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水工程防洪规划</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《中华人民共和国防洪法》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有相应工程咨询资质的单位或者流域综合规划或者防洪规划的编制单位</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水工程防洪规划审批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9</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生产建设项目水土保持方案编制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《中华人民共和国水土保持法》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生产建设项目水土保持方案审批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申请人可按要求自行编制报告，也可委托有关机构编制，审批部门不得以任何形式要求申请人必须委托特定中介机构提供服务；保留审批部门现有的评价报告技术评估、评审。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10</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不同行政区域边界水工程论证报告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《中华人民共和国水法》（2016年修订）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不同行政区域边界水工程批准</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申请人可按要求自行编制评价报告，也可委托有关机构编制，审批部门不得以任何形式要求申请人必须委托特定中介机构提供服务；保留审批部门现有的评价报告技术评估、评审。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洪水影响评价报告编制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《河道管理范围内建设项目管理的有关规定》（水政〔1992〕7号）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河道管理范围内建设项目工程建设方案审批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申请人可按要求自行编制洪水影响评价报告，也可委托有关机构编制，审批部门不得以任何形式要求申请人必须委托特定中介机构编制洪水影响评价报告；保留审批部门现有对评价报告的技术评估、评审。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218"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防洪补救补偿措施设计报告编制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《河道管理范围内建设项目管理的有关规定》（水政〔1992〕7号）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河道管理范围内建设项目工程建设方案审批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申请人需委托有相应合法资质的机构编制防洪补救补偿措施设计报告；保留审批部门现有对防洪补救补偿措施设计报告的技术评估、评审。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61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权限内洪泛区、蓄滞洪区非防洪建设项目洪水影响评价报告编制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《中华人民共和国防洪法》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非防洪建设项目洪水影响评价报告审批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申请人可按要求自行编制评价报告，也可委托有关机构编制，审批部门不得以任何形式要求申请人必须委托特定中介机构提供服务；保留审批部门现有的评价报告技术评估、评审。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42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洪水影响评价报告编制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《中华人民共和国防洪法》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城市建设填堵水域、废除围堤审核</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申请人可按要求自行编制评价报告，也可委托有关机构编制，审批部门不得以任何形式要求申请人必须委托特定中介机构提供服务；保留审批部门现有的评价报告技术评估、评审。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初设报告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《国务院对确需保留的行政审批项目设定行政许可的决定》（国务院令第412号）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四、五级堤防建设的初设的审批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编制单位的资质符合《工程设计资质标准》（建市[2007]86号）和《工程勘察资质标准》（住房和城乡建设部2013年）规定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利用堤顶、戗台兼做公路论证报告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《中华人民共和国河道管理条例》（国务院令第588号，2018年修正）第十五条。</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利用堤顶、戗台兼做公路审批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1、项目技术方案合理可行，符合法律法规及相关技术标准的要求； 2、符合堤防管理要求，不影响防汛抢险； 3、不影响堤防加高加固； 4、不影响第三人合法水事权益</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17</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日供水规模1000m</w:t>
            </w:r>
            <w:r>
              <w:rPr>
                <w:rFonts w:hint="eastAsia" w:ascii="宋体" w:hAnsi="宋体" w:eastAsia="宋体" w:cs="宋体"/>
                <w:color w:val="auto"/>
                <w:spacing w:val="0"/>
                <w:w w:val="100"/>
                <w:kern w:val="2"/>
                <w:position w:val="0"/>
                <w:sz w:val="21"/>
                <w:szCs w:val="21"/>
                <w:u w:val="none"/>
                <w:shd w:val="clear" w:color="auto" w:fill="auto"/>
                <w:vertAlign w:val="superscript"/>
                <w:lang w:val="en-US" w:eastAsia="zh-CN" w:bidi="zh-TW"/>
              </w:rPr>
              <w:t>3</w:t>
            </w:r>
            <w:r>
              <w:rPr>
                <w:rFonts w:hint="eastAsia" w:ascii="宋体" w:hAnsi="宋体" w:eastAsia="宋体" w:cs="宋体"/>
                <w:color w:val="auto"/>
                <w:spacing w:val="0"/>
                <w:w w:val="100"/>
                <w:kern w:val="2"/>
                <w:position w:val="0"/>
                <w:sz w:val="21"/>
                <w:szCs w:val="21"/>
                <w:u w:val="none"/>
                <w:shd w:val="clear" w:color="auto" w:fill="auto"/>
                <w:lang w:val="en-US" w:eastAsia="zh-CN" w:bidi="zh-TW"/>
              </w:rPr>
              <w:t>以上农村饮水安全巩固提升工程初步设计报告编制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国家发展改革委、水利部、卫生计生委、环境保护部、财政部以发改农经〔2013〕2673号印发《农村饮水安全工程建设管理办法》</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日供水规模1000m</w:t>
            </w:r>
            <w:r>
              <w:rPr>
                <w:rFonts w:hint="eastAsia" w:ascii="宋体" w:hAnsi="宋体" w:eastAsia="宋体" w:cs="宋体"/>
                <w:color w:val="auto"/>
                <w:spacing w:val="0"/>
                <w:w w:val="100"/>
                <w:kern w:val="2"/>
                <w:position w:val="0"/>
                <w:sz w:val="21"/>
                <w:szCs w:val="21"/>
                <w:u w:val="none"/>
                <w:shd w:val="clear" w:color="auto" w:fill="auto"/>
                <w:vertAlign w:val="superscript"/>
                <w:lang w:val="en-US" w:eastAsia="zh-CN" w:bidi="zh-TW"/>
              </w:rPr>
              <w:t>3</w:t>
            </w:r>
            <w:r>
              <w:rPr>
                <w:rFonts w:hint="eastAsia" w:ascii="宋体" w:hAnsi="宋体" w:eastAsia="宋体" w:cs="宋体"/>
                <w:color w:val="auto"/>
                <w:spacing w:val="0"/>
                <w:w w:val="100"/>
                <w:kern w:val="2"/>
                <w:position w:val="0"/>
                <w:sz w:val="21"/>
                <w:szCs w:val="21"/>
                <w:u w:val="none"/>
                <w:shd w:val="clear" w:color="auto" w:fill="auto"/>
                <w:lang w:val="en-US" w:eastAsia="zh-CN" w:bidi="zh-TW"/>
              </w:rPr>
              <w:t>以上农村饮水安全巩固提升工程初步设计审批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申请人需委托有相应合法资质的机构编制初步设计报告，审批部门不得以任何形式要求申请人必须委托特定中介机构提供服务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中型灌区节水改造配套工程初步设计方案编制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《国务院对确需保留的行政审批项目设定行政许可的决定》</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中型灌区节水改造配套工程初步设计审批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申请人需委托有相应合法资质的机构编制初步设计报告，审批部门不得以任何形式要求申请人必须委托特定中介机构提供服务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19</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水利基建项目灌溉、排涝泵站工程初步设计报告编制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《国务院对确需保留的行政审批项目设定行政许可的决定》</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有相应合法资质的设计机构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水利基建项目灌溉、排涝泵站工程初步设计文件审批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申请人需委托有相应合法资质的机构编制初步设计报告，审批部门不得以任何形式要求申请人必须委托特定中介机构提供服务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20</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占用农业灌溉水源、灌排工程设施补偿替代方案编制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《占用农业灌溉水源、灌排工程设施补偿办法》（水利部财政部国家计委水资政〔1995〕457号，2014年修订）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占用农业灌溉水源、灌排工程设施审批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申请人可按要求自行编制方案，也可委托机构编制，审批部门不得以任何形式要求申请人必须委托特定中介机构提供服务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21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i w:val="0"/>
                <w:color w:val="auto"/>
                <w:kern w:val="0"/>
                <w:sz w:val="21"/>
                <w:szCs w:val="21"/>
                <w:u w:val="none"/>
                <w:lang w:val="en-US" w:eastAsia="zh-CN" w:bidi="ar"/>
              </w:rPr>
              <w:t>水资源论证报告</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《取水许可和水资源费征收管理条例》（国务院令第 460号，2017年修订）；《取水许可管理办法》（水利部令第34号，2015年修订）</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无资质等级要求</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取水许可</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i w:val="0"/>
                <w:color w:val="auto"/>
                <w:kern w:val="0"/>
                <w:sz w:val="21"/>
                <w:szCs w:val="21"/>
                <w:u w:val="none"/>
                <w:lang w:val="en-US" w:eastAsia="zh-CN" w:bidi="ar"/>
              </w:rPr>
              <w:t>申请人可按要求自行编制方案，也可委托机构编制，审批部门不得以任何形式要求申请人必须委托特定中介机构提供服务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林业局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建设项目使用林地可行性报告编制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《中华人民共和国森林法》、《中华人民共和国林林法实施条例》、《建设项目使用林地审核审批管理办法》（国家林业局令第35号）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无资质等级要求</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临时使用林地审批</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申请人可按要求自行编制可行性报告，也可委托有关机构编制，审批部门不得以任何形式要求申请人必须委托特定中介机构提供服务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林业局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拟建机构或设施对自然保护区自然资源、自然生态系统和主要保护对象影响评价</w:t>
            </w:r>
          </w:p>
        </w:tc>
        <w:tc>
          <w:tcPr>
            <w:tcW w:w="1375" w:type="pct"/>
            <w:noWrap w:val="0"/>
            <w:vAlign w:val="center"/>
          </w:tcPr>
          <w:p>
            <w:pPr>
              <w:keepNext/>
              <w:keepLines/>
              <w:pageBreakBefore w:val="0"/>
              <w:widowControl w:val="0"/>
              <w:kinsoku/>
              <w:wordWrap/>
              <w:overflowPunct/>
              <w:topLinePunct w:val="0"/>
              <w:autoSpaceDE/>
              <w:autoSpaceDN/>
              <w:bidi w:val="0"/>
              <w:adjustRightInd w:val="0"/>
              <w:snapToGrid w:val="0"/>
              <w:spacing w:line="300" w:lineRule="exact"/>
              <w:jc w:val="both"/>
              <w:textAlignment w:val="auto"/>
              <w:outlineLvl w:val="0"/>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《森林和野生动物类型自然保护区管理办法》（1985年6月21日国务院批准）</w:t>
            </w:r>
          </w:p>
          <w:p>
            <w:pPr>
              <w:keepNext/>
              <w:keepLines/>
              <w:pageBreakBefore w:val="0"/>
              <w:widowControl w:val="0"/>
              <w:kinsoku/>
              <w:wordWrap/>
              <w:overflowPunct/>
              <w:topLinePunct w:val="0"/>
              <w:autoSpaceDE/>
              <w:autoSpaceDN/>
              <w:bidi w:val="0"/>
              <w:adjustRightInd w:val="0"/>
              <w:snapToGrid w:val="0"/>
              <w:spacing w:line="300" w:lineRule="exact"/>
              <w:jc w:val="both"/>
              <w:textAlignment w:val="auto"/>
              <w:outlineLvl w:val="0"/>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国家林业局公告（2006年第6号）</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无资质等级要求</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建设项目使用林地及在森林和野生动物类型国家级自然保护区建设审批（核）</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申请人可按要求自行编制评价报告，也可委托有关机构编制，审批部门不得以任何形式要求申请人必须委托特定中介机构提供服务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森林资源资产评估</w:t>
            </w:r>
          </w:p>
        </w:tc>
        <w:tc>
          <w:tcPr>
            <w:tcW w:w="1375" w:type="pct"/>
            <w:noWrap w:val="0"/>
            <w:vAlign w:val="center"/>
          </w:tcPr>
          <w:p>
            <w:pPr>
              <w:keepNext/>
              <w:keepLines/>
              <w:pageBreakBefore w:val="0"/>
              <w:widowControl w:val="0"/>
              <w:kinsoku/>
              <w:wordWrap/>
              <w:overflowPunct/>
              <w:topLinePunct w:val="0"/>
              <w:autoSpaceDE/>
              <w:autoSpaceDN/>
              <w:bidi w:val="0"/>
              <w:adjustRightInd w:val="0"/>
              <w:snapToGrid w:val="0"/>
              <w:spacing w:line="300" w:lineRule="exact"/>
              <w:jc w:val="both"/>
              <w:textAlignment w:val="auto"/>
              <w:outlineLvl w:val="0"/>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《湖南省林业条例》（2001年1月8日湖南省第九届人民代表大会常务委员会第二十次会议通过）</w:t>
            </w:r>
          </w:p>
        </w:tc>
        <w:tc>
          <w:tcPr>
            <w:tcW w:w="705" w:type="pct"/>
            <w:noWrap w:val="0"/>
            <w:vAlign w:val="center"/>
          </w:tcPr>
          <w:p>
            <w:pPr>
              <w:keepNext/>
              <w:keepLines/>
              <w:pageBreakBefore w:val="0"/>
              <w:widowControl w:val="0"/>
              <w:kinsoku/>
              <w:wordWrap/>
              <w:overflowPunct/>
              <w:topLinePunct w:val="0"/>
              <w:autoSpaceDE/>
              <w:autoSpaceDN/>
              <w:bidi w:val="0"/>
              <w:adjustRightInd w:val="0"/>
              <w:snapToGrid w:val="0"/>
              <w:spacing w:line="300" w:lineRule="exact"/>
              <w:jc w:val="center"/>
              <w:textAlignment w:val="auto"/>
              <w:outlineLvl w:val="0"/>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有森林资源资产评估资格的评估机构</w:t>
            </w:r>
          </w:p>
        </w:tc>
        <w:tc>
          <w:tcPr>
            <w:tcW w:w="748" w:type="pct"/>
            <w:noWrap w:val="0"/>
            <w:vAlign w:val="center"/>
          </w:tcPr>
          <w:p>
            <w:pPr>
              <w:keepNext/>
              <w:keepLines/>
              <w:pageBreakBefore w:val="0"/>
              <w:widowControl w:val="0"/>
              <w:kinsoku/>
              <w:wordWrap/>
              <w:overflowPunct/>
              <w:topLinePunct w:val="0"/>
              <w:autoSpaceDE/>
              <w:autoSpaceDN/>
              <w:bidi w:val="0"/>
              <w:adjustRightInd w:val="0"/>
              <w:snapToGrid w:val="0"/>
              <w:spacing w:line="300" w:lineRule="exact"/>
              <w:jc w:val="both"/>
              <w:textAlignment w:val="auto"/>
              <w:outlineLvl w:val="0"/>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森林资源流转审批</w:t>
            </w:r>
          </w:p>
        </w:tc>
        <w:tc>
          <w:tcPr>
            <w:tcW w:w="811" w:type="pct"/>
            <w:noWrap w:val="0"/>
            <w:vAlign w:val="center"/>
          </w:tcPr>
          <w:p>
            <w:pPr>
              <w:keepNext/>
              <w:keepLines/>
              <w:pageBreakBefore w:val="0"/>
              <w:widowControl w:val="0"/>
              <w:kinsoku/>
              <w:wordWrap/>
              <w:overflowPunct/>
              <w:topLinePunct w:val="0"/>
              <w:autoSpaceDE/>
              <w:autoSpaceDN/>
              <w:bidi w:val="0"/>
              <w:adjustRightInd w:val="0"/>
              <w:snapToGrid w:val="0"/>
              <w:spacing w:line="300" w:lineRule="exact"/>
              <w:jc w:val="both"/>
              <w:textAlignment w:val="auto"/>
              <w:outlineLvl w:val="0"/>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申请人应当委托有相应合法资质的机构编制森林资源资产评估报告，审批部门不得以任何形式要求申请人必须委托特定中介机构提供服务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8"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重大建设项目对森林公园生态环境及风景资源影响论证说明</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《湖南省森林公园条例》（2017年11月30日湖南省第十二届人民代表大会常务委员会第三十三次会议通过）</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无资质等级要求</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森林公园建设项目的定点和设计方案审查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申请人可按要求自行编制论证说明，也可委托有关机构编制，审批部门不得以任何形式要求申请人必须委托特定中介机构提供服务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30"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邵阳市卫生健康委员会</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放射诊疗设备影像质量控制检测报告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放射源诊疗技术和医用辐射机构许可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放射诊疗防护检测报告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放射源诊疗技术和医用辐射机构许可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default"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放射诊疗防护检测报告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CN" w:bidi="zh-TW"/>
              </w:rPr>
              <w:t>医疗机构放射性职业病危害建设项目竣工验收</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放射性职业病危害防护预评价报告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医疗机构放射性职业病危害建设项目预评价报告审核</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1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放射性职业病危害防护控制效果评价报告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医疗机构放射性职业病危害建设项目竣工验收</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6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职业病危害放射防护控制效果评价报告</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医疗机构放射性职业病危害建设项目竣工验收</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邵阳市卫生健康委员会</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放射工作人员健康体检</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《放射工作人员职业健康管理办法》</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放射医疗工作人员证核发</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放射工作人员健康体检</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放射源诊疗技术和医用辐射机构许可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3"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7</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个人剂量</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监测</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《放射工作人员职业健康管理办法》</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放射医疗工作人员证核发</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303"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7</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个人剂量</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监测</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《中华人民共和国职业病防治法》《放射诊疗管理规定》</w:t>
            </w:r>
          </w:p>
        </w:tc>
        <w:tc>
          <w:tcPr>
            <w:tcW w:w="705"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rPr>
              <w:t>具备省级卫生行政部门批准的放射卫生技术服务资质的机构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zh-TW" w:eastAsia="zh-TW" w:bidi="zh-TW"/>
              </w:rPr>
              <w:t>放射源诊疗技术和医用辐射机构许可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我委未委托和指定任何机构实施中介服务事项，只要求服务对象提供相关检测资料</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15"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邵阳市应急管理局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生产、储存危险化学品建设项目安全预评价报告编制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《危险化学品建设项目安全监督管理办法》（国家安监总局令第45号）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危险化学品生产、储存建设项目安全条件审查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邵阳市应急管理局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生产、储存烟花爆竹的建设项目的安全设施设计</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《烟花爆竹生产企业安全生产许可证实施办法》（国家安监总局令第54号）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生产、储存烟花爆竹建设项目安全设施设计审查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生产、储存烟花爆竹的建设项目安全预评价报告编制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《建设项目安全设施“三同时”监督管理暂行办法》（国家安监总局令第36号）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生产、储存烟花爆竹建设项目安全设施设计审查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非煤矿矿山建设项目安全设施设计编制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《建设项目安全设施“三同时”监督管理暂行办法》（国家安监总局令第36号）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其他非煤矿山建设项目安全设施设计审查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2040"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生产、储存危险化学品建设项目安全设施设计编制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《危险化学品建设项目安全监督管理办法》（国家安监总局令第45号）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其他危险化学品生产、储存建设项目安全设施设计审查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危险化学品安全评价报告编制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 xml:space="preserve">《危险化学品经营许可证管理办法》（国家安监总局令第55号）；《危险化学品安全使用许可证实施办法》（国家安监总局令第57号） </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1、危险化学品经营许可</w:t>
            </w:r>
          </w:p>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2、危险化学品安全使用许可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邵阳市应急管理局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7</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烟花爆竹安全评价报告编制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《烟花爆竹经营许可实施办法》（国家安监总局令第65号）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具备相应资质的安全评价机构</w:t>
            </w:r>
          </w:p>
        </w:tc>
        <w:tc>
          <w:tcPr>
            <w:tcW w:w="748" w:type="pct"/>
            <w:noWrap w:val="0"/>
            <w:vAlign w:val="center"/>
          </w:tcPr>
          <w:p>
            <w:pPr>
              <w:pageBreakBefore w:val="0"/>
              <w:numPr>
                <w:ilvl w:val="0"/>
                <w:numId w:val="2"/>
              </w:numPr>
              <w:kinsoku/>
              <w:wordWrap/>
              <w:overflowPunct/>
              <w:topLinePunct w:val="0"/>
              <w:autoSpaceDE/>
              <w:autoSpaceDN/>
              <w:bidi w:val="0"/>
              <w:spacing w:line="300" w:lineRule="exact"/>
              <w:jc w:val="both"/>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烟花爆竹经营（批发）许可</w:t>
            </w:r>
          </w:p>
          <w:p>
            <w:pPr>
              <w:pageBreakBefore w:val="0"/>
              <w:numPr>
                <w:ilvl w:val="0"/>
                <w:numId w:val="2"/>
              </w:numPr>
              <w:kinsoku/>
              <w:wordWrap/>
              <w:overflowPunct/>
              <w:topLinePunct w:val="0"/>
              <w:autoSpaceDE/>
              <w:autoSpaceDN/>
              <w:bidi w:val="0"/>
              <w:spacing w:line="300" w:lineRule="exact"/>
              <w:jc w:val="both"/>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烟花爆竹生产企业安全生产许可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52"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8</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库区外部安全距离实测图和库区仓储设施平面布置图编制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《烟花爆竹经营许可实施办法》（国家安监总局令第65号）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烟花爆竹经营（批发）许可</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6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9</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金属冶炼建设项目安全预评价报告编制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《建设项目安全设施“三同时”监督管理暂行办法》（国家安监总局令第36号）；《冶金企业安全生产监督管理规定》（国家安监总局令第26号）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2019年</w:t>
            </w:r>
          </w:p>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其他金属冶炼建设项目安全设施设计审查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10</w:t>
            </w:r>
          </w:p>
        </w:tc>
        <w:tc>
          <w:tcPr>
            <w:tcW w:w="70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金属冶炼建设项目安全专篇编制</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《建设项目安全设施“三同时”监督管理暂行办法》（国家安监总局令第36号）；《冶金企业安全生产监督管理规定》（国家安监总局令第26号）</w:t>
            </w:r>
          </w:p>
        </w:tc>
        <w:tc>
          <w:tcPr>
            <w:tcW w:w="705" w:type="pct"/>
            <w:noWrap w:val="0"/>
            <w:vAlign w:val="center"/>
          </w:tcPr>
          <w:p>
            <w:pPr>
              <w:pageBreakBefore w:val="0"/>
              <w:kinsoku/>
              <w:wordWrap/>
              <w:overflowPunct/>
              <w:topLinePunct w:val="0"/>
              <w:autoSpaceDE/>
              <w:autoSpaceDN/>
              <w:bidi w:val="0"/>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具备相应资质的安全评价机构</w:t>
            </w:r>
          </w:p>
        </w:tc>
        <w:tc>
          <w:tcPr>
            <w:tcW w:w="748"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z w:val="21"/>
                <w:szCs w:val="21"/>
                <w:shd w:val="clear" w:color="auto" w:fill="auto"/>
                <w:lang w:val="en-US" w:eastAsia="zh-CN"/>
              </w:rPr>
            </w:pPr>
            <w:r>
              <w:rPr>
                <w:rFonts w:hint="eastAsia" w:ascii="宋体" w:hAnsi="宋体" w:eastAsia="宋体" w:cs="宋体"/>
                <w:color w:val="auto"/>
                <w:sz w:val="21"/>
                <w:szCs w:val="21"/>
                <w:shd w:val="clear" w:color="auto" w:fill="auto"/>
                <w:lang w:val="en-US" w:eastAsia="zh-CN"/>
              </w:rPr>
              <w:t>其他金属冶炼建设项目安全设施设计审查</w:t>
            </w:r>
          </w:p>
        </w:tc>
        <w:tc>
          <w:tcPr>
            <w:tcW w:w="811"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shd w:val="clear" w:color="auto" w:fill="auto"/>
                <w:lang w:val="en-US" w:eastAsia="zh-CN"/>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邵阳市应急管理局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非煤矿矿山建设项目安全预评价报告编制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《建设项目安全设施“三同时”监督管理暂行办法》（国家安监总局令第36号）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具备相应资质的安全评价机构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其他非煤矿山建设项目安全设施设计审查</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申请人应委托有合法资质的机构编制安全评价报告，审批部门不得以任何形式要求申请人必须委托特定中介机构提供服务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邵阳市市场监督管理局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特种设备监督检验证明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《特种设备安全法》、《特种设备使用管理规则》</w:t>
            </w:r>
          </w:p>
        </w:tc>
        <w:tc>
          <w:tcPr>
            <w:tcW w:w="705" w:type="pct"/>
            <w:noWrap w:val="0"/>
            <w:vAlign w:val="center"/>
          </w:tcPr>
          <w:p>
            <w:pPr>
              <w:keepNext w:val="0"/>
              <w:keepLines w:val="0"/>
              <w:pageBreakBefore w:val="0"/>
              <w:widowControl/>
              <w:kinsoku/>
              <w:wordWrap/>
              <w:overflowPunct/>
              <w:topLinePunct w:val="0"/>
              <w:autoSpaceDE/>
              <w:autoSpaceDN/>
              <w:bidi w:val="0"/>
              <w:adjustRightInd/>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val="en-US" w:eastAsia="zh-CN"/>
              </w:rPr>
              <w:t>经国家核准的特种设备检验检测机构</w:t>
            </w:r>
          </w:p>
        </w:tc>
        <w:tc>
          <w:tcPr>
            <w:tcW w:w="748"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特种设备使用登记</w:t>
            </w:r>
          </w:p>
        </w:tc>
        <w:tc>
          <w:tcPr>
            <w:tcW w:w="811"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申请人按规定申报监督检验</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特种设备作业人员考试合格证明</w:t>
            </w:r>
          </w:p>
        </w:tc>
        <w:tc>
          <w:tcPr>
            <w:tcW w:w="1375"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《特种设备安全法》《特种设备作业人员监督管理办法》《特种设备作业人员考核规则》</w:t>
            </w:r>
          </w:p>
        </w:tc>
        <w:tc>
          <w:tcPr>
            <w:tcW w:w="705" w:type="pct"/>
            <w:noWrap w:val="0"/>
            <w:vAlign w:val="center"/>
          </w:tcPr>
          <w:p>
            <w:pPr>
              <w:keepNext w:val="0"/>
              <w:keepLines w:val="0"/>
              <w:pageBreakBefore w:val="0"/>
              <w:widowControl/>
              <w:kinsoku/>
              <w:wordWrap/>
              <w:overflowPunct/>
              <w:topLinePunct w:val="0"/>
              <w:autoSpaceDE/>
              <w:autoSpaceDN/>
              <w:bidi w:val="0"/>
              <w:adjustRightInd/>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val="en-US" w:eastAsia="zh-CN"/>
              </w:rPr>
              <w:t>经省级核准的特种设备作业人员考试机构</w:t>
            </w:r>
          </w:p>
        </w:tc>
        <w:tc>
          <w:tcPr>
            <w:tcW w:w="748"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特种设备检验、检测人员资格认定，特种设备作业人员资格认定</w:t>
            </w:r>
          </w:p>
        </w:tc>
        <w:tc>
          <w:tcPr>
            <w:tcW w:w="811"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z w:val="21"/>
                <w:szCs w:val="21"/>
              </w:rPr>
            </w:pPr>
          </w:p>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申请人按规定申请考核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出具食品检验合格报告</w:t>
            </w:r>
          </w:p>
        </w:tc>
        <w:tc>
          <w:tcPr>
            <w:tcW w:w="1375"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《食品安全法》《食品生产许可管理办法》《食品生产许可审查通则》</w:t>
            </w:r>
          </w:p>
        </w:tc>
        <w:tc>
          <w:tcPr>
            <w:tcW w:w="705" w:type="pct"/>
            <w:noWrap w:val="0"/>
            <w:vAlign w:val="center"/>
          </w:tcPr>
          <w:p>
            <w:pPr>
              <w:keepNext w:val="0"/>
              <w:keepLines w:val="0"/>
              <w:pageBreakBefore w:val="0"/>
              <w:widowControl/>
              <w:kinsoku/>
              <w:wordWrap/>
              <w:overflowPunct/>
              <w:topLinePunct w:val="0"/>
              <w:autoSpaceDE/>
              <w:autoSpaceDN/>
              <w:bidi w:val="0"/>
              <w:adjustRightInd/>
              <w:spacing w:line="300" w:lineRule="exact"/>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有相应合法资质的食品检验机构</w:t>
            </w:r>
          </w:p>
        </w:tc>
        <w:tc>
          <w:tcPr>
            <w:tcW w:w="748"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《食品生产许可证》申请核发</w:t>
            </w:r>
          </w:p>
        </w:tc>
        <w:tc>
          <w:tcPr>
            <w:tcW w:w="811"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申请人可按要求自行检验，也可委托有相应合法资质的食品检验机构检验，审批部门不得以任何形式要求申请人必须委托特定中介机构提供服务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邵阳市市场监督管理局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健康证明</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《食品安全法》、《食品经营许可审查细则》</w:t>
            </w:r>
          </w:p>
        </w:tc>
        <w:tc>
          <w:tcPr>
            <w:tcW w:w="705"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具备相应资质的技术服务机构</w:t>
            </w:r>
          </w:p>
        </w:tc>
        <w:tc>
          <w:tcPr>
            <w:tcW w:w="748"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《食品经营许可证》申请核发</w:t>
            </w:r>
          </w:p>
        </w:tc>
        <w:tc>
          <w:tcPr>
            <w:tcW w:w="811"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食品安全管理人员培训证</w:t>
            </w:r>
          </w:p>
        </w:tc>
        <w:tc>
          <w:tcPr>
            <w:tcW w:w="1375" w:type="pct"/>
            <w:noWrap w:val="0"/>
            <w:vAlign w:val="center"/>
          </w:tcPr>
          <w:p>
            <w:pPr>
              <w:pageBreakBefore w:val="0"/>
              <w:kinsoku/>
              <w:wordWrap/>
              <w:overflowPunct/>
              <w:topLinePunct w:val="0"/>
              <w:autoSpaceDE/>
              <w:autoSpaceDN/>
              <w:bidi w:val="0"/>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《食品安全法》、《食品经营许可审查细则》</w:t>
            </w:r>
          </w:p>
        </w:tc>
        <w:tc>
          <w:tcPr>
            <w:tcW w:w="705" w:type="pct"/>
            <w:noWrap w:val="0"/>
            <w:vAlign w:val="center"/>
          </w:tcPr>
          <w:p>
            <w:pPr>
              <w:keepNext w:val="0"/>
              <w:keepLines w:val="0"/>
              <w:pageBreakBefore w:val="0"/>
              <w:widowControl/>
              <w:kinsoku/>
              <w:wordWrap/>
              <w:overflowPunct/>
              <w:topLinePunct w:val="0"/>
              <w:autoSpaceDE/>
              <w:autoSpaceDN/>
              <w:bidi w:val="0"/>
              <w:adjustRightInd/>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具备相应资质的技术服务机构</w:t>
            </w:r>
          </w:p>
        </w:tc>
        <w:tc>
          <w:tcPr>
            <w:tcW w:w="748"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kern w:val="2"/>
                <w:sz w:val="21"/>
                <w:szCs w:val="21"/>
                <w:lang w:val="en-US" w:eastAsia="zh-CN" w:bidi="ar-SA"/>
              </w:rPr>
            </w:pPr>
            <w:r>
              <w:rPr>
                <w:rFonts w:hint="eastAsia" w:ascii="宋体" w:hAnsi="宋体" w:eastAsia="宋体" w:cs="宋体"/>
                <w:color w:val="auto"/>
                <w:sz w:val="21"/>
                <w:szCs w:val="21"/>
                <w:lang w:eastAsia="zh-CN"/>
              </w:rPr>
              <w:t>《食品经营许可证》申请核发</w:t>
            </w:r>
          </w:p>
        </w:tc>
        <w:tc>
          <w:tcPr>
            <w:tcW w:w="811" w:type="pct"/>
            <w:noWrap w:val="0"/>
            <w:vAlign w:val="center"/>
          </w:tcPr>
          <w:p>
            <w:pPr>
              <w:keepNext w:val="0"/>
              <w:keepLines w:val="0"/>
              <w:pageBreakBefore w:val="0"/>
              <w:widowControl/>
              <w:kinsoku/>
              <w:wordWrap/>
              <w:overflowPunct/>
              <w:topLinePunct w:val="0"/>
              <w:autoSpaceDE/>
              <w:autoSpaceDN/>
              <w:bidi w:val="0"/>
              <w:adjustRightInd/>
              <w:spacing w:line="300" w:lineRule="exact"/>
              <w:jc w:val="both"/>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z w:val="21"/>
                <w:szCs w:val="21"/>
                <w:lang w:eastAsia="zh-CN"/>
              </w:rPr>
              <w:t>申请人按规定申请培训考核</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气象局</w:t>
            </w:r>
          </w:p>
        </w:tc>
        <w:tc>
          <w:tcPr>
            <w:tcW w:w="231" w:type="pct"/>
            <w:noWrap w:val="0"/>
            <w:vAlign w:val="center"/>
          </w:tcPr>
          <w:p>
            <w:pPr>
              <w:pageBreakBefore w:val="0"/>
              <w:kinsoku/>
              <w:wordWrap/>
              <w:overflowPunct/>
              <w:topLinePunct w:val="0"/>
              <w:autoSpaceDE/>
              <w:autoSpaceDN/>
              <w:bidi w:val="0"/>
              <w:spacing w:line="300" w:lineRule="exact"/>
              <w:jc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防雷装置设计技术评价报告编制</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top"/>
              <w:rPr>
                <w:rFonts w:hint="default"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《中华人民共和国气象法》《气象灾害防御条例》（国务院令第570号</w:t>
            </w:r>
            <w:r>
              <w:rPr>
                <w:rFonts w:hint="eastAsia" w:ascii="宋体" w:hAnsi="宋体" w:cs="宋体"/>
                <w:color w:val="auto"/>
                <w:spacing w:val="0"/>
                <w:w w:val="100"/>
                <w:kern w:val="2"/>
                <w:position w:val="0"/>
                <w:sz w:val="21"/>
                <w:szCs w:val="21"/>
                <w:u w:val="none"/>
                <w:shd w:val="clear" w:color="auto" w:fill="auto"/>
                <w:lang w:val="en-US" w:eastAsia="zh-CN" w:bidi="zh-TW"/>
              </w:rPr>
              <w:t>）</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具备相应资质的防雷技术服务机构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防雷装置设计审核和竣工验收</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各类建（构）筑物、场所和设施安装雷电防护装置应当符合国家有关防雷标准的规定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90" w:hRule="atLeast"/>
          <w:jc w:val="center"/>
        </w:trPr>
        <w:tc>
          <w:tcPr>
            <w:tcW w:w="42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w:t>
            </w:r>
          </w:p>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气象局</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新建、改建、扩建建（构）筑物防雷装置检测</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adjustRightInd/>
              <w:snapToGrid/>
              <w:spacing w:line="260" w:lineRule="exact"/>
              <w:jc w:val="both"/>
              <w:textAlignment w:val="top"/>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《中华人民共和国气象法》《气象灾害防御条例》（国务院令第570号）《防雷装置设计审核和竣工验收规定》（中国气象局令第21号）湘建建函〔2019〕172号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具备相应资质的防雷技术服务机构</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防雷装置设计审核和竣工验收</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油库、气库、弹药库、化学品仓库、烟花爆竹、石化等易燃易爆建设工程和场所，雷电易发区内的矿区、旅游景点或者投入使用的建（构）筑物、设施等需要单独安装雷电防护装置的场所，以及雷电风险高且没有防雷标准规范、需要进行特殊论证的大型项目，其建设工程的防雷装置检测由气象部门委托开展，按政府购买服务的有关规定执行，委托费用由气象部门支付并纳入部门预算。2.房屋建筑和市政基础设施工程申请人可委托有关机构进行检测，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895"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邵阳市人民政府金融工作办公室</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设立融资担保公司的验资报告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《融资担保公司监督管理条例》（国务院令第683号）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8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融资担保公司变更注册资本的验资报告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《中华人民共和国公司法》（主席令第十五号）</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《融资担保公司监督管理条例》（国务院令第683号）</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《湖南省注册资本登记制度改革实施办法》（湘工商注字〔2013〕363号）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3</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融资担保公司年度财务审计报告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《湖南省融资担保公司分类评级暂行办法（试行）》(湘政监发〔2017〕82号)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融资担保公司分类监管评级</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25"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4</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设立小额贷款公司的财务审计报告和验资报告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《注册资本登记制度改革方案》（国发〔2014〕7号）</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《关于小额贷款公司试点的指导意见》（银监发〔2008〕23号）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1940"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邵阳市人民政府金融工作办公室</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5</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小额贷款公司变更注册资本的验资报告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《注册资本登记制度改革方案》（国发〔2014〕7号）</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《关于小额贷款公司试点的指导意见》（银监发〔2008〕23号）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6</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小额贷款公司股东变更股东关联情况说明书</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《中华人民共和国公司法》</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 xml:space="preserve">（主席令第十五号）       </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《关于小额贷款公司试点的指导意见》（银监发〔2008〕23号）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律师事务所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7</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小额贷款公司股东变更股东关联情况说明书</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《中华人民共和国公司法》</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 xml:space="preserve">（主席令第十五号）           </w:t>
            </w:r>
          </w:p>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《关于小额贷款公司试点的指导意见》（银监发〔2008〕23号）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律师事务所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小额贷款公司股东变更审批（单个股东转让不超过10%，或者一般股东转让股权累计未超过20%，含20%）</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8</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小额贷款公司的年度财务审计报告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《湖南省财政厅关于印发〈湖南省金融发展专项资金管理办法〉的通知》（湘财金〔2019〕36号）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民营和小微企业贷款风险补偿资金申报</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restar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邵阳市人民政府金融工作办公室</w:t>
            </w: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9</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小额贷款公司的年度财务审计报告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《湖南省小额贷款公司分类监管评级办法》(湘政监发〔2018〕11号)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小额贷款公司分类监管评级</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w:t>
            </w:r>
            <w:r>
              <w:rPr>
                <w:rFonts w:hint="eastAsia" w:ascii="宋体" w:hAnsi="宋体" w:eastAsia="宋体" w:cs="宋体"/>
                <w:color w:val="auto"/>
                <w:spacing w:val="-6"/>
                <w:w w:val="100"/>
                <w:kern w:val="2"/>
                <w:position w:val="0"/>
                <w:sz w:val="21"/>
                <w:szCs w:val="21"/>
                <w:u w:val="none"/>
                <w:shd w:val="clear" w:color="auto" w:fill="auto"/>
                <w:lang w:val="en-US" w:eastAsia="zh-CN" w:bidi="zh-TW"/>
              </w:rPr>
              <w:t>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10</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设立典当公司的财务审计报告、验资报告、出资能力证明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《中华人民共和国公司法》（主席令第十五号）《关于典当企业设立、变更及终止审核受理有关事项的通知》（湘金监发〔2019〕67号）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典当企业及其分支机构设立和变更审批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11</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典当公司变更注册资本的财务审计报告和验资报告</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《中华人民共和国公司法》（主席令第十五号）《关于典当企业设立、变更及终止审核受理有关事项的通知》（湘金监发〔2019〕67号）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典当企业及其分支机构设立和变更审批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67" w:hRule="atLeast"/>
          <w:jc w:val="center"/>
        </w:trPr>
        <w:tc>
          <w:tcPr>
            <w:tcW w:w="423" w:type="pct"/>
            <w:vMerge w:val="continue"/>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p>
        </w:tc>
        <w:tc>
          <w:tcPr>
            <w:tcW w:w="23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en-US" w:eastAsia="zh-CN"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12</w:t>
            </w:r>
          </w:p>
        </w:tc>
        <w:tc>
          <w:tcPr>
            <w:tcW w:w="703"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典当公司股份转让，拟进入典当企业法人股东财务审计报告和出资能力证明</w:t>
            </w:r>
          </w:p>
        </w:tc>
        <w:tc>
          <w:tcPr>
            <w:tcW w:w="137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《中华人民共和国公司法》（主席令第十五号）《关于典当企业设立、变更及终止审核受理有关事项的通知》（湘金监发〔2019〕67号）</w:t>
            </w:r>
          </w:p>
        </w:tc>
        <w:tc>
          <w:tcPr>
            <w:tcW w:w="705"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center"/>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会计师事务所</w:t>
            </w:r>
          </w:p>
        </w:tc>
        <w:tc>
          <w:tcPr>
            <w:tcW w:w="748"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6"/>
                <w:w w:val="100"/>
                <w:kern w:val="2"/>
                <w:position w:val="0"/>
                <w:sz w:val="21"/>
                <w:szCs w:val="21"/>
                <w:u w:val="none"/>
                <w:shd w:val="clear" w:color="auto" w:fill="auto"/>
                <w:lang w:val="zh-TW" w:eastAsia="zh-TW" w:bidi="zh-TW"/>
              </w:rPr>
            </w:pPr>
            <w:r>
              <w:rPr>
                <w:rFonts w:hint="eastAsia" w:ascii="宋体" w:hAnsi="宋体" w:eastAsia="宋体" w:cs="宋体"/>
                <w:color w:val="auto"/>
                <w:spacing w:val="-6"/>
                <w:w w:val="100"/>
                <w:kern w:val="2"/>
                <w:position w:val="0"/>
                <w:sz w:val="21"/>
                <w:szCs w:val="21"/>
                <w:u w:val="none"/>
                <w:shd w:val="clear" w:color="auto" w:fill="auto"/>
                <w:lang w:val="en-US" w:eastAsia="zh-CN" w:bidi="zh-TW"/>
              </w:rPr>
              <w:t>典当企业及其分支机构设立和变更审批</w:t>
            </w:r>
          </w:p>
        </w:tc>
        <w:tc>
          <w:tcPr>
            <w:tcW w:w="811" w:type="pct"/>
            <w:noWrap w:val="0"/>
            <w:vAlign w:val="center"/>
          </w:tcPr>
          <w:p>
            <w:pPr>
              <w:keepNext w:val="0"/>
              <w:keepLines w:val="0"/>
              <w:pageBreakBefore w:val="0"/>
              <w:widowControl/>
              <w:suppressLineNumbers w:val="0"/>
              <w:kinsoku/>
              <w:wordWrap/>
              <w:overflowPunct/>
              <w:topLinePunct w:val="0"/>
              <w:autoSpaceDE/>
              <w:autoSpaceDN/>
              <w:bidi w:val="0"/>
              <w:spacing w:line="300" w:lineRule="exact"/>
              <w:jc w:val="both"/>
              <w:textAlignment w:val="center"/>
              <w:rPr>
                <w:rFonts w:hint="eastAsia" w:ascii="宋体" w:hAnsi="宋体" w:eastAsia="宋体" w:cs="宋体"/>
                <w:color w:val="auto"/>
                <w:spacing w:val="0"/>
                <w:w w:val="100"/>
                <w:kern w:val="2"/>
                <w:position w:val="0"/>
                <w:sz w:val="21"/>
                <w:szCs w:val="21"/>
                <w:u w:val="none"/>
                <w:shd w:val="clear" w:color="auto" w:fill="auto"/>
                <w:lang w:val="zh-TW" w:eastAsia="zh-TW" w:bidi="zh-TW"/>
              </w:rPr>
            </w:pPr>
            <w:r>
              <w:rPr>
                <w:rFonts w:hint="eastAsia" w:ascii="宋体" w:hAnsi="宋体" w:eastAsia="宋体" w:cs="宋体"/>
                <w:color w:val="auto"/>
                <w:spacing w:val="0"/>
                <w:w w:val="100"/>
                <w:kern w:val="2"/>
                <w:position w:val="0"/>
                <w:sz w:val="21"/>
                <w:szCs w:val="21"/>
                <w:u w:val="none"/>
                <w:shd w:val="clear" w:color="auto" w:fill="auto"/>
                <w:lang w:val="en-US" w:eastAsia="zh-CN" w:bidi="zh-TW"/>
              </w:rPr>
              <w:t>申请人应委托有相应合法资质的机构编制财务审计报告和验资报告，审批部门不得以任何形式要求申请人必须委托特定中介机构提供服务</w:t>
            </w:r>
          </w:p>
        </w:tc>
      </w:tr>
    </w:tbl>
    <w:p>
      <w:pPr>
        <w:pStyle w:val="4"/>
        <w:keepNext w:val="0"/>
        <w:keepLines w:val="0"/>
        <w:pageBreakBefore w:val="0"/>
        <w:widowControl/>
        <w:suppressLineNumbers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spacing w:before="0" w:beforeAutospacing="0" w:after="0" w:afterAutospacing="0" w:line="20" w:lineRule="exact"/>
        <w:ind w:right="0"/>
        <w:jc w:val="both"/>
        <w:textAlignment w:val="auto"/>
        <w:rPr>
          <w:rFonts w:hint="eastAsia" w:ascii="仿宋_GB2312" w:hAnsi="仿宋_GB2312" w:eastAsia="仿宋_GB2312" w:cs="仿宋_GB2312"/>
          <w:b w:val="0"/>
          <w:i w:val="0"/>
          <w:caps w:val="0"/>
          <w:color w:val="2F2F2F"/>
          <w:spacing w:val="0"/>
          <w:sz w:val="32"/>
          <w:szCs w:val="32"/>
          <w:lang w:eastAsia="zh-CN"/>
        </w:rPr>
        <w:sectPr>
          <w:pgSz w:w="16838" w:h="11906" w:orient="landscape"/>
          <w:pgMar w:top="1587" w:right="1440" w:bottom="1587" w:left="1440" w:header="851" w:footer="992" w:gutter="0"/>
          <w:pgNumType w:fmt="decimal"/>
          <w:cols w:space="0" w:num="1"/>
          <w:rtlGutter w:val="0"/>
          <w:docGrid w:type="lines" w:linePitch="323" w:charSpace="0"/>
        </w:sectPr>
      </w:pPr>
    </w:p>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2010609030101010101"/>
    <w:charset w:val="86"/>
    <w:family w:val="modern"/>
    <w:pitch w:val="default"/>
    <w:sig w:usb0="00000000" w:usb1="00000000" w:usb2="0000000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CA4BBEA1"/>
    <w:multiLevelType w:val="singleLevel"/>
    <w:tmpl w:val="CA4BBEA1"/>
    <w:lvl w:ilvl="0" w:tentative="0">
      <w:start w:val="1"/>
      <w:numFmt w:val="decimal"/>
      <w:lvlText w:val="%1."/>
      <w:lvlJc w:val="left"/>
      <w:pPr>
        <w:tabs>
          <w:tab w:val="left" w:pos="312"/>
        </w:tabs>
      </w:pPr>
    </w:lvl>
  </w:abstractNum>
  <w:abstractNum w:abstractNumId="1">
    <w:nsid w:val="19FF0ACC"/>
    <w:multiLevelType w:val="singleLevel"/>
    <w:tmpl w:val="19FF0ACC"/>
    <w:lvl w:ilvl="0" w:tentative="0">
      <w:start w:val="1"/>
      <w:numFmt w:val="decimal"/>
      <w:suff w:val="nothing"/>
      <w:lvlText w:val="%1、"/>
      <w:lvlJc w:val="left"/>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zgyMjZhYWNjMGI5ZWMxZGYyOWIwMzYyNzQ0ZmQ0YTUifQ=="/>
  </w:docVars>
  <w:rsids>
    <w:rsidRoot w:val="1A4677FE"/>
    <w:rsid w:val="1A4677FE"/>
    <w:rsid w:val="6E5A093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99"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iPriority="99"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jc w:val="both"/>
    </w:pPr>
    <w:rPr>
      <w:rFonts w:ascii="Calibri" w:hAnsi="Calibri" w:eastAsia="宋体" w:cs="Calibri"/>
      <w:kern w:val="2"/>
      <w:sz w:val="21"/>
      <w:szCs w:val="21"/>
      <w:lang w:val="en-US" w:eastAsia="zh-CN" w:bidi="ar-SA"/>
    </w:rPr>
  </w:style>
  <w:style w:type="character" w:default="1" w:styleId="6">
    <w:name w:val="Default Paragraph Font"/>
    <w:autoRedefine/>
    <w:semiHidden/>
    <w:qFormat/>
    <w:uiPriority w:val="0"/>
  </w:style>
  <w:style w:type="table" w:default="1" w:styleId="5">
    <w:name w:val="Normal Table"/>
    <w:autoRedefine/>
    <w:semiHidden/>
    <w:qFormat/>
    <w:uiPriority w:val="0"/>
    <w:tblPr>
      <w:tblCellMar>
        <w:top w:w="0" w:type="dxa"/>
        <w:left w:w="108" w:type="dxa"/>
        <w:bottom w:w="0" w:type="dxa"/>
        <w:right w:w="108" w:type="dxa"/>
      </w:tblCellMar>
    </w:tblPr>
  </w:style>
  <w:style w:type="paragraph" w:styleId="2">
    <w:name w:val="footer"/>
    <w:basedOn w:val="1"/>
    <w:next w:val="3"/>
    <w:qFormat/>
    <w:uiPriority w:val="99"/>
    <w:pPr>
      <w:tabs>
        <w:tab w:val="center" w:pos="4153"/>
        <w:tab w:val="right" w:pos="8306"/>
      </w:tabs>
      <w:snapToGrid w:val="0"/>
      <w:jc w:val="left"/>
    </w:pPr>
    <w:rPr>
      <w:sz w:val="18"/>
      <w:szCs w:val="18"/>
    </w:rPr>
  </w:style>
  <w:style w:type="paragraph" w:styleId="3">
    <w:name w:val="index 5"/>
    <w:basedOn w:val="1"/>
    <w:next w:val="1"/>
    <w:qFormat/>
    <w:uiPriority w:val="0"/>
    <w:pPr>
      <w:ind w:left="1680"/>
    </w:pPr>
    <w:rPr>
      <w:rFonts w:ascii="仿宋_GB2312" w:eastAsia="仿宋_GB2312"/>
      <w:szCs w:val="20"/>
    </w:rPr>
  </w:style>
  <w:style w:type="paragraph" w:styleId="4">
    <w:name w:val="Normal (Web)"/>
    <w:basedOn w:val="1"/>
    <w:autoRedefine/>
    <w:qFormat/>
    <w:uiPriority w:val="99"/>
    <w:pPr>
      <w:spacing w:before="100" w:beforeAutospacing="1" w:after="100" w:afterAutospacing="1"/>
      <w:jc w:val="left"/>
    </w:pPr>
    <w:rPr>
      <w:kern w:val="0"/>
      <w:sz w:val="24"/>
      <w:szCs w:val="24"/>
    </w:rPr>
  </w:style>
  <w:style w:type="character" w:styleId="7">
    <w:name w:val="page number"/>
    <w:basedOn w:val="6"/>
    <w:autoRedefine/>
    <w:qFormat/>
    <w:uiPriority w:val="99"/>
  </w:style>
  <w:style w:type="character" w:styleId="8">
    <w:name w:val="Hyperlink"/>
    <w:basedOn w:val="6"/>
    <w:autoRedefine/>
    <w:semiHidden/>
    <w:unhideWhenUsed/>
    <w:qFormat/>
    <w:uiPriority w:val="99"/>
    <w:rPr>
      <w:color w:val="0000FF"/>
      <w:u w:val="single"/>
    </w:rPr>
  </w:style>
  <w:style w:type="paragraph" w:customStyle="1" w:styleId="9">
    <w:name w:val="Body text|1"/>
    <w:basedOn w:val="1"/>
    <w:autoRedefine/>
    <w:qFormat/>
    <w:uiPriority w:val="99"/>
    <w:pPr>
      <w:spacing w:line="401" w:lineRule="auto"/>
      <w:ind w:firstLine="400"/>
    </w:pPr>
    <w:rPr>
      <w:rFonts w:ascii="宋体" w:hAnsi="宋体" w:cs="宋体"/>
      <w:sz w:val="28"/>
      <w:szCs w:val="28"/>
      <w:lang w:val="zh-TW" w:eastAsia="zh-TW"/>
    </w:rPr>
  </w:style>
  <w:style w:type="paragraph" w:customStyle="1" w:styleId="10">
    <w:name w:val="Other|1"/>
    <w:basedOn w:val="1"/>
    <w:autoRedefine/>
    <w:qFormat/>
    <w:uiPriority w:val="99"/>
    <w:pPr>
      <w:spacing w:line="401" w:lineRule="auto"/>
      <w:ind w:firstLine="400"/>
    </w:pPr>
    <w:rPr>
      <w:rFonts w:ascii="宋体" w:hAnsi="宋体" w:cs="宋体"/>
      <w:sz w:val="28"/>
      <w:szCs w:val="28"/>
      <w:lang w:val="zh-TW" w:eastAsia="zh-TW"/>
    </w:rPr>
  </w:style>
  <w:style w:type="paragraph" w:customStyle="1" w:styleId="11">
    <w:name w:val="正文 New New"/>
    <w:autoRedefine/>
    <w:qFormat/>
    <w:uiPriority w:val="0"/>
    <w:pPr>
      <w:widowControl w:val="0"/>
      <w:jc w:val="both"/>
    </w:pPr>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numbering" Target="numbering.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0</TotalTime>
  <ScaleCrop>false</ScaleCrop>
  <LinksUpToDate>false</LinksUpToDate>
  <CharactersWithSpaces>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2020-10-30T06:49:00Z</dcterms:created>
  <dc:creator>ZENGYUYI</dc:creator>
  <cp:lastModifiedBy>随风而起</cp:lastModifiedBy>
  <dcterms:modified xsi:type="dcterms:W3CDTF">2024-01-10T02:40:46Z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5B484A5FE9154702B98BCC642F32E063_12</vt:lpwstr>
  </property>
</Properties>
</file>