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创艺简标宋" w:hAnsi="创艺简标宋" w:eastAsia="创艺简标宋" w:cs="创艺简标宋"/>
          <w:b w:val="0"/>
          <w:bCs/>
          <w:sz w:val="44"/>
          <w:szCs w:val="44"/>
        </w:rPr>
      </w:pPr>
      <w:r>
        <w:rPr>
          <w:rFonts w:hint="eastAsia" w:ascii="创艺简标宋" w:hAnsi="创艺简标宋" w:eastAsia="创艺简标宋" w:cs="创艺简标宋"/>
          <w:b w:val="0"/>
          <w:bCs/>
          <w:sz w:val="44"/>
          <w:szCs w:val="44"/>
        </w:rPr>
        <w:t>关于开展水电气领域涉企</w:t>
      </w:r>
    </w:p>
    <w:p>
      <w:pPr>
        <w:spacing w:line="560" w:lineRule="exact"/>
        <w:jc w:val="center"/>
        <w:rPr>
          <w:rFonts w:hint="eastAsia" w:ascii="创艺简标宋" w:hAnsi="创艺简标宋" w:eastAsia="创艺简标宋" w:cs="创艺简标宋"/>
          <w:b w:val="0"/>
          <w:bCs/>
          <w:sz w:val="44"/>
          <w:szCs w:val="44"/>
        </w:rPr>
      </w:pPr>
      <w:r>
        <w:rPr>
          <w:rFonts w:hint="eastAsia" w:ascii="创艺简标宋" w:hAnsi="创艺简标宋" w:eastAsia="创艺简标宋" w:cs="创艺简标宋"/>
          <w:b w:val="0"/>
          <w:bCs/>
          <w:sz w:val="44"/>
          <w:szCs w:val="44"/>
        </w:rPr>
        <w:t>违规收费自查自纠工作的</w:t>
      </w:r>
      <w:r>
        <w:rPr>
          <w:rFonts w:hint="eastAsia" w:ascii="创艺简标宋" w:hAnsi="创艺简标宋" w:eastAsia="创艺简标宋" w:cs="创艺简标宋"/>
          <w:b w:val="0"/>
          <w:bCs/>
          <w:sz w:val="44"/>
          <w:szCs w:val="44"/>
          <w:lang w:eastAsia="zh-CN"/>
        </w:rPr>
        <w:t>实</w:t>
      </w:r>
      <w:bookmarkStart w:id="2" w:name="_GoBack"/>
      <w:bookmarkEnd w:id="2"/>
      <w:r>
        <w:rPr>
          <w:rFonts w:hint="eastAsia" w:ascii="创艺简标宋" w:hAnsi="创艺简标宋" w:eastAsia="创艺简标宋" w:cs="创艺简标宋"/>
          <w:b w:val="0"/>
          <w:bCs/>
          <w:sz w:val="44"/>
          <w:szCs w:val="44"/>
          <w:lang w:eastAsia="zh-CN"/>
        </w:rPr>
        <w:t>施</w:t>
      </w:r>
      <w:r>
        <w:rPr>
          <w:rFonts w:hint="eastAsia" w:ascii="创艺简标宋" w:hAnsi="创艺简标宋" w:eastAsia="创艺简标宋" w:cs="创艺简标宋"/>
          <w:b w:val="0"/>
          <w:bCs/>
          <w:sz w:val="44"/>
          <w:szCs w:val="44"/>
        </w:rPr>
        <w:t>方案</w:t>
      </w:r>
    </w:p>
    <w:p>
      <w:pPr>
        <w:spacing w:line="560" w:lineRule="exact"/>
        <w:ind w:firstLine="640" w:firstLineChars="200"/>
        <w:jc w:val="center"/>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为认真贯彻落实国家、省、市扎实稳住经济一揽子政策措施，持续清理规范城镇供水供电供气行业收费，有效减轻企业不合理负担，促进行业高质量发展，根据省发改委等部门《</w:t>
      </w:r>
      <w:r>
        <w:rPr>
          <w:rFonts w:ascii="仿宋" w:hAnsi="仿宋" w:eastAsia="仿宋"/>
          <w:bCs/>
          <w:sz w:val="32"/>
          <w:szCs w:val="32"/>
        </w:rPr>
        <w:t>关于开展水电气暖领域涉企违规收费自查自纠工作的通知</w:t>
      </w:r>
      <w:r>
        <w:rPr>
          <w:rFonts w:hint="eastAsia" w:ascii="仿宋" w:hAnsi="仿宋" w:eastAsia="仿宋"/>
          <w:sz w:val="32"/>
          <w:szCs w:val="32"/>
        </w:rPr>
        <w:t>》(</w:t>
      </w:r>
      <w:bookmarkStart w:id="0" w:name="FlFwzh"/>
      <w:r>
        <w:rPr>
          <w:rFonts w:ascii="仿宋" w:hAnsi="仿宋" w:eastAsia="仿宋"/>
          <w:sz w:val="32"/>
          <w:szCs w:val="32"/>
        </w:rPr>
        <w:t>湘发改</w:t>
      </w:r>
      <w:r>
        <w:rPr>
          <w:rFonts w:hint="eastAsia" w:ascii="仿宋" w:hAnsi="仿宋" w:eastAsia="仿宋"/>
          <w:sz w:val="32"/>
          <w:szCs w:val="32"/>
        </w:rPr>
        <w:t>价调</w:t>
      </w:r>
      <w:r>
        <w:rPr>
          <w:rFonts w:ascii="仿宋" w:hAnsi="仿宋" w:eastAsia="仿宋"/>
          <w:sz w:val="32"/>
          <w:szCs w:val="32"/>
        </w:rPr>
        <w:t>〔202</w:t>
      </w: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626</w:t>
      </w:r>
      <w:r>
        <w:rPr>
          <w:rFonts w:ascii="仿宋" w:hAnsi="仿宋" w:eastAsia="仿宋"/>
          <w:sz w:val="32"/>
          <w:szCs w:val="32"/>
        </w:rPr>
        <w:t>号</w:t>
      </w:r>
      <w:bookmarkEnd w:id="0"/>
      <w:r>
        <w:rPr>
          <w:rFonts w:hint="eastAsia" w:ascii="仿宋" w:hAnsi="仿宋" w:eastAsia="仿宋"/>
          <w:sz w:val="32"/>
          <w:szCs w:val="32"/>
        </w:rPr>
        <w:t>)精神，结合我市实际，制定如下</w:t>
      </w:r>
      <w:r>
        <w:rPr>
          <w:rFonts w:hint="eastAsia" w:ascii="仿宋" w:hAnsi="仿宋" w:eastAsia="仿宋"/>
          <w:sz w:val="32"/>
          <w:szCs w:val="32"/>
          <w:lang w:eastAsia="zh-CN"/>
        </w:rPr>
        <w:t>实施</w:t>
      </w:r>
      <w:r>
        <w:rPr>
          <w:rFonts w:hint="eastAsia" w:ascii="仿宋" w:hAnsi="仿宋" w:eastAsia="仿宋"/>
          <w:sz w:val="32"/>
          <w:szCs w:val="32"/>
        </w:rPr>
        <w:t>方案。</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一、总体要求</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坚持以目标导向、问题导向、结果导向统揽自查自纠工作全过程</w:t>
      </w:r>
      <w:r>
        <w:rPr>
          <w:rFonts w:hint="eastAsia" w:ascii="仿宋" w:hAnsi="仿宋" w:eastAsia="仿宋"/>
          <w:sz w:val="32"/>
          <w:szCs w:val="32"/>
          <w:lang w:eastAsia="zh-CN"/>
        </w:rPr>
        <w:t>，</w:t>
      </w:r>
      <w:r>
        <w:rPr>
          <w:rFonts w:hint="eastAsia" w:ascii="仿宋" w:hAnsi="仿宋" w:eastAsia="仿宋"/>
          <w:sz w:val="32"/>
          <w:szCs w:val="32"/>
        </w:rPr>
        <w:t>全面排查水电气领域红线内外接入、建设安装、更新改造、维护维修、非电网直供电等环节涉企违规收费、不合理加价问题，严厉整治乱收费行为，建立健全涉企违规收费长效监管机制。形成部门协同治理、标本兼治的工作机制，切实为各类企业纾困减负，激发市场主体活力，确保国家</w:t>
      </w:r>
      <w:r>
        <w:rPr>
          <w:rFonts w:hint="eastAsia" w:ascii="仿宋" w:hAnsi="仿宋" w:eastAsia="仿宋"/>
          <w:sz w:val="32"/>
          <w:szCs w:val="32"/>
          <w:lang w:eastAsia="zh-CN"/>
        </w:rPr>
        <w:t>、</w:t>
      </w:r>
      <w:r>
        <w:rPr>
          <w:rFonts w:hint="eastAsia" w:ascii="仿宋" w:hAnsi="仿宋" w:eastAsia="仿宋"/>
          <w:sz w:val="32"/>
          <w:szCs w:val="32"/>
        </w:rPr>
        <w:t>省</w:t>
      </w:r>
      <w:r>
        <w:rPr>
          <w:rFonts w:hint="eastAsia" w:ascii="仿宋" w:hAnsi="仿宋" w:eastAsia="仿宋"/>
          <w:sz w:val="32"/>
          <w:szCs w:val="32"/>
          <w:lang w:eastAsia="zh-CN"/>
        </w:rPr>
        <w:t>、市</w:t>
      </w:r>
      <w:r>
        <w:rPr>
          <w:rFonts w:hint="eastAsia" w:ascii="仿宋" w:hAnsi="仿宋" w:eastAsia="仿宋"/>
          <w:sz w:val="32"/>
          <w:szCs w:val="32"/>
        </w:rPr>
        <w:t>清理规范水电气各项收费政策落到实处。</w:t>
      </w:r>
    </w:p>
    <w:p>
      <w:pPr>
        <w:spacing w:line="560" w:lineRule="exact"/>
        <w:ind w:firstLine="642" w:firstLineChars="200"/>
        <w:rPr>
          <w:rFonts w:hint="eastAsia" w:ascii="黑体" w:hAnsi="黑体" w:eastAsia="黑体"/>
          <w:b/>
          <w:sz w:val="32"/>
          <w:szCs w:val="32"/>
        </w:rPr>
      </w:pPr>
      <w:r>
        <w:rPr>
          <w:rFonts w:hint="eastAsia" w:ascii="黑体" w:hAnsi="黑体" w:eastAsia="黑体"/>
          <w:b/>
          <w:sz w:val="32"/>
          <w:szCs w:val="32"/>
        </w:rPr>
        <w:t>二、政策依据</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（一）《国务院关于印发扎实稳住经济一揽子政策措施的通知》（国发〔2022〕12号）。</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（二）《国务院办公厅转发国家发展改革委等部门关于清理规范城镇供水供电供气供暖行业收费 促进行业高质量发展意见的通知》（国办函﹝2020﹞129号）。</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关于清理规范城镇供水供电供气供暖行业收费促进行业高质量发展的实施方案》（湘发改价调规〔2021〕607号）、《关于清理取消供水供电供气行业不合理收费的通知》（湘发改价调规〔2021〕124号）、《涉企违规收费专项整治行动实施方案》（湘发改价费〔2022〕578号）。</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（四）关于印发《邵阳市清理规范城镇供水供电供气行业收费促进行业高质量发展的实施方案的通知》（邵市发改价调</w:t>
      </w:r>
      <w:r>
        <w:rPr>
          <w:rFonts w:hint="eastAsia" w:ascii="仿宋" w:hAnsi="仿宋" w:eastAsia="仿宋"/>
          <w:sz w:val="32"/>
          <w:szCs w:val="32"/>
        </w:rPr>
        <w:t>〔2022〕</w:t>
      </w:r>
      <w:r>
        <w:rPr>
          <w:rFonts w:hint="eastAsia" w:ascii="仿宋" w:hAnsi="仿宋" w:eastAsia="仿宋"/>
          <w:sz w:val="32"/>
          <w:szCs w:val="32"/>
          <w:lang w:val="en-US" w:eastAsia="zh-CN"/>
        </w:rPr>
        <w:t>95号</w:t>
      </w:r>
      <w:r>
        <w:rPr>
          <w:rFonts w:hint="eastAsia" w:ascii="仿宋" w:hAnsi="仿宋" w:eastAsia="仿宋"/>
          <w:sz w:val="32"/>
          <w:szCs w:val="32"/>
          <w:lang w:eastAsia="zh-CN"/>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、重点任务</w:t>
      </w:r>
    </w:p>
    <w:p>
      <w:pPr>
        <w:spacing w:line="560" w:lineRule="exact"/>
        <w:ind w:firstLine="642" w:firstLineChars="200"/>
        <w:rPr>
          <w:rFonts w:ascii="仿宋" w:hAnsi="仿宋" w:eastAsia="仿宋"/>
          <w:sz w:val="32"/>
          <w:szCs w:val="32"/>
        </w:rPr>
      </w:pPr>
      <w:r>
        <w:rPr>
          <w:rFonts w:hint="eastAsia" w:ascii="仿宋" w:hAnsi="仿宋" w:eastAsia="仿宋"/>
          <w:b/>
          <w:sz w:val="32"/>
          <w:szCs w:val="32"/>
        </w:rPr>
        <w:t>（一）清理规范建筑区划红线外接入工程收费。</w:t>
      </w:r>
      <w:r>
        <w:rPr>
          <w:rFonts w:ascii="仿宋" w:hAnsi="仿宋" w:eastAsia="仿宋"/>
          <w:sz w:val="32"/>
          <w:szCs w:val="32"/>
        </w:rPr>
        <w:t>在城镇规划建设用地范围内，供水供电供气企业的投资界面应延伸至用户建筑区划红线，除法律法规和相关政策另有规定外，不得由用户承担建筑区划红线外发生的任何费用。从用户建筑区划红线连接至公共管网发生的入网工程建设，按规定由政府承担的部分，应及时拨款委托供水供电供气企业建设，或者由政府直接投资，不得转嫁企业和用户。地方政府采取特许经营协议等方式授权供水供电供气企业以入网费、集中管网建设费、并网配套费等名目收取专项建设费用补偿企业收入的，应结合理顺水电气价格、建立健全补贴机制逐步取消，明确取消时间，不得无限期收取。</w:t>
      </w:r>
    </w:p>
    <w:p>
      <w:pPr>
        <w:spacing w:line="560" w:lineRule="exact"/>
        <w:ind w:firstLine="642" w:firstLineChars="200"/>
        <w:rPr>
          <w:rFonts w:ascii="仿宋" w:hAnsi="仿宋" w:eastAsia="仿宋"/>
          <w:sz w:val="32"/>
          <w:szCs w:val="32"/>
        </w:rPr>
      </w:pPr>
      <w:r>
        <w:rPr>
          <w:rFonts w:hint="eastAsia" w:ascii="仿宋" w:hAnsi="仿宋" w:eastAsia="仿宋"/>
          <w:b/>
          <w:sz w:val="32"/>
          <w:szCs w:val="32"/>
        </w:rPr>
        <w:t>（二）清理规范建筑区划红线内有关收费。</w:t>
      </w:r>
      <w:r>
        <w:rPr>
          <w:rFonts w:ascii="仿宋" w:hAnsi="仿宋" w:eastAsia="仿宋"/>
          <w:sz w:val="32"/>
          <w:szCs w:val="32"/>
        </w:rPr>
        <w:t>建设项目建筑区划红线内的建设安装费用，由建设单位承担，建设单位自愿委托供水供电供气企业施工建设的，除正常建设安装费外，不得收取其他不合理费用。建筑区划红线内供水供电供气供暖管网的建设安装、更新改造、维修维护等费用已由政府承担的，不得再向用户收取。新建商品房、保障性住房等建筑区划红线内供水供电供气管线及配套设备设施的建设安装费用统一纳入房屋开发建设成本，不得另外向买受人收取。</w:t>
      </w:r>
    </w:p>
    <w:p>
      <w:pPr>
        <w:spacing w:line="560" w:lineRule="exact"/>
        <w:ind w:firstLine="642" w:firstLineChars="200"/>
        <w:rPr>
          <w:rFonts w:ascii="仿宋" w:hAnsi="仿宋" w:eastAsia="仿宋"/>
          <w:sz w:val="32"/>
          <w:szCs w:val="32"/>
        </w:rPr>
      </w:pPr>
      <w:r>
        <w:rPr>
          <w:rFonts w:hint="eastAsia" w:ascii="仿宋" w:hAnsi="仿宋" w:eastAsia="仿宋"/>
          <w:b/>
          <w:sz w:val="32"/>
          <w:szCs w:val="32"/>
        </w:rPr>
        <w:t>（三）清理取消已纳入定价成本的相关收费。</w:t>
      </w:r>
      <w:r>
        <w:rPr>
          <w:rFonts w:ascii="仿宋" w:hAnsi="仿宋" w:eastAsia="仿宋"/>
          <w:sz w:val="32"/>
          <w:szCs w:val="32"/>
        </w:rPr>
        <w:t>供水供电供气企业在建筑区划红线内运行维护等方面正常产生的费用，明确计入定价成本后，不得另行向用户收取。供水供电供气企业及其所属或委托单位不得利用垄断地位获取不合理收益，特别是在用户工程竣工后，以检验费、试验费、验收费、开通费、接入费、增容费等各种形式、名目收取费用。</w:t>
      </w:r>
    </w:p>
    <w:p>
      <w:pPr>
        <w:spacing w:line="560" w:lineRule="exact"/>
        <w:ind w:firstLine="642" w:firstLineChars="200"/>
        <w:rPr>
          <w:rFonts w:ascii="仿宋" w:hAnsi="仿宋" w:eastAsia="仿宋"/>
          <w:sz w:val="32"/>
          <w:szCs w:val="32"/>
        </w:rPr>
      </w:pPr>
      <w:r>
        <w:rPr>
          <w:rFonts w:hint="eastAsia" w:ascii="仿宋" w:hAnsi="仿宋" w:eastAsia="仿宋"/>
          <w:b/>
          <w:sz w:val="32"/>
          <w:szCs w:val="32"/>
        </w:rPr>
        <w:t>（四）清理规范非电网直供电环节不合理加价。</w:t>
      </w:r>
      <w:r>
        <w:rPr>
          <w:rFonts w:ascii="仿宋" w:hAnsi="仿宋" w:eastAsia="仿宋"/>
          <w:sz w:val="32"/>
          <w:szCs w:val="32"/>
        </w:rPr>
        <w:t>对具备表计条件的终端用户要按照政府规定的销售电价执行，对不具备表计条件的终端用户电费要由终端用户公平分摊，非电网直供电主体不得在终端用户电费中加收其他费用。非电网直供电主体不得将自用电费转嫁给终端用户，将公共部位、共用设施和配套设施用电电费、运行维护费等费用在电费中加价，以及超过规定的允许最大上浮幅度提高供电价格等。</w:t>
      </w:r>
    </w:p>
    <w:p>
      <w:pPr>
        <w:spacing w:line="560" w:lineRule="exact"/>
        <w:ind w:firstLine="642" w:firstLineChars="200"/>
        <w:rPr>
          <w:rFonts w:ascii="仿宋" w:hAnsi="仿宋" w:eastAsia="仿宋"/>
          <w:bCs/>
          <w:sz w:val="32"/>
          <w:szCs w:val="32"/>
        </w:rPr>
      </w:pPr>
      <w:r>
        <w:rPr>
          <w:rFonts w:hint="eastAsia" w:ascii="仿宋" w:hAnsi="仿宋" w:eastAsia="仿宋"/>
          <w:b/>
          <w:sz w:val="32"/>
          <w:szCs w:val="32"/>
        </w:rPr>
        <w:t>（五）清理规范其他不合理收费。</w:t>
      </w:r>
      <w:r>
        <w:rPr>
          <w:rFonts w:ascii="仿宋" w:hAnsi="仿宋" w:eastAsia="仿宋"/>
          <w:bCs/>
          <w:sz w:val="32"/>
          <w:szCs w:val="32"/>
        </w:rPr>
        <w:t>严禁政府部门、相关机构对供水供电供气计量装置强制检定收费。严禁向用户收取水电气计量装置费用。任何单位代收供水供电供气费时，严禁向用户加收额外费用。对供水供电供气企业暂未直抄到户的终端用户，严禁任何单位或者个人在收取水电气费用中加收其他费用。物业公共部位、共用设施和配套设施的运行维护费用等，应通过物业费、租金或公共收益解决，严禁以水电气费用为基数加收服务类费用。规范政府定价和经营者价格收费行为，对保留的收费项目实行清单制管理，严禁在收费清单外收取其它费用。</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四、组织实施</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水电气领域涉企违规收费自查自纠工作由各县</w:t>
      </w:r>
      <w:r>
        <w:rPr>
          <w:rFonts w:hint="eastAsia" w:ascii="仿宋" w:hAnsi="仿宋" w:eastAsia="仿宋"/>
          <w:sz w:val="32"/>
          <w:szCs w:val="32"/>
          <w:lang w:eastAsia="zh-CN"/>
        </w:rPr>
        <w:t>市</w:t>
      </w:r>
      <w:r>
        <w:rPr>
          <w:rFonts w:hint="eastAsia" w:ascii="仿宋" w:hAnsi="仿宋" w:eastAsia="仿宋"/>
          <w:sz w:val="32"/>
          <w:szCs w:val="32"/>
        </w:rPr>
        <w:t>区发展改革局会同当地住建</w:t>
      </w:r>
      <w:r>
        <w:rPr>
          <w:rFonts w:hint="eastAsia" w:ascii="仿宋" w:hAnsi="仿宋" w:eastAsia="仿宋"/>
          <w:sz w:val="32"/>
          <w:szCs w:val="32"/>
          <w:lang w:eastAsia="zh-CN"/>
        </w:rPr>
        <w:t>局、</w:t>
      </w:r>
      <w:r>
        <w:rPr>
          <w:rFonts w:hint="eastAsia" w:ascii="仿宋" w:hAnsi="仿宋" w:eastAsia="仿宋"/>
          <w:sz w:val="32"/>
          <w:szCs w:val="32"/>
        </w:rPr>
        <w:t>城管执法局组织实施。要加强组织领导，细化任务分工，明确主体责任，紧盯关键环节，严格执行落实国家、省、市相关政策，确保取得实效。自查自纠工作具体分为</w:t>
      </w:r>
      <w:r>
        <w:rPr>
          <w:rFonts w:hint="eastAsia" w:ascii="仿宋" w:hAnsi="仿宋" w:eastAsia="仿宋"/>
          <w:sz w:val="32"/>
          <w:szCs w:val="32"/>
          <w:lang w:eastAsia="zh-CN"/>
        </w:rPr>
        <w:t>三</w:t>
      </w:r>
      <w:r>
        <w:rPr>
          <w:rFonts w:hint="eastAsia" w:ascii="仿宋" w:hAnsi="仿宋" w:eastAsia="仿宋"/>
          <w:sz w:val="32"/>
          <w:szCs w:val="32"/>
        </w:rPr>
        <w:t>个阶段。</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（一）调查摸排（2022年8月1</w:t>
      </w:r>
      <w:r>
        <w:rPr>
          <w:rFonts w:hint="eastAsia" w:ascii="仿宋" w:hAnsi="仿宋" w:eastAsia="仿宋"/>
          <w:sz w:val="32"/>
          <w:szCs w:val="32"/>
          <w:lang w:val="en-US" w:eastAsia="zh-CN"/>
        </w:rPr>
        <w:t>6</w:t>
      </w:r>
      <w:r>
        <w:rPr>
          <w:rFonts w:hint="eastAsia" w:ascii="仿宋" w:hAnsi="仿宋" w:eastAsia="仿宋"/>
          <w:sz w:val="32"/>
          <w:szCs w:val="32"/>
        </w:rPr>
        <w:t>日前）。各县</w:t>
      </w:r>
      <w:r>
        <w:rPr>
          <w:rFonts w:hint="eastAsia" w:ascii="仿宋" w:hAnsi="仿宋" w:eastAsia="仿宋"/>
          <w:sz w:val="32"/>
          <w:szCs w:val="32"/>
          <w:lang w:eastAsia="zh-CN"/>
        </w:rPr>
        <w:t>市</w:t>
      </w:r>
      <w:r>
        <w:rPr>
          <w:rFonts w:hint="eastAsia" w:ascii="仿宋" w:hAnsi="仿宋" w:eastAsia="仿宋"/>
          <w:sz w:val="32"/>
          <w:szCs w:val="32"/>
        </w:rPr>
        <w:t>区要深入</w:t>
      </w:r>
      <w:r>
        <w:rPr>
          <w:rFonts w:hint="eastAsia" w:ascii="仿宋" w:hAnsi="仿宋" w:eastAsia="仿宋"/>
          <w:sz w:val="32"/>
          <w:szCs w:val="32"/>
          <w:lang w:eastAsia="zh-CN"/>
        </w:rPr>
        <w:t>企业</w:t>
      </w:r>
      <w:r>
        <w:rPr>
          <w:rFonts w:hint="eastAsia" w:ascii="仿宋" w:hAnsi="仿宋" w:eastAsia="仿宋"/>
          <w:sz w:val="32"/>
          <w:szCs w:val="32"/>
        </w:rPr>
        <w:t>开展调查研究，全面掌握了解本县</w:t>
      </w:r>
      <w:r>
        <w:rPr>
          <w:rFonts w:hint="eastAsia" w:ascii="仿宋" w:hAnsi="仿宋" w:eastAsia="仿宋"/>
          <w:sz w:val="32"/>
          <w:szCs w:val="32"/>
          <w:lang w:eastAsia="zh-CN"/>
        </w:rPr>
        <w:t>市</w:t>
      </w:r>
      <w:r>
        <w:rPr>
          <w:rFonts w:hint="eastAsia" w:ascii="仿宋" w:hAnsi="仿宋" w:eastAsia="仿宋"/>
          <w:sz w:val="32"/>
          <w:szCs w:val="32"/>
        </w:rPr>
        <w:t>区内水电气领域涉企违规收费具体情况和问题，摸排查清投诉举报线索，系统梳理，逐项分析，并认真填写附件1、2。</w:t>
      </w:r>
    </w:p>
    <w:p>
      <w:pPr>
        <w:adjustRightInd w:val="0"/>
        <w:snapToGrid w:val="0"/>
        <w:spacing w:line="596"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（二）集中整改（2022年8月</w:t>
      </w:r>
      <w:r>
        <w:rPr>
          <w:rFonts w:hint="eastAsia" w:ascii="仿宋" w:hAnsi="仿宋" w:eastAsia="仿宋"/>
          <w:sz w:val="32"/>
          <w:szCs w:val="32"/>
          <w:lang w:val="en-US" w:eastAsia="zh-CN"/>
        </w:rPr>
        <w:t>19</w:t>
      </w:r>
      <w:r>
        <w:rPr>
          <w:rFonts w:hint="eastAsia" w:ascii="仿宋" w:hAnsi="仿宋" w:eastAsia="仿宋"/>
          <w:sz w:val="32"/>
          <w:szCs w:val="32"/>
        </w:rPr>
        <w:t>日前）。根据调查摸排情况，各县</w:t>
      </w:r>
      <w:r>
        <w:rPr>
          <w:rFonts w:hint="eastAsia" w:ascii="仿宋" w:hAnsi="仿宋" w:eastAsia="仿宋"/>
          <w:sz w:val="32"/>
          <w:szCs w:val="32"/>
          <w:lang w:eastAsia="zh-CN"/>
        </w:rPr>
        <w:t>市</w:t>
      </w:r>
      <w:r>
        <w:rPr>
          <w:rFonts w:hint="eastAsia" w:ascii="仿宋" w:hAnsi="仿宋" w:eastAsia="仿宋"/>
          <w:sz w:val="32"/>
          <w:szCs w:val="32"/>
        </w:rPr>
        <w:t>区要坚决取消不合理收费项目，降低偏高的收费标准，依法查处各类违法违规价格行为，并举一反三提出整改措施。</w:t>
      </w:r>
      <w:r>
        <w:rPr>
          <w:rFonts w:eastAsia="仿宋_GB2312"/>
          <w:kern w:val="0"/>
          <w:sz w:val="32"/>
          <w:szCs w:val="32"/>
          <w:lang w:bidi="ar"/>
        </w:rPr>
        <w:t>全面统计国办函</w:t>
      </w:r>
      <w:r>
        <w:rPr>
          <w:kern w:val="0"/>
          <w:sz w:val="32"/>
          <w:szCs w:val="32"/>
          <w:lang w:bidi="ar"/>
        </w:rPr>
        <w:t>﹝</w:t>
      </w:r>
      <w:r>
        <w:rPr>
          <w:rFonts w:hint="eastAsia" w:ascii="华文仿宋" w:hAnsi="华文仿宋" w:eastAsia="华文仿宋" w:cs="华文仿宋"/>
          <w:kern w:val="0"/>
          <w:sz w:val="32"/>
          <w:szCs w:val="32"/>
          <w:lang w:bidi="ar"/>
        </w:rPr>
        <w:t>2020</w:t>
      </w:r>
      <w:r>
        <w:rPr>
          <w:kern w:val="0"/>
          <w:sz w:val="32"/>
          <w:szCs w:val="32"/>
          <w:lang w:bidi="ar"/>
        </w:rPr>
        <w:t>﹞</w:t>
      </w:r>
      <w:r>
        <w:rPr>
          <w:rFonts w:hint="eastAsia" w:ascii="华文仿宋" w:hAnsi="华文仿宋" w:eastAsia="华文仿宋" w:cs="华文仿宋"/>
          <w:kern w:val="0"/>
          <w:sz w:val="32"/>
          <w:szCs w:val="32"/>
          <w:lang w:bidi="ar"/>
        </w:rPr>
        <w:t>129</w:t>
      </w:r>
      <w:r>
        <w:rPr>
          <w:rFonts w:eastAsia="仿宋_GB2312"/>
          <w:kern w:val="0"/>
          <w:sz w:val="32"/>
          <w:szCs w:val="32"/>
          <w:lang w:bidi="ar"/>
        </w:rPr>
        <w:t>号文实施以</w:t>
      </w:r>
      <w:r>
        <w:rPr>
          <w:rFonts w:hint="eastAsia" w:ascii="华文仿宋" w:hAnsi="华文仿宋" w:eastAsia="华文仿宋" w:cs="华文仿宋"/>
          <w:kern w:val="0"/>
          <w:sz w:val="32"/>
          <w:szCs w:val="32"/>
          <w:lang w:bidi="ar"/>
        </w:rPr>
        <w:t>来（2021年3月1日至今</w:t>
      </w:r>
      <w:r>
        <w:rPr>
          <w:rFonts w:eastAsia="仿宋_GB2312"/>
          <w:kern w:val="0"/>
          <w:sz w:val="32"/>
          <w:szCs w:val="32"/>
          <w:lang w:bidi="ar"/>
        </w:rPr>
        <w:t>）清理规范水电气暖收费项目和金额情况，并填写附表</w:t>
      </w:r>
      <w:r>
        <w:rPr>
          <w:rFonts w:hint="eastAsia" w:ascii="华文仿宋" w:hAnsi="华文仿宋" w:eastAsia="华文仿宋" w:cs="华文仿宋"/>
          <w:kern w:val="0"/>
          <w:sz w:val="32"/>
          <w:szCs w:val="32"/>
          <w:lang w:bidi="ar"/>
        </w:rPr>
        <w:t>3</w:t>
      </w:r>
      <w:r>
        <w:rPr>
          <w:rFonts w:eastAsia="仿宋_GB2312"/>
          <w:kern w:val="0"/>
          <w:sz w:val="32"/>
          <w:szCs w:val="32"/>
          <w:lang w:bidi="ar"/>
        </w:rPr>
        <w:t>。</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（三）工作总结（2022年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eastAsia="zh-CN"/>
        </w:rPr>
        <w:t>底</w:t>
      </w:r>
      <w:r>
        <w:rPr>
          <w:rFonts w:hint="eastAsia" w:ascii="仿宋" w:hAnsi="仿宋" w:eastAsia="仿宋"/>
          <w:sz w:val="32"/>
          <w:szCs w:val="32"/>
        </w:rPr>
        <w:t>前）。</w:t>
      </w:r>
      <w:r>
        <w:rPr>
          <w:rFonts w:hint="eastAsia" w:ascii="仿宋" w:hAnsi="仿宋" w:eastAsia="仿宋"/>
          <w:sz w:val="32"/>
          <w:szCs w:val="32"/>
          <w:lang w:eastAsia="zh-CN"/>
        </w:rPr>
        <w:t>市发改委、市城管执法局视情将组成联合工作组，组织开展水电气领域涉企违规收费政策落实情况督查。</w:t>
      </w:r>
      <w:r>
        <w:rPr>
          <w:rFonts w:hint="eastAsia" w:ascii="仿宋" w:hAnsi="仿宋" w:eastAsia="仿宋"/>
          <w:sz w:val="32"/>
          <w:szCs w:val="32"/>
        </w:rPr>
        <w:t>各县</w:t>
      </w:r>
      <w:r>
        <w:rPr>
          <w:rFonts w:hint="eastAsia" w:ascii="仿宋" w:hAnsi="仿宋" w:eastAsia="仿宋"/>
          <w:sz w:val="32"/>
          <w:szCs w:val="32"/>
          <w:lang w:eastAsia="zh-CN"/>
        </w:rPr>
        <w:t>市</w:t>
      </w:r>
      <w:r>
        <w:rPr>
          <w:rFonts w:hint="eastAsia" w:ascii="仿宋" w:hAnsi="仿宋" w:eastAsia="仿宋"/>
          <w:sz w:val="32"/>
          <w:szCs w:val="32"/>
        </w:rPr>
        <w:t>区要对自查自纠工作开展情况进行全面梳理总结，形成水电气领域涉企违规收费自查自纠</w:t>
      </w:r>
      <w:r>
        <w:rPr>
          <w:rFonts w:hint="eastAsia" w:ascii="仿宋" w:hAnsi="仿宋" w:eastAsia="仿宋"/>
          <w:sz w:val="32"/>
          <w:szCs w:val="32"/>
          <w:lang w:eastAsia="zh-CN"/>
        </w:rPr>
        <w:t>情况及对</w:t>
      </w:r>
      <w:r>
        <w:rPr>
          <w:rFonts w:hint="eastAsia" w:ascii="仿宋" w:hAnsi="仿宋" w:eastAsia="仿宋"/>
          <w:sz w:val="32"/>
          <w:szCs w:val="32"/>
        </w:rPr>
        <w:t>建立健全长效监管机制的意见建议</w:t>
      </w:r>
      <w:r>
        <w:rPr>
          <w:rFonts w:hint="eastAsia" w:ascii="仿宋" w:hAnsi="仿宋" w:eastAsia="仿宋"/>
          <w:sz w:val="32"/>
          <w:szCs w:val="32"/>
          <w:lang w:eastAsia="zh-CN"/>
        </w:rPr>
        <w:t>报告</w:t>
      </w:r>
      <w:r>
        <w:rPr>
          <w:rFonts w:hint="eastAsia" w:ascii="仿宋" w:hAnsi="仿宋" w:eastAsia="仿宋"/>
          <w:sz w:val="32"/>
          <w:szCs w:val="32"/>
        </w:rPr>
        <w:t>，于</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26</w:t>
      </w:r>
      <w:r>
        <w:rPr>
          <w:rFonts w:hint="eastAsia" w:ascii="仿宋" w:hAnsi="仿宋" w:eastAsia="仿宋"/>
          <w:sz w:val="32"/>
          <w:szCs w:val="32"/>
        </w:rPr>
        <w:t>日前与填写好的附件分别上报市发展改革委、市</w:t>
      </w:r>
      <w:r>
        <w:rPr>
          <w:rFonts w:hint="eastAsia" w:ascii="仿宋" w:hAnsi="仿宋" w:eastAsia="仿宋"/>
          <w:sz w:val="32"/>
          <w:szCs w:val="32"/>
          <w:lang w:eastAsia="zh-CN"/>
        </w:rPr>
        <w:t>城管执法</w:t>
      </w:r>
      <w:r>
        <w:rPr>
          <w:rFonts w:hint="eastAsia" w:ascii="仿宋" w:hAnsi="仿宋" w:eastAsia="仿宋"/>
          <w:sz w:val="32"/>
          <w:szCs w:val="32"/>
        </w:rPr>
        <w:t>局。</w:t>
      </w:r>
      <w:r>
        <w:rPr>
          <w:rFonts w:hint="eastAsia" w:ascii="仿宋" w:hAnsi="仿宋" w:eastAsia="仿宋"/>
          <w:sz w:val="32"/>
          <w:szCs w:val="32"/>
          <w:lang w:eastAsia="zh-CN"/>
        </w:rPr>
        <w:t>实地督查（</w:t>
      </w:r>
      <w:r>
        <w:rPr>
          <w:rFonts w:hint="eastAsia" w:ascii="仿宋" w:hAnsi="仿宋" w:eastAsia="仿宋"/>
          <w:sz w:val="32"/>
          <w:szCs w:val="32"/>
          <w:lang w:val="en-US" w:eastAsia="zh-CN"/>
        </w:rPr>
        <w:t>2022年8月26日前</w:t>
      </w:r>
      <w:r>
        <w:rPr>
          <w:rFonts w:hint="eastAsia" w:ascii="仿宋" w:hAnsi="仿宋" w:eastAsia="仿宋"/>
          <w:sz w:val="32"/>
          <w:szCs w:val="32"/>
          <w:lang w:eastAsia="zh-CN"/>
        </w:rPr>
        <w:t>）。</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adjustRightInd w:val="0"/>
        <w:snapToGrid w:val="0"/>
        <w:spacing w:line="596" w:lineRule="exact"/>
        <w:ind w:firstLine="640" w:firstLineChars="200"/>
        <w:rPr>
          <w:rFonts w:eastAsia="仿宋_GB2312"/>
          <w:kern w:val="0"/>
          <w:sz w:val="32"/>
          <w:szCs w:val="32"/>
          <w:lang w:bidi="ar"/>
        </w:rPr>
      </w:pPr>
      <w:r>
        <w:rPr>
          <w:rFonts w:eastAsia="仿宋_GB2312"/>
          <w:kern w:val="0"/>
          <w:sz w:val="32"/>
          <w:szCs w:val="32"/>
          <w:lang w:bidi="ar"/>
        </w:rPr>
        <w:t>附件：</w:t>
      </w:r>
      <w:r>
        <w:rPr>
          <w:rFonts w:hint="eastAsia" w:ascii="华文仿宋" w:hAnsi="华文仿宋" w:eastAsia="华文仿宋" w:cs="华文仿宋"/>
          <w:kern w:val="0"/>
          <w:sz w:val="32"/>
          <w:szCs w:val="32"/>
          <w:lang w:bidi="ar"/>
        </w:rPr>
        <w:t>1.XX</w:t>
      </w:r>
      <w:r>
        <w:rPr>
          <w:rFonts w:hint="eastAsia" w:eastAsia="仿宋_GB2312"/>
          <w:kern w:val="0"/>
          <w:sz w:val="32"/>
          <w:szCs w:val="32"/>
          <w:lang w:eastAsia="zh-CN" w:bidi="ar"/>
        </w:rPr>
        <w:t>县</w:t>
      </w:r>
      <w:r>
        <w:rPr>
          <w:rFonts w:eastAsia="仿宋_GB2312"/>
          <w:kern w:val="0"/>
          <w:sz w:val="32"/>
          <w:szCs w:val="32"/>
          <w:lang w:bidi="ar"/>
        </w:rPr>
        <w:t>市</w:t>
      </w:r>
      <w:r>
        <w:rPr>
          <w:rFonts w:hint="eastAsia" w:eastAsia="仿宋_GB2312"/>
          <w:kern w:val="0"/>
          <w:sz w:val="32"/>
          <w:szCs w:val="32"/>
          <w:lang w:eastAsia="zh-CN" w:bidi="ar"/>
        </w:rPr>
        <w:t>区</w:t>
      </w:r>
      <w:r>
        <w:rPr>
          <w:rFonts w:eastAsia="仿宋_GB2312"/>
          <w:kern w:val="0"/>
          <w:sz w:val="32"/>
          <w:szCs w:val="32"/>
          <w:lang w:bidi="ar"/>
        </w:rPr>
        <w:t>问题自查自纠情况明细表</w:t>
      </w:r>
    </w:p>
    <w:p>
      <w:pPr>
        <w:adjustRightInd w:val="0"/>
        <w:snapToGrid w:val="0"/>
        <w:spacing w:line="596" w:lineRule="exact"/>
        <w:ind w:firstLine="1600" w:firstLineChars="500"/>
        <w:rPr>
          <w:rFonts w:eastAsia="仿宋_GB2312"/>
          <w:kern w:val="0"/>
          <w:sz w:val="32"/>
          <w:szCs w:val="32"/>
          <w:lang w:bidi="ar"/>
        </w:rPr>
      </w:pPr>
      <w:r>
        <w:rPr>
          <w:rFonts w:hint="eastAsia" w:ascii="华文仿宋" w:hAnsi="华文仿宋" w:eastAsia="华文仿宋" w:cs="华文仿宋"/>
          <w:kern w:val="0"/>
          <w:sz w:val="32"/>
          <w:szCs w:val="32"/>
          <w:lang w:bidi="ar"/>
        </w:rPr>
        <w:t>2.XX</w:t>
      </w:r>
      <w:r>
        <w:rPr>
          <w:rFonts w:hint="eastAsia" w:eastAsia="仿宋_GB2312"/>
          <w:kern w:val="0"/>
          <w:sz w:val="32"/>
          <w:szCs w:val="32"/>
          <w:lang w:eastAsia="zh-CN" w:bidi="ar"/>
        </w:rPr>
        <w:t>县市区</w:t>
      </w:r>
      <w:r>
        <w:rPr>
          <w:rFonts w:eastAsia="仿宋_GB2312"/>
          <w:kern w:val="0"/>
          <w:sz w:val="32"/>
          <w:szCs w:val="32"/>
          <w:lang w:bidi="ar"/>
        </w:rPr>
        <w:t>问题自查自纠情况汇总表</w:t>
      </w:r>
    </w:p>
    <w:p>
      <w:pPr>
        <w:adjustRightInd w:val="0"/>
        <w:snapToGrid w:val="0"/>
        <w:spacing w:line="596" w:lineRule="exact"/>
        <w:ind w:left="1756" w:leftChars="760" w:hanging="160" w:hangingChars="50"/>
        <w:rPr>
          <w:rFonts w:hint="eastAsia" w:ascii="仿宋" w:hAnsi="仿宋" w:eastAsia="仿宋"/>
          <w:sz w:val="32"/>
          <w:szCs w:val="32"/>
          <w:lang w:val="en-US" w:eastAsia="zh-CN"/>
        </w:rPr>
      </w:pPr>
      <w:r>
        <w:rPr>
          <w:rFonts w:hint="eastAsia" w:ascii="华文仿宋" w:hAnsi="华文仿宋" w:eastAsia="华文仿宋" w:cs="华文仿宋"/>
          <w:kern w:val="0"/>
          <w:sz w:val="32"/>
          <w:szCs w:val="32"/>
          <w:lang w:bidi="ar"/>
        </w:rPr>
        <w:t>3.XX</w:t>
      </w:r>
      <w:r>
        <w:rPr>
          <w:rFonts w:hint="eastAsia" w:eastAsia="仿宋_GB2312"/>
          <w:kern w:val="0"/>
          <w:sz w:val="32"/>
          <w:szCs w:val="32"/>
          <w:lang w:eastAsia="zh-CN" w:bidi="ar"/>
        </w:rPr>
        <w:t>县市区</w:t>
      </w:r>
      <w:r>
        <w:rPr>
          <w:rFonts w:eastAsia="仿宋_GB2312"/>
          <w:kern w:val="0"/>
          <w:sz w:val="32"/>
          <w:szCs w:val="32"/>
          <w:lang w:bidi="ar"/>
        </w:rPr>
        <w:t>清理规范水电气暖收费项目及金额统计表</w:t>
      </w:r>
    </w:p>
    <w:p>
      <w:pPr>
        <w:spacing w:line="560" w:lineRule="exact"/>
        <w:ind w:firstLine="640" w:firstLineChars="200"/>
        <w:rPr>
          <w:rFonts w:hint="eastAsia" w:ascii="仿宋" w:hAnsi="仿宋" w:eastAsia="仿宋"/>
          <w:sz w:val="32"/>
          <w:szCs w:val="32"/>
          <w:lang w:val="en-US" w:eastAsia="zh-CN"/>
        </w:rPr>
      </w:pPr>
    </w:p>
    <w:p>
      <w:pPr>
        <w:spacing w:line="560" w:lineRule="exact"/>
        <w:ind w:firstLine="640" w:firstLineChars="200"/>
        <w:rPr>
          <w:rFonts w:hint="eastAsia" w:ascii="仿宋" w:hAnsi="仿宋" w:eastAsia="仿宋"/>
          <w:sz w:val="32"/>
          <w:szCs w:val="32"/>
          <w:lang w:val="en-US" w:eastAsia="zh-CN"/>
        </w:rPr>
      </w:pPr>
    </w:p>
    <w:p>
      <w:pPr>
        <w:spacing w:line="560" w:lineRule="exact"/>
        <w:ind w:firstLine="640" w:firstLineChars="200"/>
        <w:rPr>
          <w:rFonts w:hint="eastAsia" w:ascii="仿宋" w:hAnsi="仿宋" w:eastAsia="仿宋"/>
          <w:sz w:val="32"/>
          <w:szCs w:val="32"/>
          <w:lang w:val="en-US" w:eastAsia="zh-CN"/>
        </w:rPr>
        <w:sectPr>
          <w:footerReference r:id="rId3" w:type="default"/>
          <w:footerReference r:id="rId4" w:type="even"/>
          <w:pgSz w:w="11906" w:h="16838"/>
          <w:pgMar w:top="1417" w:right="1247" w:bottom="1417" w:left="1418" w:header="851" w:footer="1020" w:gutter="0"/>
          <w:cols w:space="0" w:num="1"/>
          <w:rtlGutter w:val="0"/>
          <w:docGrid w:type="lines" w:linePitch="312" w:charSpace="0"/>
        </w:sectPr>
      </w:pPr>
    </w:p>
    <w:p>
      <w:pPr>
        <w:widowControl/>
        <w:spacing w:line="596" w:lineRule="exact"/>
        <w:jc w:val="left"/>
        <w:rPr>
          <w:rFonts w:eastAsia="方正小标宋_GBK"/>
          <w:kern w:val="0"/>
          <w:sz w:val="40"/>
          <w:szCs w:val="40"/>
        </w:rPr>
      </w:pPr>
      <w:r>
        <w:rPr>
          <w:rFonts w:hint="eastAsia" w:ascii="华文仿宋" w:hAnsi="华文仿宋" w:eastAsia="华文仿宋" w:cs="华文仿宋"/>
          <w:sz w:val="32"/>
          <w:szCs w:val="32"/>
        </w:rPr>
        <w:t>附件1</w:t>
      </w:r>
      <w:r>
        <w:rPr>
          <w:rFonts w:eastAsia="方正小标宋_GBK"/>
          <w:kern w:val="0"/>
          <w:sz w:val="40"/>
          <w:szCs w:val="40"/>
        </w:rPr>
        <w:t xml:space="preserve"> </w:t>
      </w:r>
    </w:p>
    <w:p>
      <w:pPr>
        <w:widowControl/>
        <w:spacing w:after="156" w:afterLines="50" w:line="596" w:lineRule="exact"/>
        <w:jc w:val="center"/>
        <w:rPr>
          <w:rFonts w:eastAsia="仿宋_GB2312"/>
          <w:sz w:val="42"/>
          <w:szCs w:val="42"/>
        </w:rPr>
      </w:pPr>
      <w:r>
        <w:rPr>
          <w:rFonts w:eastAsia="方正小标宋_GBK"/>
          <w:kern w:val="0"/>
          <w:sz w:val="42"/>
          <w:szCs w:val="42"/>
        </w:rPr>
        <w:t>XX</w:t>
      </w:r>
      <w:r>
        <w:rPr>
          <w:rFonts w:hint="eastAsia" w:eastAsia="方正小标宋_GBK"/>
          <w:kern w:val="0"/>
          <w:sz w:val="42"/>
          <w:szCs w:val="42"/>
          <w:lang w:eastAsia="zh-CN"/>
        </w:rPr>
        <w:t>县市区</w:t>
      </w:r>
      <w:r>
        <w:rPr>
          <w:rFonts w:eastAsia="方正小标宋_GBK"/>
          <w:kern w:val="0"/>
          <w:sz w:val="42"/>
          <w:szCs w:val="42"/>
        </w:rPr>
        <w:t>问题自查自纠情况明细表</w:t>
      </w:r>
    </w:p>
    <w:tbl>
      <w:tblPr>
        <w:tblStyle w:val="4"/>
        <w:tblW w:w="14853" w:type="dxa"/>
        <w:jc w:val="center"/>
        <w:tblLayout w:type="autofit"/>
        <w:tblCellMar>
          <w:top w:w="0" w:type="dxa"/>
          <w:left w:w="108" w:type="dxa"/>
          <w:bottom w:w="0" w:type="dxa"/>
          <w:right w:w="108" w:type="dxa"/>
        </w:tblCellMar>
      </w:tblPr>
      <w:tblGrid>
        <w:gridCol w:w="3768"/>
        <w:gridCol w:w="1352"/>
        <w:gridCol w:w="1080"/>
        <w:gridCol w:w="1525"/>
        <w:gridCol w:w="1340"/>
        <w:gridCol w:w="1184"/>
        <w:gridCol w:w="1117"/>
        <w:gridCol w:w="1312"/>
        <w:gridCol w:w="1480"/>
        <w:gridCol w:w="695"/>
      </w:tblGrid>
      <w:tr>
        <w:tblPrEx>
          <w:tblCellMar>
            <w:top w:w="0" w:type="dxa"/>
            <w:left w:w="108" w:type="dxa"/>
            <w:bottom w:w="0" w:type="dxa"/>
            <w:right w:w="108" w:type="dxa"/>
          </w:tblCellMar>
        </w:tblPrEx>
        <w:trPr>
          <w:trHeight w:val="397" w:hRule="atLeast"/>
          <w:tblHeader/>
          <w:jc w:val="center"/>
        </w:trPr>
        <w:tc>
          <w:tcPr>
            <w:tcW w:w="37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eastAsia="方正黑体_GBK"/>
                <w:kern w:val="0"/>
                <w:szCs w:val="21"/>
              </w:rPr>
            </w:pPr>
            <w:r>
              <w:rPr>
                <w:rFonts w:eastAsia="方正黑体_GBK"/>
                <w:kern w:val="0"/>
                <w:szCs w:val="21"/>
              </w:rPr>
              <w:t>领域</w:t>
            </w:r>
          </w:p>
        </w:tc>
        <w:tc>
          <w:tcPr>
            <w:tcW w:w="13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eastAsia="方正黑体_GBK"/>
                <w:kern w:val="0"/>
                <w:szCs w:val="21"/>
              </w:rPr>
            </w:pPr>
            <w:r>
              <w:rPr>
                <w:rFonts w:eastAsia="方正黑体_GBK"/>
                <w:kern w:val="0"/>
                <w:szCs w:val="21"/>
              </w:rPr>
              <w:t>自查自纠</w:t>
            </w:r>
          </w:p>
          <w:p>
            <w:pPr>
              <w:widowControl/>
              <w:spacing w:line="280" w:lineRule="exact"/>
              <w:jc w:val="center"/>
              <w:rPr>
                <w:rFonts w:eastAsia="方正黑体_GBK"/>
                <w:kern w:val="0"/>
                <w:szCs w:val="21"/>
              </w:rPr>
            </w:pPr>
            <w:r>
              <w:rPr>
                <w:rFonts w:eastAsia="方正黑体_GBK"/>
                <w:kern w:val="0"/>
                <w:szCs w:val="21"/>
              </w:rPr>
              <w:t>问题内容</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eastAsia="方正黑体_GBK"/>
                <w:kern w:val="0"/>
                <w:szCs w:val="21"/>
              </w:rPr>
            </w:pPr>
            <w:r>
              <w:rPr>
                <w:rFonts w:eastAsia="方正黑体_GBK"/>
                <w:kern w:val="0"/>
                <w:szCs w:val="21"/>
              </w:rPr>
              <w:t>涉及</w:t>
            </w:r>
          </w:p>
          <w:p>
            <w:pPr>
              <w:widowControl/>
              <w:spacing w:line="280" w:lineRule="exact"/>
              <w:jc w:val="center"/>
              <w:rPr>
                <w:rFonts w:eastAsia="方正黑体_GBK"/>
                <w:kern w:val="0"/>
                <w:szCs w:val="21"/>
              </w:rPr>
            </w:pPr>
            <w:r>
              <w:rPr>
                <w:rFonts w:eastAsia="方正黑体_GBK"/>
                <w:kern w:val="0"/>
                <w:szCs w:val="21"/>
              </w:rPr>
              <w:t>金额</w:t>
            </w:r>
            <w:r>
              <w:rPr>
                <w:rFonts w:eastAsia="方正黑体_GBK"/>
                <w:kern w:val="0"/>
                <w:szCs w:val="21"/>
              </w:rPr>
              <w:br w:type="textWrapping"/>
            </w:r>
            <w:r>
              <w:rPr>
                <w:rFonts w:eastAsia="方正黑体_GBK"/>
                <w:kern w:val="0"/>
                <w:szCs w:val="21"/>
              </w:rPr>
              <w:t>（万元）</w:t>
            </w:r>
          </w:p>
        </w:tc>
        <w:tc>
          <w:tcPr>
            <w:tcW w:w="15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eastAsia="方正黑体_GBK"/>
                <w:kern w:val="0"/>
                <w:szCs w:val="21"/>
              </w:rPr>
            </w:pPr>
            <w:r>
              <w:rPr>
                <w:rFonts w:eastAsia="方正黑体_GBK"/>
                <w:kern w:val="0"/>
                <w:szCs w:val="21"/>
              </w:rPr>
              <w:t>企业名称</w:t>
            </w:r>
          </w:p>
        </w:tc>
        <w:tc>
          <w:tcPr>
            <w:tcW w:w="13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eastAsia="方正黑体_GBK"/>
                <w:kern w:val="0"/>
                <w:szCs w:val="21"/>
              </w:rPr>
            </w:pPr>
            <w:r>
              <w:rPr>
                <w:rFonts w:eastAsia="方正黑体_GBK"/>
                <w:kern w:val="0"/>
                <w:szCs w:val="21"/>
              </w:rPr>
              <w:t>整改措施</w:t>
            </w:r>
          </w:p>
        </w:tc>
        <w:tc>
          <w:tcPr>
            <w:tcW w:w="2301"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eastAsia="方正黑体_GBK"/>
                <w:kern w:val="0"/>
                <w:szCs w:val="21"/>
              </w:rPr>
            </w:pPr>
            <w:r>
              <w:rPr>
                <w:rFonts w:eastAsia="方正黑体_GBK"/>
                <w:kern w:val="0"/>
                <w:szCs w:val="21"/>
              </w:rPr>
              <w:t>已完成整改</w:t>
            </w:r>
          </w:p>
        </w:tc>
        <w:tc>
          <w:tcPr>
            <w:tcW w:w="2792"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eastAsia="方正黑体_GBK"/>
                <w:kern w:val="0"/>
                <w:szCs w:val="21"/>
              </w:rPr>
            </w:pPr>
            <w:r>
              <w:rPr>
                <w:rFonts w:eastAsia="方正黑体_GBK"/>
                <w:kern w:val="0"/>
                <w:szCs w:val="21"/>
              </w:rPr>
              <w:t>正在整改</w:t>
            </w:r>
          </w:p>
        </w:tc>
        <w:tc>
          <w:tcPr>
            <w:tcW w:w="69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eastAsia="方正黑体_GBK"/>
                <w:kern w:val="0"/>
                <w:szCs w:val="21"/>
              </w:rPr>
            </w:pPr>
            <w:r>
              <w:rPr>
                <w:rFonts w:eastAsia="方正黑体_GBK"/>
                <w:kern w:val="0"/>
                <w:szCs w:val="21"/>
              </w:rPr>
              <w:t>备注</w:t>
            </w:r>
          </w:p>
        </w:tc>
      </w:tr>
      <w:tr>
        <w:tblPrEx>
          <w:tblCellMar>
            <w:top w:w="0" w:type="dxa"/>
            <w:left w:w="108" w:type="dxa"/>
            <w:bottom w:w="0" w:type="dxa"/>
            <w:right w:w="108" w:type="dxa"/>
          </w:tblCellMar>
        </w:tblPrEx>
        <w:trPr>
          <w:trHeight w:val="397" w:hRule="atLeast"/>
          <w:tblHeader/>
          <w:jc w:val="center"/>
        </w:trPr>
        <w:tc>
          <w:tcPr>
            <w:tcW w:w="37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eastAsia="方正黑体_GBK"/>
                <w:kern w:val="0"/>
                <w:szCs w:val="21"/>
              </w:rPr>
            </w:pPr>
          </w:p>
        </w:tc>
        <w:tc>
          <w:tcPr>
            <w:tcW w:w="13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eastAsia="方正黑体_GBK"/>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eastAsia="方正黑体_GBK"/>
                <w:kern w:val="0"/>
                <w:szCs w:val="21"/>
              </w:rPr>
            </w:pPr>
          </w:p>
        </w:tc>
        <w:tc>
          <w:tcPr>
            <w:tcW w:w="1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eastAsia="方正黑体_GBK"/>
                <w:kern w:val="0"/>
                <w:szCs w:val="21"/>
              </w:rPr>
            </w:pPr>
          </w:p>
        </w:tc>
        <w:tc>
          <w:tcPr>
            <w:tcW w:w="1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eastAsia="方正黑体_GBK"/>
                <w:kern w:val="0"/>
                <w:szCs w:val="21"/>
              </w:rPr>
            </w:pPr>
          </w:p>
        </w:tc>
        <w:tc>
          <w:tcPr>
            <w:tcW w:w="1184" w:type="dxa"/>
            <w:tcBorders>
              <w:top w:val="nil"/>
              <w:left w:val="nil"/>
              <w:bottom w:val="single" w:color="auto" w:sz="4" w:space="0"/>
              <w:right w:val="single" w:color="auto" w:sz="4" w:space="0"/>
            </w:tcBorders>
            <w:noWrap w:val="0"/>
            <w:vAlign w:val="center"/>
          </w:tcPr>
          <w:p>
            <w:pPr>
              <w:widowControl/>
              <w:spacing w:line="280" w:lineRule="exact"/>
              <w:jc w:val="center"/>
              <w:rPr>
                <w:rFonts w:eastAsia="方正黑体_GBK"/>
                <w:kern w:val="0"/>
                <w:szCs w:val="21"/>
              </w:rPr>
            </w:pPr>
            <w:r>
              <w:rPr>
                <w:rFonts w:eastAsia="方正黑体_GBK"/>
                <w:kern w:val="0"/>
                <w:szCs w:val="21"/>
              </w:rPr>
              <w:t>涉及</w:t>
            </w:r>
          </w:p>
          <w:p>
            <w:pPr>
              <w:widowControl/>
              <w:spacing w:line="280" w:lineRule="exact"/>
              <w:jc w:val="center"/>
              <w:rPr>
                <w:rFonts w:eastAsia="方正黑体_GBK"/>
                <w:kern w:val="0"/>
                <w:szCs w:val="21"/>
              </w:rPr>
            </w:pPr>
            <w:r>
              <w:rPr>
                <w:rFonts w:eastAsia="方正黑体_GBK"/>
                <w:kern w:val="0"/>
                <w:szCs w:val="21"/>
              </w:rPr>
              <w:t>金额</w:t>
            </w:r>
            <w:r>
              <w:rPr>
                <w:rFonts w:eastAsia="方正黑体_GBK"/>
                <w:kern w:val="0"/>
                <w:szCs w:val="21"/>
              </w:rPr>
              <w:br w:type="textWrapping"/>
            </w:r>
            <w:r>
              <w:rPr>
                <w:rFonts w:eastAsia="方正黑体_GBK"/>
                <w:kern w:val="0"/>
                <w:szCs w:val="21"/>
              </w:rPr>
              <w:t>（万元）</w:t>
            </w:r>
          </w:p>
        </w:tc>
        <w:tc>
          <w:tcPr>
            <w:tcW w:w="1117" w:type="dxa"/>
            <w:tcBorders>
              <w:top w:val="nil"/>
              <w:left w:val="nil"/>
              <w:bottom w:val="single" w:color="auto" w:sz="4" w:space="0"/>
              <w:right w:val="single" w:color="auto" w:sz="4" w:space="0"/>
            </w:tcBorders>
            <w:noWrap w:val="0"/>
            <w:vAlign w:val="center"/>
          </w:tcPr>
          <w:p>
            <w:pPr>
              <w:widowControl/>
              <w:spacing w:line="280" w:lineRule="exact"/>
              <w:jc w:val="center"/>
              <w:rPr>
                <w:rFonts w:eastAsia="方正黑体_GBK"/>
                <w:kern w:val="0"/>
                <w:szCs w:val="21"/>
              </w:rPr>
            </w:pPr>
            <w:r>
              <w:rPr>
                <w:rFonts w:eastAsia="方正黑体_GBK"/>
                <w:kern w:val="0"/>
                <w:szCs w:val="21"/>
              </w:rPr>
              <w:t>整改完成</w:t>
            </w:r>
          </w:p>
          <w:p>
            <w:pPr>
              <w:widowControl/>
              <w:spacing w:line="280" w:lineRule="exact"/>
              <w:jc w:val="center"/>
              <w:rPr>
                <w:rFonts w:eastAsia="方正黑体_GBK"/>
                <w:kern w:val="0"/>
                <w:szCs w:val="21"/>
              </w:rPr>
            </w:pPr>
            <w:r>
              <w:rPr>
                <w:rFonts w:eastAsia="方正黑体_GBK"/>
                <w:kern w:val="0"/>
                <w:szCs w:val="21"/>
              </w:rPr>
              <w:t>时间</w:t>
            </w:r>
          </w:p>
        </w:tc>
        <w:tc>
          <w:tcPr>
            <w:tcW w:w="1312" w:type="dxa"/>
            <w:tcBorders>
              <w:top w:val="nil"/>
              <w:left w:val="nil"/>
              <w:bottom w:val="single" w:color="auto" w:sz="4" w:space="0"/>
              <w:right w:val="single" w:color="auto" w:sz="4" w:space="0"/>
            </w:tcBorders>
            <w:noWrap w:val="0"/>
            <w:vAlign w:val="center"/>
          </w:tcPr>
          <w:p>
            <w:pPr>
              <w:widowControl/>
              <w:spacing w:line="280" w:lineRule="exact"/>
              <w:jc w:val="center"/>
              <w:rPr>
                <w:rFonts w:eastAsia="方正黑体_GBK"/>
                <w:kern w:val="0"/>
                <w:szCs w:val="21"/>
              </w:rPr>
            </w:pPr>
            <w:r>
              <w:rPr>
                <w:rFonts w:eastAsia="方正黑体_GBK"/>
                <w:kern w:val="0"/>
                <w:szCs w:val="21"/>
              </w:rPr>
              <w:t>涉及金额</w:t>
            </w:r>
            <w:r>
              <w:rPr>
                <w:rFonts w:eastAsia="方正黑体_GBK"/>
                <w:kern w:val="0"/>
                <w:szCs w:val="21"/>
              </w:rPr>
              <w:br w:type="textWrapping"/>
            </w:r>
            <w:r>
              <w:rPr>
                <w:rFonts w:eastAsia="方正黑体_GBK"/>
                <w:kern w:val="0"/>
                <w:szCs w:val="21"/>
              </w:rPr>
              <w:t>（万元）</w:t>
            </w:r>
          </w:p>
        </w:tc>
        <w:tc>
          <w:tcPr>
            <w:tcW w:w="1480" w:type="dxa"/>
            <w:tcBorders>
              <w:top w:val="nil"/>
              <w:left w:val="nil"/>
              <w:bottom w:val="single" w:color="auto" w:sz="4" w:space="0"/>
              <w:right w:val="single" w:color="auto" w:sz="4" w:space="0"/>
            </w:tcBorders>
            <w:noWrap w:val="0"/>
            <w:vAlign w:val="center"/>
          </w:tcPr>
          <w:p>
            <w:pPr>
              <w:widowControl/>
              <w:spacing w:line="280" w:lineRule="exact"/>
              <w:jc w:val="center"/>
              <w:rPr>
                <w:rFonts w:eastAsia="方正黑体_GBK"/>
                <w:kern w:val="0"/>
                <w:szCs w:val="21"/>
              </w:rPr>
            </w:pPr>
            <w:r>
              <w:rPr>
                <w:rFonts w:eastAsia="方正黑体_GBK"/>
                <w:kern w:val="0"/>
                <w:szCs w:val="21"/>
              </w:rPr>
              <w:t>预计整改</w:t>
            </w:r>
          </w:p>
          <w:p>
            <w:pPr>
              <w:widowControl/>
              <w:spacing w:line="280" w:lineRule="exact"/>
              <w:jc w:val="center"/>
              <w:rPr>
                <w:rFonts w:eastAsia="方正黑体_GBK"/>
                <w:kern w:val="0"/>
                <w:szCs w:val="21"/>
              </w:rPr>
            </w:pPr>
            <w:r>
              <w:rPr>
                <w:rFonts w:eastAsia="方正黑体_GBK"/>
                <w:kern w:val="0"/>
                <w:szCs w:val="21"/>
              </w:rPr>
              <w:t>完成时间</w:t>
            </w:r>
          </w:p>
        </w:tc>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eastAsia="方正黑体_GBK"/>
                <w:kern w:val="0"/>
                <w:szCs w:val="21"/>
              </w:rPr>
            </w:pPr>
          </w:p>
        </w:tc>
      </w:tr>
      <w:tr>
        <w:tblPrEx>
          <w:tblCellMar>
            <w:top w:w="0" w:type="dxa"/>
            <w:left w:w="108" w:type="dxa"/>
            <w:bottom w:w="0" w:type="dxa"/>
            <w:right w:w="108" w:type="dxa"/>
          </w:tblCellMar>
        </w:tblPrEx>
        <w:trPr>
          <w:trHeight w:val="369" w:hRule="atLeast"/>
          <w:jc w:val="center"/>
        </w:trPr>
        <w:tc>
          <w:tcPr>
            <w:tcW w:w="376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方正黑体_GBK"/>
                <w:kern w:val="0"/>
                <w:szCs w:val="21"/>
              </w:rPr>
            </w:pPr>
            <w:r>
              <w:rPr>
                <w:rFonts w:eastAsia="方正黑体_GBK"/>
                <w:kern w:val="0"/>
                <w:szCs w:val="21"/>
              </w:rPr>
              <w:t>供水环节</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r>
      <w:tr>
        <w:trPr>
          <w:trHeight w:val="369"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一、建筑区划红线外接入工程收费</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69"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69"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69"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rPr>
          <w:trHeight w:val="369"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二、建筑区划红线内有关收费</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69"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69"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69"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rPr>
          <w:trHeight w:val="369"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三、已纳入定价成本的相关收费</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69"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69"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69"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rPr>
          <w:trHeight w:val="369"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四、其他不合理收费</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69"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69"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69"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rPr>
          <w:trHeight w:val="397" w:hRule="atLeast"/>
          <w:jc w:val="center"/>
        </w:trPr>
        <w:tc>
          <w:tcPr>
            <w:tcW w:w="376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方正黑体_GBK"/>
                <w:kern w:val="0"/>
                <w:szCs w:val="21"/>
              </w:rPr>
            </w:pPr>
            <w:r>
              <w:rPr>
                <w:rFonts w:eastAsia="方正黑体_GBK"/>
                <w:kern w:val="0"/>
                <w:szCs w:val="21"/>
              </w:rPr>
              <w:t>供电环节</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一、建筑区划红线外接入工程收费</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二、建筑区划红线内有关收费</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三、已纳入定价成本的相关收费</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四、非电网直供电主体不合理加价</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五、其他不合理收费</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eastAsia="方正黑体_GBK"/>
                <w:kern w:val="0"/>
                <w:szCs w:val="21"/>
              </w:rPr>
            </w:pPr>
            <w:r>
              <w:rPr>
                <w:rFonts w:eastAsia="方正黑体_GBK"/>
                <w:kern w:val="0"/>
                <w:szCs w:val="21"/>
              </w:rPr>
              <w:t>供气环节</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rFonts w:eastAsia="方正黑体_GBK"/>
                <w:kern w:val="0"/>
                <w:szCs w:val="21"/>
              </w:rPr>
            </w:pPr>
            <w:r>
              <w:rPr>
                <w:rFonts w:eastAsia="方正黑体_GBK"/>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ign w:val="center"/>
          </w:tcPr>
          <w:p>
            <w:pPr>
              <w:widowControl/>
              <w:spacing w:line="280" w:lineRule="exact"/>
              <w:jc w:val="left"/>
              <w:rPr>
                <w:kern w:val="0"/>
                <w:szCs w:val="21"/>
              </w:rPr>
            </w:pPr>
            <w:r>
              <w:rPr>
                <w:kern w:val="0"/>
                <w:szCs w:val="21"/>
              </w:rPr>
              <w:t>一、建筑区划红线外接入工程收费</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二、建筑区划红线内有关收费</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三、已纳入定价成本的相关收费</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四、其他不合理收费</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r>
        <w:tblPrEx>
          <w:tblCellMar>
            <w:top w:w="0" w:type="dxa"/>
            <w:left w:w="108" w:type="dxa"/>
            <w:bottom w:w="0" w:type="dxa"/>
            <w:right w:w="108" w:type="dxa"/>
          </w:tblCellMar>
        </w:tblPrEx>
        <w:trPr>
          <w:trHeight w:val="397" w:hRule="atLeast"/>
          <w:jc w:val="center"/>
        </w:trPr>
        <w:tc>
          <w:tcPr>
            <w:tcW w:w="376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kern w:val="0"/>
                <w:szCs w:val="21"/>
              </w:rPr>
            </w:pPr>
            <w:r>
              <w:rPr>
                <w:kern w:val="0"/>
                <w:szCs w:val="21"/>
              </w:rPr>
              <w:t>……</w:t>
            </w:r>
          </w:p>
        </w:tc>
        <w:tc>
          <w:tcPr>
            <w:tcW w:w="135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52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4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84"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117"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312"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1480"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c>
          <w:tcPr>
            <w:tcW w:w="695" w:type="dxa"/>
            <w:tcBorders>
              <w:top w:val="nil"/>
              <w:left w:val="nil"/>
              <w:bottom w:val="single" w:color="auto" w:sz="4" w:space="0"/>
              <w:right w:val="single" w:color="auto" w:sz="4" w:space="0"/>
            </w:tcBorders>
            <w:noWrap/>
            <w:vAlign w:val="center"/>
          </w:tcPr>
          <w:p>
            <w:pPr>
              <w:widowControl/>
              <w:spacing w:line="280" w:lineRule="exact"/>
              <w:jc w:val="left"/>
              <w:rPr>
                <w:kern w:val="0"/>
                <w:szCs w:val="21"/>
              </w:rPr>
            </w:pPr>
            <w:r>
              <w:rPr>
                <w:kern w:val="0"/>
                <w:szCs w:val="21"/>
              </w:rPr>
              <w:t>　</w:t>
            </w:r>
          </w:p>
        </w:tc>
      </w:tr>
    </w:tbl>
    <w:p>
      <w:pPr>
        <w:widowControl/>
        <w:spacing w:line="596" w:lineRule="exact"/>
        <w:jc w:val="left"/>
        <w:rPr>
          <w:rFonts w:eastAsia="仿宋_GB2312"/>
          <w:kern w:val="0"/>
          <w:sz w:val="32"/>
          <w:szCs w:val="32"/>
        </w:rPr>
      </w:pPr>
      <w:r>
        <w:rPr>
          <w:rFonts w:eastAsia="仿宋_GB2312"/>
          <w:sz w:val="32"/>
          <w:szCs w:val="32"/>
        </w:rPr>
        <w:br w:type="page"/>
      </w:r>
      <w:bookmarkStart w:id="1" w:name="RANGE!A1:J43"/>
      <w:r>
        <w:rPr>
          <w:rFonts w:hint="eastAsia" w:ascii="华文仿宋" w:hAnsi="华文仿宋" w:eastAsia="华文仿宋" w:cs="华文仿宋"/>
          <w:kern w:val="0"/>
          <w:sz w:val="32"/>
          <w:szCs w:val="32"/>
        </w:rPr>
        <w:t>附件2</w:t>
      </w:r>
      <w:bookmarkEnd w:id="1"/>
      <w:r>
        <w:rPr>
          <w:rFonts w:hint="eastAsia" w:ascii="华文仿宋" w:hAnsi="华文仿宋" w:eastAsia="华文仿宋" w:cs="华文仿宋"/>
          <w:kern w:val="0"/>
          <w:sz w:val="32"/>
          <w:szCs w:val="32"/>
        </w:rPr>
        <w:t xml:space="preserve"> </w:t>
      </w:r>
    </w:p>
    <w:p>
      <w:pPr>
        <w:widowControl/>
        <w:spacing w:after="156" w:afterLines="50" w:line="596" w:lineRule="exact"/>
        <w:jc w:val="center"/>
        <w:rPr>
          <w:rFonts w:eastAsia="仿宋_GB2312"/>
          <w:sz w:val="42"/>
          <w:szCs w:val="42"/>
        </w:rPr>
      </w:pPr>
      <w:r>
        <w:rPr>
          <w:rFonts w:eastAsia="方正小标宋_GBK"/>
          <w:kern w:val="0"/>
          <w:sz w:val="42"/>
          <w:szCs w:val="42"/>
        </w:rPr>
        <w:t>XX</w:t>
      </w:r>
      <w:r>
        <w:rPr>
          <w:rFonts w:hint="eastAsia" w:eastAsia="方正小标宋_GBK"/>
          <w:kern w:val="0"/>
          <w:sz w:val="42"/>
          <w:szCs w:val="42"/>
          <w:lang w:eastAsia="zh-CN"/>
        </w:rPr>
        <w:t>县市区</w:t>
      </w:r>
      <w:r>
        <w:rPr>
          <w:rFonts w:eastAsia="方正小标宋_GBK"/>
          <w:kern w:val="0"/>
          <w:sz w:val="42"/>
          <w:szCs w:val="42"/>
        </w:rPr>
        <w:t>问题自查自纠情况汇总表</w:t>
      </w:r>
    </w:p>
    <w:tbl>
      <w:tblPr>
        <w:tblStyle w:val="4"/>
        <w:tblW w:w="15183" w:type="dxa"/>
        <w:jc w:val="center"/>
        <w:tblLayout w:type="autofit"/>
        <w:tblCellMar>
          <w:top w:w="0" w:type="dxa"/>
          <w:left w:w="108" w:type="dxa"/>
          <w:bottom w:w="0" w:type="dxa"/>
          <w:right w:w="108" w:type="dxa"/>
        </w:tblCellMar>
      </w:tblPr>
      <w:tblGrid>
        <w:gridCol w:w="640"/>
        <w:gridCol w:w="6016"/>
        <w:gridCol w:w="1200"/>
        <w:gridCol w:w="1100"/>
        <w:gridCol w:w="1200"/>
        <w:gridCol w:w="1080"/>
        <w:gridCol w:w="1080"/>
        <w:gridCol w:w="1080"/>
        <w:gridCol w:w="1080"/>
        <w:gridCol w:w="707"/>
      </w:tblGrid>
      <w:tr>
        <w:tblPrEx>
          <w:tblCellMar>
            <w:top w:w="0" w:type="dxa"/>
            <w:left w:w="108" w:type="dxa"/>
            <w:bottom w:w="0" w:type="dxa"/>
            <w:right w:w="108" w:type="dxa"/>
          </w:tblCellMar>
        </w:tblPrEx>
        <w:trPr>
          <w:trHeight w:val="454" w:hRule="atLeast"/>
          <w:tblHeader/>
          <w:jc w:val="center"/>
        </w:trPr>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kern w:val="0"/>
                <w:szCs w:val="21"/>
              </w:rPr>
            </w:pPr>
            <w:r>
              <w:rPr>
                <w:rFonts w:ascii="黑体" w:hAnsi="黑体" w:eastAsia="黑体"/>
                <w:kern w:val="0"/>
                <w:szCs w:val="21"/>
              </w:rPr>
              <w:t>领域</w:t>
            </w:r>
          </w:p>
        </w:tc>
        <w:tc>
          <w:tcPr>
            <w:tcW w:w="60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kern w:val="0"/>
                <w:szCs w:val="21"/>
              </w:rPr>
            </w:pPr>
            <w:r>
              <w:rPr>
                <w:rFonts w:ascii="黑体" w:hAnsi="黑体" w:eastAsia="黑体"/>
                <w:kern w:val="0"/>
                <w:szCs w:val="21"/>
              </w:rPr>
              <w:t>问题类型</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kern w:val="0"/>
                <w:szCs w:val="21"/>
              </w:rPr>
            </w:pPr>
            <w:r>
              <w:rPr>
                <w:rFonts w:ascii="黑体" w:hAnsi="黑体" w:eastAsia="黑体"/>
                <w:kern w:val="0"/>
                <w:szCs w:val="21"/>
              </w:rPr>
              <w:t>问题个数（个）</w:t>
            </w: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kern w:val="0"/>
                <w:szCs w:val="21"/>
              </w:rPr>
            </w:pPr>
            <w:r>
              <w:rPr>
                <w:rFonts w:ascii="黑体" w:hAnsi="黑体" w:eastAsia="黑体"/>
                <w:kern w:val="0"/>
                <w:szCs w:val="21"/>
              </w:rPr>
              <w:t>涉及金额（万元）</w:t>
            </w:r>
          </w:p>
        </w:tc>
        <w:tc>
          <w:tcPr>
            <w:tcW w:w="120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黑体" w:hAnsi="黑体" w:eastAsia="黑体"/>
                <w:kern w:val="0"/>
                <w:szCs w:val="21"/>
              </w:rPr>
            </w:pPr>
            <w:r>
              <w:rPr>
                <w:rFonts w:ascii="黑体" w:hAnsi="黑体" w:eastAsia="黑体"/>
                <w:kern w:val="0"/>
                <w:szCs w:val="21"/>
              </w:rPr>
              <w:t>涉及企业数量</w:t>
            </w:r>
          </w:p>
          <w:p>
            <w:pPr>
              <w:widowControl/>
              <w:jc w:val="center"/>
              <w:rPr>
                <w:rFonts w:ascii="黑体" w:hAnsi="黑体" w:eastAsia="黑体"/>
                <w:kern w:val="0"/>
                <w:szCs w:val="21"/>
              </w:rPr>
            </w:pPr>
            <w:r>
              <w:rPr>
                <w:rFonts w:ascii="黑体" w:hAnsi="黑体" w:eastAsia="黑体"/>
                <w:kern w:val="0"/>
                <w:szCs w:val="21"/>
              </w:rPr>
              <w:t>（个）</w:t>
            </w:r>
          </w:p>
        </w:tc>
        <w:tc>
          <w:tcPr>
            <w:tcW w:w="2160" w:type="dxa"/>
            <w:gridSpan w:val="2"/>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kern w:val="0"/>
                <w:szCs w:val="21"/>
              </w:rPr>
            </w:pPr>
            <w:r>
              <w:rPr>
                <w:rFonts w:ascii="黑体" w:hAnsi="黑体" w:eastAsia="黑体"/>
                <w:kern w:val="0"/>
                <w:szCs w:val="21"/>
              </w:rPr>
              <w:t>其中：已整改</w:t>
            </w:r>
          </w:p>
        </w:tc>
        <w:tc>
          <w:tcPr>
            <w:tcW w:w="2160" w:type="dxa"/>
            <w:gridSpan w:val="2"/>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kern w:val="0"/>
                <w:szCs w:val="21"/>
              </w:rPr>
            </w:pPr>
            <w:r>
              <w:rPr>
                <w:rFonts w:ascii="黑体" w:hAnsi="黑体" w:eastAsia="黑体"/>
                <w:kern w:val="0"/>
                <w:szCs w:val="21"/>
              </w:rPr>
              <w:t>正在整改</w:t>
            </w:r>
          </w:p>
        </w:tc>
        <w:tc>
          <w:tcPr>
            <w:tcW w:w="7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kern w:val="0"/>
                <w:szCs w:val="21"/>
              </w:rPr>
            </w:pPr>
            <w:r>
              <w:rPr>
                <w:rFonts w:ascii="黑体" w:hAnsi="黑体" w:eastAsia="黑体"/>
                <w:kern w:val="0"/>
                <w:szCs w:val="21"/>
              </w:rPr>
              <w:t>备注</w:t>
            </w:r>
          </w:p>
        </w:tc>
      </w:tr>
      <w:tr>
        <w:tblPrEx>
          <w:tblCellMar>
            <w:top w:w="0" w:type="dxa"/>
            <w:left w:w="108" w:type="dxa"/>
            <w:bottom w:w="0" w:type="dxa"/>
            <w:right w:w="108" w:type="dxa"/>
          </w:tblCellMar>
        </w:tblPrEx>
        <w:trPr>
          <w:trHeight w:val="454" w:hRule="atLeast"/>
          <w:tblHeader/>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kern w:val="0"/>
                <w:szCs w:val="21"/>
              </w:rPr>
            </w:pPr>
          </w:p>
        </w:tc>
        <w:tc>
          <w:tcPr>
            <w:tcW w:w="60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kern w:val="0"/>
                <w:szCs w:val="21"/>
              </w:rPr>
            </w:pP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kern w:val="0"/>
                <w:szCs w:val="21"/>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kern w:val="0"/>
                <w:szCs w:val="21"/>
              </w:rPr>
            </w:pPr>
          </w:p>
        </w:tc>
        <w:tc>
          <w:tcPr>
            <w:tcW w:w="12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黑体" w:hAnsi="黑体" w:eastAsia="黑体"/>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黑体" w:hAnsi="黑体" w:eastAsia="黑体"/>
                <w:kern w:val="0"/>
                <w:szCs w:val="21"/>
              </w:rPr>
            </w:pPr>
            <w:r>
              <w:rPr>
                <w:rFonts w:ascii="黑体" w:hAnsi="黑体" w:eastAsia="黑体"/>
                <w:kern w:val="0"/>
                <w:szCs w:val="21"/>
              </w:rPr>
              <w:t>问题个数（个）</w:t>
            </w:r>
          </w:p>
        </w:tc>
        <w:tc>
          <w:tcPr>
            <w:tcW w:w="1080" w:type="dxa"/>
            <w:tcBorders>
              <w:top w:val="nil"/>
              <w:left w:val="nil"/>
              <w:bottom w:val="single" w:color="auto" w:sz="4" w:space="0"/>
              <w:right w:val="single" w:color="auto" w:sz="4" w:space="0"/>
            </w:tcBorders>
            <w:noWrap w:val="0"/>
            <w:vAlign w:val="center"/>
          </w:tcPr>
          <w:p>
            <w:pPr>
              <w:widowControl/>
              <w:jc w:val="center"/>
              <w:rPr>
                <w:rFonts w:ascii="黑体" w:hAnsi="黑体" w:eastAsia="黑体"/>
                <w:kern w:val="0"/>
                <w:szCs w:val="21"/>
              </w:rPr>
            </w:pPr>
            <w:r>
              <w:rPr>
                <w:rFonts w:ascii="黑体" w:hAnsi="黑体" w:eastAsia="黑体"/>
                <w:kern w:val="0"/>
                <w:szCs w:val="21"/>
              </w:rPr>
              <w:t>涉及金额（万元）</w:t>
            </w:r>
          </w:p>
        </w:tc>
        <w:tc>
          <w:tcPr>
            <w:tcW w:w="1080" w:type="dxa"/>
            <w:tcBorders>
              <w:top w:val="nil"/>
              <w:left w:val="nil"/>
              <w:bottom w:val="single" w:color="auto" w:sz="4" w:space="0"/>
              <w:right w:val="single" w:color="auto" w:sz="4" w:space="0"/>
            </w:tcBorders>
            <w:noWrap w:val="0"/>
            <w:vAlign w:val="center"/>
          </w:tcPr>
          <w:p>
            <w:pPr>
              <w:widowControl/>
              <w:jc w:val="center"/>
              <w:rPr>
                <w:rFonts w:ascii="黑体" w:hAnsi="黑体" w:eastAsia="黑体"/>
                <w:kern w:val="0"/>
                <w:szCs w:val="21"/>
              </w:rPr>
            </w:pPr>
            <w:r>
              <w:rPr>
                <w:rFonts w:ascii="黑体" w:hAnsi="黑体" w:eastAsia="黑体"/>
                <w:kern w:val="0"/>
                <w:szCs w:val="21"/>
              </w:rPr>
              <w:t>问题个数（个）</w:t>
            </w:r>
          </w:p>
        </w:tc>
        <w:tc>
          <w:tcPr>
            <w:tcW w:w="1080" w:type="dxa"/>
            <w:tcBorders>
              <w:top w:val="nil"/>
              <w:left w:val="nil"/>
              <w:bottom w:val="single" w:color="auto" w:sz="4" w:space="0"/>
              <w:right w:val="single" w:color="auto" w:sz="4" w:space="0"/>
            </w:tcBorders>
            <w:noWrap w:val="0"/>
            <w:vAlign w:val="center"/>
          </w:tcPr>
          <w:p>
            <w:pPr>
              <w:widowControl/>
              <w:jc w:val="center"/>
              <w:rPr>
                <w:rFonts w:ascii="黑体" w:hAnsi="黑体" w:eastAsia="黑体"/>
                <w:kern w:val="0"/>
                <w:szCs w:val="21"/>
              </w:rPr>
            </w:pPr>
            <w:r>
              <w:rPr>
                <w:rFonts w:ascii="黑体" w:hAnsi="黑体" w:eastAsia="黑体"/>
                <w:kern w:val="0"/>
                <w:szCs w:val="21"/>
              </w:rPr>
              <w:t>涉及金额（万元）</w:t>
            </w:r>
          </w:p>
        </w:tc>
        <w:tc>
          <w:tcPr>
            <w:tcW w:w="7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kern w:val="0"/>
                <w:szCs w:val="21"/>
              </w:rPr>
            </w:pPr>
          </w:p>
        </w:tc>
      </w:tr>
      <w:tr>
        <w:tblPrEx>
          <w:tblCellMar>
            <w:top w:w="0" w:type="dxa"/>
            <w:left w:w="108" w:type="dxa"/>
            <w:bottom w:w="0" w:type="dxa"/>
            <w:right w:w="108" w:type="dxa"/>
          </w:tblCellMar>
        </w:tblPrEx>
        <w:trPr>
          <w:trHeight w:val="454" w:hRule="atLeast"/>
          <w:jc w:val="center"/>
        </w:trPr>
        <w:tc>
          <w:tcPr>
            <w:tcW w:w="6656"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eastAsia="方正黑体_GBK"/>
                <w:kern w:val="0"/>
                <w:szCs w:val="21"/>
              </w:rPr>
            </w:pPr>
            <w:r>
              <w:rPr>
                <w:rFonts w:eastAsia="方正黑体_GBK"/>
                <w:kern w:val="0"/>
                <w:szCs w:val="21"/>
              </w:rPr>
              <w:t>合计</w:t>
            </w:r>
          </w:p>
        </w:tc>
        <w:tc>
          <w:tcPr>
            <w:tcW w:w="1200" w:type="dxa"/>
            <w:tcBorders>
              <w:top w:val="nil"/>
              <w:left w:val="nil"/>
              <w:bottom w:val="single" w:color="auto" w:sz="4" w:space="0"/>
              <w:right w:val="single" w:color="auto" w:sz="4" w:space="0"/>
            </w:tcBorders>
            <w:noWrap w:val="0"/>
            <w:vAlign w:val="center"/>
          </w:tcPr>
          <w:p>
            <w:pPr>
              <w:widowControl/>
              <w:jc w:val="center"/>
              <w:rPr>
                <w:rFonts w:eastAsia="方正黑体_GBK"/>
                <w:kern w:val="0"/>
                <w:szCs w:val="21"/>
              </w:rPr>
            </w:pPr>
            <w:r>
              <w:rPr>
                <w:rFonts w:eastAsia="方正黑体_GBK"/>
                <w:kern w:val="0"/>
                <w:szCs w:val="21"/>
              </w:rPr>
              <w:t>　</w:t>
            </w:r>
          </w:p>
        </w:tc>
        <w:tc>
          <w:tcPr>
            <w:tcW w:w="1100" w:type="dxa"/>
            <w:tcBorders>
              <w:top w:val="nil"/>
              <w:left w:val="nil"/>
              <w:bottom w:val="single" w:color="auto" w:sz="4" w:space="0"/>
              <w:right w:val="single" w:color="auto" w:sz="4" w:space="0"/>
            </w:tcBorders>
            <w:noWrap w:val="0"/>
            <w:vAlign w:val="center"/>
          </w:tcPr>
          <w:p>
            <w:pPr>
              <w:widowControl/>
              <w:jc w:val="center"/>
              <w:rPr>
                <w:rFonts w:eastAsia="方正黑体_GBK"/>
                <w:kern w:val="0"/>
                <w:szCs w:val="21"/>
              </w:rPr>
            </w:pPr>
            <w:r>
              <w:rPr>
                <w:rFonts w:eastAsia="方正黑体_GBK"/>
                <w:kern w:val="0"/>
                <w:szCs w:val="21"/>
              </w:rPr>
              <w:t>　</w:t>
            </w:r>
          </w:p>
        </w:tc>
        <w:tc>
          <w:tcPr>
            <w:tcW w:w="1200" w:type="dxa"/>
            <w:tcBorders>
              <w:top w:val="nil"/>
              <w:left w:val="nil"/>
              <w:bottom w:val="single" w:color="auto" w:sz="4" w:space="0"/>
              <w:right w:val="single" w:color="auto" w:sz="4" w:space="0"/>
            </w:tcBorders>
            <w:noWrap w:val="0"/>
            <w:vAlign w:val="center"/>
          </w:tcPr>
          <w:p>
            <w:pPr>
              <w:widowControl/>
              <w:jc w:val="center"/>
              <w:rPr>
                <w:rFonts w:eastAsia="方正黑体_GBK"/>
                <w:kern w:val="0"/>
                <w:szCs w:val="21"/>
              </w:rPr>
            </w:pPr>
            <w:r>
              <w:rPr>
                <w:rFonts w:eastAsia="方正黑体_GBK"/>
                <w:kern w:val="0"/>
                <w:szCs w:val="21"/>
              </w:rPr>
              <w:t>　</w:t>
            </w:r>
          </w:p>
        </w:tc>
        <w:tc>
          <w:tcPr>
            <w:tcW w:w="1080" w:type="dxa"/>
            <w:tcBorders>
              <w:top w:val="nil"/>
              <w:left w:val="nil"/>
              <w:bottom w:val="single" w:color="auto" w:sz="4" w:space="0"/>
              <w:right w:val="single" w:color="auto" w:sz="4" w:space="0"/>
            </w:tcBorders>
            <w:noWrap w:val="0"/>
            <w:vAlign w:val="center"/>
          </w:tcPr>
          <w:p>
            <w:pPr>
              <w:widowControl/>
              <w:jc w:val="center"/>
              <w:rPr>
                <w:rFonts w:eastAsia="方正黑体_GBK"/>
                <w:kern w:val="0"/>
                <w:szCs w:val="21"/>
              </w:rPr>
            </w:pPr>
            <w:r>
              <w:rPr>
                <w:rFonts w:eastAsia="方正黑体_GBK"/>
                <w:kern w:val="0"/>
                <w:szCs w:val="21"/>
              </w:rPr>
              <w:t>　</w:t>
            </w:r>
          </w:p>
        </w:tc>
        <w:tc>
          <w:tcPr>
            <w:tcW w:w="1080" w:type="dxa"/>
            <w:tcBorders>
              <w:top w:val="nil"/>
              <w:left w:val="nil"/>
              <w:bottom w:val="single" w:color="auto" w:sz="4" w:space="0"/>
              <w:right w:val="single" w:color="auto" w:sz="4" w:space="0"/>
            </w:tcBorders>
            <w:noWrap w:val="0"/>
            <w:vAlign w:val="center"/>
          </w:tcPr>
          <w:p>
            <w:pPr>
              <w:widowControl/>
              <w:jc w:val="center"/>
              <w:rPr>
                <w:rFonts w:eastAsia="方正黑体_GBK"/>
                <w:kern w:val="0"/>
                <w:szCs w:val="21"/>
              </w:rPr>
            </w:pPr>
            <w:r>
              <w:rPr>
                <w:rFonts w:eastAsia="方正黑体_GBK"/>
                <w:kern w:val="0"/>
                <w:szCs w:val="21"/>
              </w:rPr>
              <w:t>　</w:t>
            </w:r>
          </w:p>
        </w:tc>
        <w:tc>
          <w:tcPr>
            <w:tcW w:w="1080" w:type="dxa"/>
            <w:tcBorders>
              <w:top w:val="nil"/>
              <w:left w:val="nil"/>
              <w:bottom w:val="single" w:color="auto" w:sz="4" w:space="0"/>
              <w:right w:val="single" w:color="auto" w:sz="4" w:space="0"/>
            </w:tcBorders>
            <w:noWrap w:val="0"/>
            <w:vAlign w:val="center"/>
          </w:tcPr>
          <w:p>
            <w:pPr>
              <w:widowControl/>
              <w:jc w:val="center"/>
              <w:rPr>
                <w:rFonts w:eastAsia="方正黑体_GBK"/>
                <w:kern w:val="0"/>
                <w:szCs w:val="21"/>
              </w:rPr>
            </w:pPr>
            <w:r>
              <w:rPr>
                <w:rFonts w:eastAsia="方正黑体_GBK"/>
                <w:kern w:val="0"/>
                <w:szCs w:val="21"/>
              </w:rPr>
              <w:t>　</w:t>
            </w:r>
          </w:p>
        </w:tc>
        <w:tc>
          <w:tcPr>
            <w:tcW w:w="1080" w:type="dxa"/>
            <w:tcBorders>
              <w:top w:val="nil"/>
              <w:left w:val="nil"/>
              <w:bottom w:val="single" w:color="auto" w:sz="4" w:space="0"/>
              <w:right w:val="single" w:color="auto" w:sz="4" w:space="0"/>
            </w:tcBorders>
            <w:noWrap w:val="0"/>
            <w:vAlign w:val="center"/>
          </w:tcPr>
          <w:p>
            <w:pPr>
              <w:widowControl/>
              <w:jc w:val="center"/>
              <w:rPr>
                <w:rFonts w:eastAsia="方正黑体_GBK"/>
                <w:kern w:val="0"/>
                <w:szCs w:val="21"/>
              </w:rPr>
            </w:pPr>
            <w:r>
              <w:rPr>
                <w:rFonts w:eastAsia="方正黑体_GBK"/>
                <w:kern w:val="0"/>
                <w:szCs w:val="21"/>
              </w:rPr>
              <w:t>　</w:t>
            </w:r>
          </w:p>
        </w:tc>
        <w:tc>
          <w:tcPr>
            <w:tcW w:w="707" w:type="dxa"/>
            <w:tcBorders>
              <w:top w:val="nil"/>
              <w:left w:val="nil"/>
              <w:bottom w:val="single" w:color="auto" w:sz="4" w:space="0"/>
              <w:right w:val="single" w:color="auto" w:sz="4" w:space="0"/>
            </w:tcBorders>
            <w:noWrap w:val="0"/>
            <w:vAlign w:val="center"/>
          </w:tcPr>
          <w:p>
            <w:pPr>
              <w:widowControl/>
              <w:jc w:val="center"/>
              <w:rPr>
                <w:rFonts w:eastAsia="方正黑体_GBK"/>
                <w:kern w:val="0"/>
                <w:szCs w:val="21"/>
              </w:rPr>
            </w:pPr>
            <w:r>
              <w:rPr>
                <w:rFonts w:eastAsia="方正黑体_GBK"/>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restart"/>
            <w:tcBorders>
              <w:top w:val="nil"/>
              <w:left w:val="single" w:color="auto" w:sz="4" w:space="0"/>
              <w:bottom w:val="single" w:color="auto" w:sz="4" w:space="0"/>
              <w:right w:val="single" w:color="auto" w:sz="4" w:space="0"/>
            </w:tcBorders>
            <w:noWrap w:val="0"/>
            <w:vAlign w:val="center"/>
          </w:tcPr>
          <w:p>
            <w:pPr>
              <w:widowControl/>
              <w:jc w:val="center"/>
              <w:rPr>
                <w:b/>
                <w:bCs/>
                <w:kern w:val="0"/>
                <w:szCs w:val="21"/>
              </w:rPr>
            </w:pPr>
            <w:r>
              <w:rPr>
                <w:b/>
                <w:bCs/>
                <w:kern w:val="0"/>
                <w:szCs w:val="21"/>
              </w:rPr>
              <w:t>供水环节</w:t>
            </w:r>
          </w:p>
        </w:tc>
        <w:tc>
          <w:tcPr>
            <w:tcW w:w="6016" w:type="dxa"/>
            <w:tcBorders>
              <w:top w:val="nil"/>
              <w:left w:val="nil"/>
              <w:bottom w:val="single" w:color="auto" w:sz="4" w:space="0"/>
              <w:right w:val="single" w:color="auto" w:sz="4" w:space="0"/>
            </w:tcBorders>
            <w:noWrap/>
            <w:vAlign w:val="center"/>
          </w:tcPr>
          <w:p>
            <w:pPr>
              <w:widowControl/>
              <w:jc w:val="center"/>
              <w:rPr>
                <w:b/>
                <w:bCs/>
                <w:kern w:val="0"/>
                <w:szCs w:val="21"/>
              </w:rPr>
            </w:pPr>
            <w:r>
              <w:rPr>
                <w:b/>
                <w:bCs/>
                <w:kern w:val="0"/>
                <w:szCs w:val="21"/>
              </w:rPr>
              <w:t>小计</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jc w:val="left"/>
              <w:rPr>
                <w:b/>
                <w:bCs/>
                <w:kern w:val="0"/>
                <w:szCs w:val="21"/>
              </w:rPr>
            </w:pP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（一）违规收取接入工程费用，包括无合法有效政策依据以入网费、集中管网建设费、并网配套费等名目收取专项建设费用</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jc w:val="left"/>
              <w:rPr>
                <w:b/>
                <w:bCs/>
                <w:kern w:val="0"/>
                <w:szCs w:val="21"/>
              </w:rPr>
            </w:pP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（二）违规收取庭院供水管网开发建设费用或配套设施建设安装费</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jc w:val="left"/>
              <w:rPr>
                <w:b/>
                <w:bCs/>
                <w:kern w:val="0"/>
                <w:szCs w:val="21"/>
              </w:rPr>
            </w:pP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（三）违规收取已要求统一纳入房屋开发建设成本的费用</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jc w:val="left"/>
              <w:rPr>
                <w:b/>
                <w:bCs/>
                <w:kern w:val="0"/>
                <w:szCs w:val="21"/>
              </w:rPr>
            </w:pP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（四）利用垄断地位以各种形式、名目收取不合理费用</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jc w:val="left"/>
              <w:rPr>
                <w:b/>
                <w:bCs/>
                <w:kern w:val="0"/>
                <w:szCs w:val="21"/>
              </w:rPr>
            </w:pP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（五）违规收取计量装置费用、对供水计量装置强制检定收费</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jc w:val="left"/>
              <w:rPr>
                <w:b/>
                <w:bCs/>
                <w:kern w:val="0"/>
                <w:szCs w:val="21"/>
              </w:rPr>
            </w:pPr>
          </w:p>
        </w:tc>
        <w:tc>
          <w:tcPr>
            <w:tcW w:w="6016" w:type="dxa"/>
            <w:tcBorders>
              <w:top w:val="nil"/>
              <w:left w:val="nil"/>
              <w:bottom w:val="nil"/>
              <w:right w:val="single" w:color="auto" w:sz="4" w:space="0"/>
            </w:tcBorders>
            <w:noWrap w:val="0"/>
            <w:vAlign w:val="center"/>
          </w:tcPr>
          <w:p>
            <w:pPr>
              <w:widowControl/>
              <w:jc w:val="left"/>
              <w:rPr>
                <w:kern w:val="0"/>
                <w:szCs w:val="21"/>
              </w:rPr>
            </w:pPr>
            <w:r>
              <w:rPr>
                <w:kern w:val="0"/>
                <w:szCs w:val="21"/>
              </w:rPr>
              <w:t>（六）向用户供水时，以水价为基础加收额外费用</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jc w:val="left"/>
              <w:rPr>
                <w:b/>
                <w:bCs/>
                <w:kern w:val="0"/>
                <w:szCs w:val="21"/>
              </w:rPr>
            </w:pPr>
          </w:p>
        </w:tc>
        <w:tc>
          <w:tcPr>
            <w:tcW w:w="6016" w:type="dxa"/>
            <w:tcBorders>
              <w:top w:val="single" w:color="auto" w:sz="4" w:space="0"/>
              <w:left w:val="nil"/>
              <w:bottom w:val="nil"/>
              <w:right w:val="single" w:color="auto" w:sz="4" w:space="0"/>
            </w:tcBorders>
            <w:noWrap w:val="0"/>
            <w:vAlign w:val="center"/>
          </w:tcPr>
          <w:p>
            <w:pPr>
              <w:widowControl/>
              <w:jc w:val="left"/>
              <w:rPr>
                <w:kern w:val="0"/>
                <w:szCs w:val="21"/>
              </w:rPr>
            </w:pPr>
            <w:r>
              <w:rPr>
                <w:kern w:val="0"/>
                <w:szCs w:val="21"/>
              </w:rPr>
              <w:t>（七）在收费清单外收取其他费用</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jc w:val="left"/>
              <w:rPr>
                <w:b/>
                <w:bCs/>
                <w:kern w:val="0"/>
                <w:szCs w:val="21"/>
              </w:rPr>
            </w:pPr>
          </w:p>
        </w:tc>
        <w:tc>
          <w:tcPr>
            <w:tcW w:w="6016" w:type="dxa"/>
            <w:tcBorders>
              <w:top w:val="single" w:color="auto" w:sz="4" w:space="0"/>
              <w:left w:val="nil"/>
              <w:bottom w:val="single" w:color="auto" w:sz="4" w:space="0"/>
              <w:right w:val="single" w:color="auto" w:sz="4" w:space="0"/>
            </w:tcBorders>
            <w:noWrap w:val="0"/>
            <w:vAlign w:val="center"/>
          </w:tcPr>
          <w:p>
            <w:pPr>
              <w:widowControl/>
              <w:jc w:val="left"/>
              <w:rPr>
                <w:kern w:val="0"/>
                <w:szCs w:val="21"/>
              </w:rPr>
            </w:pPr>
            <w:r>
              <w:rPr>
                <w:kern w:val="0"/>
                <w:szCs w:val="21"/>
              </w:rPr>
              <w:t>（八）其他</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restart"/>
            <w:tcBorders>
              <w:top w:val="nil"/>
              <w:left w:val="single" w:color="auto" w:sz="4" w:space="0"/>
              <w:bottom w:val="single" w:color="000000" w:sz="4" w:space="0"/>
              <w:right w:val="single" w:color="auto" w:sz="4" w:space="0"/>
            </w:tcBorders>
            <w:noWrap w:val="0"/>
            <w:vAlign w:val="center"/>
          </w:tcPr>
          <w:p>
            <w:pPr>
              <w:widowControl/>
              <w:jc w:val="center"/>
              <w:rPr>
                <w:b/>
                <w:bCs/>
                <w:kern w:val="0"/>
                <w:szCs w:val="21"/>
              </w:rPr>
            </w:pPr>
            <w:r>
              <w:rPr>
                <w:b/>
                <w:bCs/>
                <w:kern w:val="0"/>
                <w:szCs w:val="21"/>
              </w:rPr>
              <w:t>供电环节</w:t>
            </w:r>
          </w:p>
        </w:tc>
        <w:tc>
          <w:tcPr>
            <w:tcW w:w="6016" w:type="dxa"/>
            <w:tcBorders>
              <w:top w:val="nil"/>
              <w:left w:val="nil"/>
              <w:bottom w:val="single" w:color="auto" w:sz="4" w:space="0"/>
              <w:right w:val="single" w:color="auto" w:sz="4" w:space="0"/>
            </w:tcBorders>
            <w:noWrap/>
            <w:vAlign w:val="center"/>
          </w:tcPr>
          <w:p>
            <w:pPr>
              <w:widowControl/>
              <w:jc w:val="center"/>
              <w:rPr>
                <w:b/>
                <w:bCs/>
                <w:kern w:val="0"/>
                <w:szCs w:val="21"/>
              </w:rPr>
            </w:pPr>
            <w:r>
              <w:rPr>
                <w:b/>
                <w:bCs/>
                <w:kern w:val="0"/>
                <w:szCs w:val="21"/>
              </w:rPr>
              <w:t>小计</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top w:val="nil"/>
              <w:left w:val="single" w:color="auto" w:sz="4" w:space="0"/>
              <w:bottom w:val="single" w:color="000000" w:sz="4" w:space="0"/>
              <w:right w:val="single" w:color="auto" w:sz="4" w:space="0"/>
            </w:tcBorders>
            <w:noWrap w:val="0"/>
            <w:vAlign w:val="center"/>
          </w:tcPr>
          <w:p>
            <w:pPr>
              <w:widowControl/>
              <w:jc w:val="left"/>
              <w:rPr>
                <w:b/>
                <w:bCs/>
                <w:kern w:val="0"/>
                <w:szCs w:val="21"/>
              </w:rPr>
            </w:pP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（一）违规收取接入工程费用，包括无合法有效政策依据以入网费、集中管网建设费、并网配套费等名目收取专项建设费用</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top w:val="nil"/>
              <w:left w:val="single" w:color="auto" w:sz="4" w:space="0"/>
              <w:bottom w:val="single" w:color="000000" w:sz="4" w:space="0"/>
              <w:right w:val="single" w:color="auto" w:sz="4" w:space="0"/>
            </w:tcBorders>
            <w:noWrap w:val="0"/>
            <w:vAlign w:val="center"/>
          </w:tcPr>
          <w:p>
            <w:pPr>
              <w:widowControl/>
              <w:jc w:val="left"/>
              <w:rPr>
                <w:b/>
                <w:bCs/>
                <w:kern w:val="0"/>
                <w:szCs w:val="21"/>
              </w:rPr>
            </w:pP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（二）违规收取建筑区划红线内供电管网开发建设费用</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restart"/>
            <w:tcBorders>
              <w:top w:val="nil"/>
              <w:left w:val="single" w:color="auto" w:sz="4" w:space="0"/>
              <w:bottom w:val="single" w:color="000000" w:sz="4" w:space="0"/>
              <w:right w:val="single" w:color="auto" w:sz="4" w:space="0"/>
            </w:tcBorders>
            <w:noWrap w:val="0"/>
            <w:vAlign w:val="center"/>
          </w:tcPr>
          <w:p>
            <w:pPr>
              <w:widowControl/>
              <w:jc w:val="center"/>
              <w:rPr>
                <w:b/>
                <w:bCs/>
                <w:kern w:val="0"/>
                <w:szCs w:val="21"/>
              </w:rPr>
            </w:pPr>
            <w:r>
              <w:rPr>
                <w:b/>
                <w:bCs/>
                <w:kern w:val="0"/>
                <w:szCs w:val="21"/>
              </w:rPr>
              <w:t>供电环节</w:t>
            </w: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（三）违规收取已要求统一纳入房屋开发建设成本的费用</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top w:val="nil"/>
              <w:left w:val="single" w:color="auto" w:sz="4" w:space="0"/>
              <w:bottom w:val="single" w:color="000000" w:sz="4" w:space="0"/>
              <w:right w:val="single" w:color="auto" w:sz="4" w:space="0"/>
            </w:tcBorders>
            <w:noWrap w:val="0"/>
            <w:vAlign w:val="center"/>
          </w:tcPr>
          <w:p>
            <w:pPr>
              <w:widowControl/>
              <w:jc w:val="left"/>
              <w:rPr>
                <w:b/>
                <w:bCs/>
                <w:kern w:val="0"/>
                <w:szCs w:val="21"/>
              </w:rPr>
            </w:pP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（四）利用垄断地位以各种形式、名目收取不合理费用</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top w:val="nil"/>
              <w:left w:val="single" w:color="auto" w:sz="4" w:space="0"/>
              <w:bottom w:val="single" w:color="000000" w:sz="4" w:space="0"/>
              <w:right w:val="single" w:color="auto" w:sz="4" w:space="0"/>
            </w:tcBorders>
            <w:noWrap w:val="0"/>
            <w:vAlign w:val="center"/>
          </w:tcPr>
          <w:p>
            <w:pPr>
              <w:widowControl/>
              <w:jc w:val="left"/>
              <w:rPr>
                <w:b/>
                <w:bCs/>
                <w:kern w:val="0"/>
                <w:szCs w:val="21"/>
              </w:rPr>
            </w:pP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（五）违规收取计量装置费用、对供电计量装置强制检定收费</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top w:val="nil"/>
              <w:left w:val="single" w:color="auto" w:sz="4" w:space="0"/>
              <w:bottom w:val="single" w:color="000000" w:sz="4" w:space="0"/>
              <w:right w:val="single" w:color="auto" w:sz="4" w:space="0"/>
            </w:tcBorders>
            <w:noWrap w:val="0"/>
            <w:vAlign w:val="center"/>
          </w:tcPr>
          <w:p>
            <w:pPr>
              <w:widowControl/>
              <w:jc w:val="left"/>
              <w:rPr>
                <w:b/>
                <w:bCs/>
                <w:kern w:val="0"/>
                <w:szCs w:val="21"/>
              </w:rPr>
            </w:pP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（六）向终端用户供电时，将自用电费或公共部位、共用设施、配套设施的用电电费、运行维护费等费用在电费中加价</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top w:val="nil"/>
              <w:left w:val="single" w:color="auto" w:sz="4" w:space="0"/>
              <w:bottom w:val="single" w:color="000000" w:sz="4" w:space="0"/>
              <w:right w:val="single" w:color="auto" w:sz="4" w:space="0"/>
            </w:tcBorders>
            <w:noWrap w:val="0"/>
            <w:vAlign w:val="center"/>
          </w:tcPr>
          <w:p>
            <w:pPr>
              <w:widowControl/>
              <w:jc w:val="left"/>
              <w:rPr>
                <w:b/>
                <w:bCs/>
                <w:kern w:val="0"/>
                <w:szCs w:val="21"/>
              </w:rPr>
            </w:pP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（七）向终端用户供电时，超过当地规定的允许最大上浮幅度在电费中加价</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top w:val="nil"/>
              <w:left w:val="single" w:color="auto" w:sz="4" w:space="0"/>
              <w:bottom w:val="single" w:color="000000" w:sz="4" w:space="0"/>
              <w:right w:val="single" w:color="auto" w:sz="4" w:space="0"/>
            </w:tcBorders>
            <w:noWrap w:val="0"/>
            <w:vAlign w:val="center"/>
          </w:tcPr>
          <w:p>
            <w:pPr>
              <w:widowControl/>
              <w:jc w:val="left"/>
              <w:rPr>
                <w:b/>
                <w:bCs/>
                <w:kern w:val="0"/>
                <w:szCs w:val="21"/>
              </w:rPr>
            </w:pP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（八）在收费清单外收取其他费用</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top w:val="nil"/>
              <w:left w:val="single" w:color="auto" w:sz="4" w:space="0"/>
              <w:bottom w:val="single" w:color="000000" w:sz="4" w:space="0"/>
              <w:right w:val="single" w:color="auto" w:sz="4" w:space="0"/>
            </w:tcBorders>
            <w:noWrap w:val="0"/>
            <w:vAlign w:val="center"/>
          </w:tcPr>
          <w:p>
            <w:pPr>
              <w:widowControl/>
              <w:jc w:val="left"/>
              <w:rPr>
                <w:b/>
                <w:bCs/>
                <w:kern w:val="0"/>
                <w:szCs w:val="21"/>
              </w:rPr>
            </w:pP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（九）其他</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restart"/>
            <w:tcBorders>
              <w:top w:val="nil"/>
              <w:left w:val="single" w:color="auto" w:sz="4" w:space="0"/>
              <w:right w:val="single" w:color="auto" w:sz="4" w:space="0"/>
            </w:tcBorders>
            <w:noWrap w:val="0"/>
            <w:vAlign w:val="center"/>
          </w:tcPr>
          <w:p>
            <w:pPr>
              <w:widowControl/>
              <w:jc w:val="center"/>
              <w:rPr>
                <w:b/>
                <w:bCs/>
                <w:kern w:val="0"/>
                <w:szCs w:val="21"/>
              </w:rPr>
            </w:pPr>
            <w:r>
              <w:rPr>
                <w:b/>
                <w:bCs/>
                <w:kern w:val="0"/>
                <w:szCs w:val="21"/>
              </w:rPr>
              <w:t>供气环节</w:t>
            </w:r>
          </w:p>
        </w:tc>
        <w:tc>
          <w:tcPr>
            <w:tcW w:w="6016" w:type="dxa"/>
            <w:tcBorders>
              <w:top w:val="nil"/>
              <w:left w:val="nil"/>
              <w:bottom w:val="single" w:color="auto" w:sz="4" w:space="0"/>
              <w:right w:val="single" w:color="auto" w:sz="4" w:space="0"/>
            </w:tcBorders>
            <w:noWrap w:val="0"/>
            <w:vAlign w:val="center"/>
          </w:tcPr>
          <w:p>
            <w:pPr>
              <w:widowControl/>
              <w:jc w:val="center"/>
              <w:rPr>
                <w:b/>
                <w:bCs/>
                <w:kern w:val="0"/>
                <w:szCs w:val="21"/>
              </w:rPr>
            </w:pPr>
            <w:r>
              <w:rPr>
                <w:b/>
                <w:bCs/>
                <w:kern w:val="0"/>
                <w:szCs w:val="21"/>
              </w:rPr>
              <w:t>小计</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left w:val="single" w:color="auto" w:sz="4" w:space="0"/>
              <w:right w:val="single" w:color="auto" w:sz="4" w:space="0"/>
            </w:tcBorders>
            <w:noWrap w:val="0"/>
            <w:vAlign w:val="center"/>
          </w:tcPr>
          <w:p>
            <w:pPr>
              <w:widowControl/>
              <w:jc w:val="left"/>
              <w:rPr>
                <w:b/>
                <w:bCs/>
                <w:kern w:val="0"/>
                <w:szCs w:val="21"/>
              </w:rPr>
            </w:pP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（一）违规收取与建筑区划红线内燃气工程安装设计、施工等服务和材料不相关的费用，包括开口费、接口费、接入费、入网费、清管费、通气费、点火费等类似费用</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left w:val="single" w:color="auto" w:sz="4" w:space="0"/>
              <w:right w:val="single" w:color="auto" w:sz="4" w:space="0"/>
            </w:tcBorders>
            <w:noWrap w:val="0"/>
            <w:vAlign w:val="center"/>
          </w:tcPr>
          <w:p>
            <w:pPr>
              <w:widowControl/>
              <w:jc w:val="left"/>
              <w:rPr>
                <w:b/>
                <w:bCs/>
                <w:kern w:val="0"/>
                <w:szCs w:val="21"/>
              </w:rPr>
            </w:pP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（二）违规收取涉及建筑区划红线外市政管网资产的增压费、增容费等</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left w:val="single" w:color="auto" w:sz="4" w:space="0"/>
              <w:right w:val="single" w:color="auto" w:sz="4" w:space="0"/>
            </w:tcBorders>
            <w:noWrap w:val="0"/>
            <w:vAlign w:val="center"/>
          </w:tcPr>
          <w:p>
            <w:pPr>
              <w:widowControl/>
              <w:jc w:val="left"/>
              <w:rPr>
                <w:b/>
                <w:bCs/>
                <w:kern w:val="0"/>
                <w:szCs w:val="21"/>
              </w:rPr>
            </w:pP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（三）违规收取涉及市政管网到建筑区划红线连接的初装费、接驳费、开通费等费用</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left w:val="single" w:color="auto" w:sz="4" w:space="0"/>
              <w:right w:val="single" w:color="auto" w:sz="4" w:space="0"/>
            </w:tcBorders>
            <w:noWrap w:val="0"/>
            <w:vAlign w:val="center"/>
          </w:tcPr>
          <w:p>
            <w:pPr>
              <w:widowControl/>
              <w:jc w:val="left"/>
              <w:rPr>
                <w:b/>
                <w:bCs/>
                <w:kern w:val="0"/>
                <w:szCs w:val="21"/>
              </w:rPr>
            </w:pP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（四）违规收取已要求统一纳入房屋开发建设成本的费用</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left w:val="single" w:color="auto" w:sz="4" w:space="0"/>
              <w:right w:val="single" w:color="auto" w:sz="4" w:space="0"/>
            </w:tcBorders>
            <w:noWrap w:val="0"/>
            <w:vAlign w:val="center"/>
          </w:tcPr>
          <w:p>
            <w:pPr>
              <w:widowControl/>
              <w:jc w:val="left"/>
              <w:rPr>
                <w:b/>
                <w:bCs/>
                <w:kern w:val="0"/>
                <w:szCs w:val="21"/>
              </w:rPr>
            </w:pP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（五）利用垄断地位以各种形式、名目收取不合理费用</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left w:val="single" w:color="auto" w:sz="4" w:space="0"/>
              <w:bottom w:val="single" w:color="auto" w:sz="4" w:space="0"/>
              <w:right w:val="single" w:color="auto" w:sz="4" w:space="0"/>
            </w:tcBorders>
            <w:noWrap w:val="0"/>
            <w:vAlign w:val="center"/>
          </w:tcPr>
          <w:p>
            <w:pPr>
              <w:widowControl/>
              <w:jc w:val="left"/>
              <w:rPr>
                <w:b/>
                <w:bCs/>
                <w:kern w:val="0"/>
                <w:szCs w:val="21"/>
              </w:rPr>
            </w:pP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（六）违规收取计量装置费用、对供气计量装置强制检定收费</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restart"/>
            <w:tcBorders>
              <w:top w:val="nil"/>
              <w:left w:val="single" w:color="auto" w:sz="4" w:space="0"/>
              <w:right w:val="single" w:color="auto" w:sz="4" w:space="0"/>
            </w:tcBorders>
            <w:noWrap w:val="0"/>
            <w:vAlign w:val="center"/>
          </w:tcPr>
          <w:p>
            <w:pPr>
              <w:widowControl/>
              <w:jc w:val="center"/>
              <w:rPr>
                <w:b/>
                <w:bCs/>
                <w:kern w:val="0"/>
                <w:szCs w:val="21"/>
              </w:rPr>
            </w:pPr>
            <w:r>
              <w:rPr>
                <w:b/>
                <w:bCs/>
                <w:kern w:val="0"/>
                <w:szCs w:val="21"/>
              </w:rPr>
              <w:t>供气环节</w:t>
            </w: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（七）向用户供时，以供气价格为基础加收服务类费用</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left w:val="single" w:color="auto" w:sz="4" w:space="0"/>
              <w:right w:val="single" w:color="auto" w:sz="4" w:space="0"/>
            </w:tcBorders>
            <w:noWrap w:val="0"/>
            <w:vAlign w:val="center"/>
          </w:tcPr>
          <w:p>
            <w:pPr>
              <w:widowControl/>
              <w:jc w:val="left"/>
              <w:rPr>
                <w:b/>
                <w:bCs/>
                <w:kern w:val="0"/>
                <w:szCs w:val="21"/>
              </w:rPr>
            </w:pP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（八）在收费清单外收取其他费用</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rPr>
          <w:trHeight w:val="454" w:hRule="atLeast"/>
          <w:jc w:val="center"/>
        </w:trPr>
        <w:tc>
          <w:tcPr>
            <w:tcW w:w="640" w:type="dxa"/>
            <w:vMerge w:val="continue"/>
            <w:tcBorders>
              <w:left w:val="single" w:color="auto" w:sz="4" w:space="0"/>
              <w:bottom w:val="single" w:color="auto" w:sz="4" w:space="0"/>
              <w:right w:val="single" w:color="auto" w:sz="4" w:space="0"/>
            </w:tcBorders>
            <w:noWrap w:val="0"/>
            <w:vAlign w:val="center"/>
          </w:tcPr>
          <w:p>
            <w:pPr>
              <w:widowControl/>
              <w:jc w:val="left"/>
              <w:rPr>
                <w:b/>
                <w:bCs/>
                <w:kern w:val="0"/>
                <w:szCs w:val="21"/>
              </w:rPr>
            </w:pPr>
          </w:p>
        </w:tc>
        <w:tc>
          <w:tcPr>
            <w:tcW w:w="6016" w:type="dxa"/>
            <w:tcBorders>
              <w:top w:val="nil"/>
              <w:left w:val="nil"/>
              <w:bottom w:val="single" w:color="auto" w:sz="4" w:space="0"/>
              <w:right w:val="single" w:color="auto" w:sz="4" w:space="0"/>
            </w:tcBorders>
            <w:noWrap w:val="0"/>
            <w:vAlign w:val="center"/>
          </w:tcPr>
          <w:p>
            <w:pPr>
              <w:widowControl/>
              <w:jc w:val="left"/>
              <w:rPr>
                <w:kern w:val="0"/>
                <w:szCs w:val="21"/>
              </w:rPr>
            </w:pPr>
            <w:r>
              <w:rPr>
                <w:kern w:val="0"/>
                <w:szCs w:val="21"/>
              </w:rPr>
              <w:t>（九）其他</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1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20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1080"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c>
          <w:tcPr>
            <w:tcW w:w="707" w:type="dxa"/>
            <w:tcBorders>
              <w:top w:val="nil"/>
              <w:left w:val="nil"/>
              <w:bottom w:val="single" w:color="auto" w:sz="4" w:space="0"/>
              <w:right w:val="single" w:color="auto" w:sz="4" w:space="0"/>
            </w:tcBorders>
            <w:noWrap/>
            <w:vAlign w:val="center"/>
          </w:tcPr>
          <w:p>
            <w:pPr>
              <w:widowControl/>
              <w:jc w:val="left"/>
              <w:rPr>
                <w:kern w:val="0"/>
                <w:szCs w:val="21"/>
              </w:rPr>
            </w:pPr>
            <w:r>
              <w:rPr>
                <w:kern w:val="0"/>
                <w:szCs w:val="21"/>
              </w:rPr>
              <w:t>　</w:t>
            </w:r>
          </w:p>
        </w:tc>
      </w:tr>
    </w:tbl>
    <w:p>
      <w:pPr>
        <w:widowControl/>
        <w:spacing w:line="596" w:lineRule="exact"/>
        <w:jc w:val="left"/>
        <w:rPr>
          <w:rFonts w:eastAsia="仿宋_GB2312"/>
          <w:sz w:val="32"/>
          <w:szCs w:val="32"/>
        </w:rPr>
      </w:pPr>
    </w:p>
    <w:p>
      <w:pPr>
        <w:widowControl/>
        <w:spacing w:line="596" w:lineRule="exact"/>
        <w:jc w:val="left"/>
        <w:rPr>
          <w:rFonts w:hint="eastAsia" w:ascii="华文仿宋" w:hAnsi="华文仿宋" w:eastAsia="华文仿宋" w:cs="华文仿宋"/>
          <w:color w:val="000000"/>
          <w:kern w:val="0"/>
          <w:sz w:val="32"/>
          <w:szCs w:val="32"/>
        </w:rPr>
      </w:pPr>
      <w:r>
        <w:rPr>
          <w:rFonts w:eastAsia="仿宋_GB2312"/>
          <w:sz w:val="32"/>
          <w:szCs w:val="32"/>
        </w:rPr>
        <w:br w:type="page"/>
      </w:r>
      <w:r>
        <w:rPr>
          <w:rFonts w:hint="eastAsia" w:ascii="华文仿宋" w:hAnsi="华文仿宋" w:eastAsia="华文仿宋" w:cs="华文仿宋"/>
          <w:color w:val="000000"/>
          <w:kern w:val="0"/>
          <w:sz w:val="32"/>
          <w:szCs w:val="32"/>
        </w:rPr>
        <w:t xml:space="preserve">附件3 </w:t>
      </w:r>
    </w:p>
    <w:p>
      <w:pPr>
        <w:widowControl/>
        <w:spacing w:after="156" w:afterLines="50" w:line="596" w:lineRule="exact"/>
        <w:jc w:val="center"/>
        <w:rPr>
          <w:rFonts w:eastAsia="仿宋_GB2312"/>
          <w:sz w:val="42"/>
          <w:szCs w:val="42"/>
        </w:rPr>
      </w:pPr>
      <w:r>
        <w:rPr>
          <w:rFonts w:eastAsia="方正小标宋_GBK"/>
          <w:color w:val="000000"/>
          <w:kern w:val="0"/>
          <w:sz w:val="42"/>
          <w:szCs w:val="42"/>
        </w:rPr>
        <w:t>XX</w:t>
      </w:r>
      <w:r>
        <w:rPr>
          <w:rFonts w:hint="eastAsia" w:eastAsia="方正小标宋_GBK"/>
          <w:color w:val="000000"/>
          <w:kern w:val="0"/>
          <w:sz w:val="42"/>
          <w:szCs w:val="42"/>
          <w:lang w:eastAsia="zh-CN"/>
        </w:rPr>
        <w:t>县市区</w:t>
      </w:r>
      <w:r>
        <w:rPr>
          <w:rFonts w:eastAsia="方正小标宋_GBK"/>
          <w:color w:val="000000"/>
          <w:kern w:val="0"/>
          <w:sz w:val="42"/>
          <w:szCs w:val="42"/>
        </w:rPr>
        <w:t>清理规范水电气暖收费项目及金额统计表</w:t>
      </w:r>
    </w:p>
    <w:tbl>
      <w:tblPr>
        <w:tblStyle w:val="4"/>
        <w:tblW w:w="14780" w:type="dxa"/>
        <w:jc w:val="center"/>
        <w:tblLayout w:type="fixed"/>
        <w:tblCellMar>
          <w:top w:w="0" w:type="dxa"/>
          <w:left w:w="30" w:type="dxa"/>
          <w:bottom w:w="0" w:type="dxa"/>
          <w:right w:w="30" w:type="dxa"/>
        </w:tblCellMar>
      </w:tblPr>
      <w:tblGrid>
        <w:gridCol w:w="1834"/>
        <w:gridCol w:w="1860"/>
        <w:gridCol w:w="2535"/>
        <w:gridCol w:w="2251"/>
        <w:gridCol w:w="1860"/>
        <w:gridCol w:w="2954"/>
        <w:gridCol w:w="1486"/>
      </w:tblGrid>
      <w:tr>
        <w:tblPrEx>
          <w:tblCellMar>
            <w:top w:w="0" w:type="dxa"/>
            <w:left w:w="30" w:type="dxa"/>
            <w:bottom w:w="0" w:type="dxa"/>
            <w:right w:w="30" w:type="dxa"/>
          </w:tblCellMar>
        </w:tblPrEx>
        <w:trPr>
          <w:trHeight w:val="658" w:hRule="atLeast"/>
          <w:jc w:val="center"/>
        </w:trPr>
        <w:tc>
          <w:tcPr>
            <w:tcW w:w="1834"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黑体" w:hAnsi="黑体" w:eastAsia="黑体"/>
                <w:color w:val="000000"/>
                <w:kern w:val="0"/>
                <w:szCs w:val="21"/>
              </w:rPr>
            </w:pPr>
            <w:r>
              <w:rPr>
                <w:rFonts w:ascii="黑体" w:hAnsi="黑体" w:eastAsia="黑体"/>
                <w:color w:val="000000"/>
                <w:kern w:val="0"/>
                <w:szCs w:val="21"/>
              </w:rPr>
              <w:t>类别领域</w:t>
            </w:r>
          </w:p>
        </w:tc>
        <w:tc>
          <w:tcPr>
            <w:tcW w:w="439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黑体" w:hAnsi="黑体" w:eastAsia="黑体"/>
                <w:color w:val="000000"/>
                <w:kern w:val="0"/>
                <w:szCs w:val="21"/>
              </w:rPr>
            </w:pPr>
            <w:r>
              <w:rPr>
                <w:rFonts w:ascii="黑体" w:hAnsi="黑体" w:eastAsia="黑体"/>
                <w:color w:val="000000"/>
                <w:kern w:val="0"/>
                <w:szCs w:val="21"/>
              </w:rPr>
              <w:t>一、清理取消不合理收费</w:t>
            </w:r>
          </w:p>
        </w:tc>
        <w:tc>
          <w:tcPr>
            <w:tcW w:w="2251"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黑体" w:hAnsi="黑体" w:eastAsia="黑体"/>
                <w:color w:val="000000"/>
                <w:kern w:val="0"/>
                <w:szCs w:val="21"/>
              </w:rPr>
            </w:pPr>
            <w:r>
              <w:rPr>
                <w:rFonts w:ascii="黑体" w:hAnsi="黑体" w:eastAsia="黑体"/>
                <w:color w:val="000000"/>
                <w:kern w:val="0"/>
                <w:szCs w:val="21"/>
              </w:rPr>
              <w:t>二、接入工程</w:t>
            </w:r>
          </w:p>
          <w:p>
            <w:pPr>
              <w:autoSpaceDE w:val="0"/>
              <w:autoSpaceDN w:val="0"/>
              <w:adjustRightInd w:val="0"/>
              <w:jc w:val="center"/>
              <w:rPr>
                <w:rFonts w:hint="eastAsia" w:ascii="黑体" w:hAnsi="黑体" w:eastAsia="黑体"/>
                <w:color w:val="000000"/>
                <w:kern w:val="0"/>
                <w:szCs w:val="21"/>
              </w:rPr>
            </w:pPr>
            <w:r>
              <w:rPr>
                <w:rFonts w:ascii="黑体" w:hAnsi="黑体" w:eastAsia="黑体"/>
                <w:color w:val="000000"/>
                <w:kern w:val="0"/>
                <w:szCs w:val="21"/>
              </w:rPr>
              <w:t>费用金额</w:t>
            </w:r>
          </w:p>
          <w:p>
            <w:pPr>
              <w:autoSpaceDE w:val="0"/>
              <w:autoSpaceDN w:val="0"/>
              <w:adjustRightInd w:val="0"/>
              <w:jc w:val="center"/>
              <w:rPr>
                <w:rFonts w:ascii="黑体" w:hAnsi="黑体" w:eastAsia="黑体"/>
                <w:color w:val="000000"/>
                <w:kern w:val="0"/>
                <w:szCs w:val="21"/>
              </w:rPr>
            </w:pPr>
            <w:r>
              <w:rPr>
                <w:rFonts w:ascii="黑体" w:hAnsi="黑体" w:eastAsia="黑体"/>
                <w:color w:val="000000"/>
                <w:kern w:val="0"/>
                <w:szCs w:val="21"/>
              </w:rPr>
              <w:t>（亿元）</w:t>
            </w:r>
          </w:p>
        </w:tc>
        <w:tc>
          <w:tcPr>
            <w:tcW w:w="481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黑体" w:hAnsi="黑体" w:eastAsia="黑体"/>
                <w:color w:val="000000"/>
                <w:kern w:val="0"/>
                <w:szCs w:val="21"/>
              </w:rPr>
            </w:pPr>
            <w:r>
              <w:rPr>
                <w:rFonts w:ascii="黑体" w:hAnsi="黑体" w:eastAsia="黑体"/>
                <w:color w:val="000000"/>
                <w:kern w:val="0"/>
                <w:szCs w:val="21"/>
              </w:rPr>
              <w:t>三、其他各类收费</w:t>
            </w:r>
          </w:p>
        </w:tc>
        <w:tc>
          <w:tcPr>
            <w:tcW w:w="1486"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黑体" w:hAnsi="黑体" w:eastAsia="黑体"/>
                <w:color w:val="000000"/>
                <w:kern w:val="0"/>
                <w:szCs w:val="21"/>
              </w:rPr>
            </w:pPr>
            <w:r>
              <w:rPr>
                <w:rFonts w:ascii="黑体" w:hAnsi="黑体" w:eastAsia="黑体"/>
                <w:color w:val="000000"/>
                <w:kern w:val="0"/>
                <w:szCs w:val="21"/>
              </w:rPr>
              <w:t>累计金额</w:t>
            </w:r>
          </w:p>
          <w:p>
            <w:pPr>
              <w:autoSpaceDE w:val="0"/>
              <w:autoSpaceDN w:val="0"/>
              <w:adjustRightInd w:val="0"/>
              <w:jc w:val="center"/>
              <w:rPr>
                <w:rFonts w:eastAsia="方正黑体_GBK"/>
                <w:color w:val="000000"/>
                <w:kern w:val="0"/>
                <w:szCs w:val="21"/>
              </w:rPr>
            </w:pPr>
            <w:r>
              <w:rPr>
                <w:rFonts w:ascii="黑体" w:hAnsi="黑体" w:eastAsia="黑体"/>
                <w:color w:val="000000"/>
                <w:kern w:val="0"/>
                <w:szCs w:val="21"/>
              </w:rPr>
              <w:t>（亿元）</w:t>
            </w:r>
          </w:p>
        </w:tc>
      </w:tr>
      <w:tr>
        <w:tblPrEx>
          <w:tblCellMar>
            <w:top w:w="0" w:type="dxa"/>
            <w:left w:w="30" w:type="dxa"/>
            <w:bottom w:w="0" w:type="dxa"/>
            <w:right w:w="30" w:type="dxa"/>
          </w:tblCellMar>
        </w:tblPrEx>
        <w:trPr>
          <w:trHeight w:val="658" w:hRule="atLeast"/>
          <w:jc w:val="center"/>
        </w:trPr>
        <w:tc>
          <w:tcPr>
            <w:tcW w:w="1834"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ascii="黑体" w:hAnsi="黑体" w:eastAsia="黑体"/>
                <w:color w:val="000000"/>
                <w:kern w:val="0"/>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黑体" w:hAnsi="黑体" w:eastAsia="黑体"/>
                <w:color w:val="000000"/>
                <w:kern w:val="0"/>
                <w:szCs w:val="21"/>
              </w:rPr>
            </w:pPr>
            <w:r>
              <w:rPr>
                <w:rFonts w:ascii="黑体" w:hAnsi="黑体" w:eastAsia="黑体"/>
                <w:color w:val="000000"/>
                <w:kern w:val="0"/>
                <w:szCs w:val="21"/>
              </w:rPr>
              <w:t>金额（亿元）</w:t>
            </w:r>
          </w:p>
        </w:tc>
        <w:tc>
          <w:tcPr>
            <w:tcW w:w="25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黑体" w:hAnsi="黑体" w:eastAsia="黑体"/>
                <w:color w:val="000000"/>
                <w:kern w:val="0"/>
                <w:szCs w:val="21"/>
              </w:rPr>
            </w:pPr>
            <w:r>
              <w:rPr>
                <w:rFonts w:ascii="黑体" w:hAnsi="黑体" w:eastAsia="黑体"/>
                <w:color w:val="000000"/>
                <w:kern w:val="0"/>
                <w:szCs w:val="21"/>
              </w:rPr>
              <w:t>项目（列举）</w:t>
            </w:r>
          </w:p>
        </w:tc>
        <w:tc>
          <w:tcPr>
            <w:tcW w:w="2251"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ascii="黑体" w:hAnsi="黑体" w:eastAsia="黑体"/>
                <w:color w:val="000000"/>
                <w:kern w:val="0"/>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黑体" w:hAnsi="黑体" w:eastAsia="黑体"/>
                <w:color w:val="000000"/>
                <w:kern w:val="0"/>
                <w:szCs w:val="21"/>
              </w:rPr>
            </w:pPr>
            <w:r>
              <w:rPr>
                <w:rFonts w:ascii="黑体" w:hAnsi="黑体" w:eastAsia="黑体"/>
                <w:color w:val="000000"/>
                <w:kern w:val="0"/>
                <w:szCs w:val="21"/>
              </w:rPr>
              <w:t>金额（亿元）</w:t>
            </w:r>
          </w:p>
        </w:tc>
        <w:tc>
          <w:tcPr>
            <w:tcW w:w="29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黑体" w:hAnsi="黑体" w:eastAsia="黑体"/>
                <w:color w:val="000000"/>
                <w:kern w:val="0"/>
                <w:szCs w:val="21"/>
              </w:rPr>
            </w:pPr>
            <w:r>
              <w:rPr>
                <w:rFonts w:ascii="黑体" w:hAnsi="黑体" w:eastAsia="黑体"/>
                <w:color w:val="000000"/>
                <w:kern w:val="0"/>
                <w:szCs w:val="21"/>
              </w:rPr>
              <w:t>项目（列举）</w:t>
            </w:r>
          </w:p>
        </w:tc>
        <w:tc>
          <w:tcPr>
            <w:tcW w:w="1486"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方正黑体_GBK"/>
                <w:color w:val="000000"/>
                <w:kern w:val="0"/>
                <w:szCs w:val="21"/>
              </w:rPr>
            </w:pPr>
          </w:p>
        </w:tc>
      </w:tr>
      <w:tr>
        <w:tblPrEx>
          <w:tblCellMar>
            <w:top w:w="0" w:type="dxa"/>
            <w:left w:w="30" w:type="dxa"/>
            <w:bottom w:w="0" w:type="dxa"/>
            <w:right w:w="30" w:type="dxa"/>
          </w:tblCellMar>
        </w:tblPrEx>
        <w:trPr>
          <w:trHeight w:val="1134" w:hRule="atLeast"/>
          <w:jc w:val="center"/>
        </w:trPr>
        <w:tc>
          <w:tcPr>
            <w:tcW w:w="1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000000"/>
                <w:kern w:val="0"/>
                <w:szCs w:val="21"/>
              </w:rPr>
            </w:pPr>
            <w:r>
              <w:rPr>
                <w:color w:val="000000"/>
                <w:kern w:val="0"/>
                <w:szCs w:val="21"/>
              </w:rPr>
              <w:t>供水环节</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000000"/>
                <w:kern w:val="0"/>
                <w:szCs w:val="21"/>
              </w:rPr>
            </w:pPr>
          </w:p>
        </w:tc>
        <w:tc>
          <w:tcPr>
            <w:tcW w:w="25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000000"/>
                <w:kern w:val="0"/>
                <w:szCs w:val="21"/>
              </w:rPr>
            </w:pPr>
          </w:p>
        </w:tc>
        <w:tc>
          <w:tcPr>
            <w:tcW w:w="22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000000"/>
                <w:kern w:val="0"/>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000000"/>
                <w:kern w:val="0"/>
                <w:szCs w:val="21"/>
              </w:rPr>
            </w:pPr>
          </w:p>
        </w:tc>
        <w:tc>
          <w:tcPr>
            <w:tcW w:w="29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000000"/>
                <w:kern w:val="0"/>
                <w:szCs w:val="21"/>
              </w:rPr>
            </w:pPr>
          </w:p>
        </w:tc>
        <w:tc>
          <w:tcPr>
            <w:tcW w:w="14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000000"/>
                <w:kern w:val="0"/>
                <w:szCs w:val="21"/>
              </w:rPr>
            </w:pPr>
          </w:p>
        </w:tc>
      </w:tr>
      <w:tr>
        <w:tblPrEx>
          <w:tblCellMar>
            <w:top w:w="0" w:type="dxa"/>
            <w:left w:w="30" w:type="dxa"/>
            <w:bottom w:w="0" w:type="dxa"/>
            <w:right w:w="30" w:type="dxa"/>
          </w:tblCellMar>
        </w:tblPrEx>
        <w:trPr>
          <w:trHeight w:val="1134" w:hRule="atLeast"/>
          <w:jc w:val="center"/>
        </w:trPr>
        <w:tc>
          <w:tcPr>
            <w:tcW w:w="1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000000"/>
                <w:kern w:val="0"/>
                <w:szCs w:val="21"/>
              </w:rPr>
            </w:pPr>
            <w:r>
              <w:rPr>
                <w:color w:val="000000"/>
                <w:kern w:val="0"/>
                <w:szCs w:val="21"/>
              </w:rPr>
              <w:t>供电环节</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000000"/>
                <w:kern w:val="0"/>
                <w:szCs w:val="21"/>
              </w:rPr>
            </w:pPr>
          </w:p>
        </w:tc>
        <w:tc>
          <w:tcPr>
            <w:tcW w:w="25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000000"/>
                <w:kern w:val="0"/>
                <w:szCs w:val="21"/>
              </w:rPr>
            </w:pPr>
          </w:p>
        </w:tc>
        <w:tc>
          <w:tcPr>
            <w:tcW w:w="22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000000"/>
                <w:kern w:val="0"/>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000000"/>
                <w:kern w:val="0"/>
                <w:szCs w:val="21"/>
              </w:rPr>
            </w:pPr>
          </w:p>
        </w:tc>
        <w:tc>
          <w:tcPr>
            <w:tcW w:w="29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000000"/>
                <w:kern w:val="0"/>
                <w:szCs w:val="21"/>
              </w:rPr>
            </w:pPr>
          </w:p>
        </w:tc>
        <w:tc>
          <w:tcPr>
            <w:tcW w:w="14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000000"/>
                <w:kern w:val="0"/>
                <w:szCs w:val="21"/>
              </w:rPr>
            </w:pPr>
          </w:p>
        </w:tc>
      </w:tr>
      <w:tr>
        <w:tblPrEx>
          <w:tblCellMar>
            <w:top w:w="0" w:type="dxa"/>
            <w:left w:w="30" w:type="dxa"/>
            <w:bottom w:w="0" w:type="dxa"/>
            <w:right w:w="30" w:type="dxa"/>
          </w:tblCellMar>
        </w:tblPrEx>
        <w:trPr>
          <w:trHeight w:val="1134" w:hRule="atLeast"/>
          <w:jc w:val="center"/>
        </w:trPr>
        <w:tc>
          <w:tcPr>
            <w:tcW w:w="18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000000"/>
                <w:kern w:val="0"/>
                <w:szCs w:val="21"/>
              </w:rPr>
            </w:pPr>
            <w:r>
              <w:rPr>
                <w:color w:val="000000"/>
                <w:kern w:val="0"/>
                <w:szCs w:val="21"/>
              </w:rPr>
              <w:t>供气环节</w:t>
            </w:r>
          </w:p>
        </w:tc>
        <w:tc>
          <w:tcPr>
            <w:tcW w:w="18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000000"/>
                <w:kern w:val="0"/>
                <w:szCs w:val="21"/>
              </w:rPr>
            </w:pPr>
          </w:p>
        </w:tc>
        <w:tc>
          <w:tcPr>
            <w:tcW w:w="25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000000"/>
                <w:kern w:val="0"/>
                <w:szCs w:val="21"/>
              </w:rPr>
            </w:pPr>
          </w:p>
        </w:tc>
        <w:tc>
          <w:tcPr>
            <w:tcW w:w="22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000000"/>
                <w:kern w:val="0"/>
                <w:szCs w:val="21"/>
              </w:rPr>
            </w:pPr>
          </w:p>
        </w:tc>
        <w:tc>
          <w:tcPr>
            <w:tcW w:w="18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000000"/>
                <w:kern w:val="0"/>
                <w:szCs w:val="21"/>
              </w:rPr>
            </w:pPr>
          </w:p>
        </w:tc>
        <w:tc>
          <w:tcPr>
            <w:tcW w:w="29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000000"/>
                <w:kern w:val="0"/>
                <w:szCs w:val="21"/>
              </w:rPr>
            </w:pPr>
          </w:p>
        </w:tc>
        <w:tc>
          <w:tcPr>
            <w:tcW w:w="14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color w:val="000000"/>
                <w:kern w:val="0"/>
                <w:szCs w:val="21"/>
              </w:rPr>
            </w:pPr>
          </w:p>
        </w:tc>
      </w:tr>
    </w:tbl>
    <w:p>
      <w:pPr>
        <w:widowControl/>
        <w:spacing w:line="20" w:lineRule="exact"/>
        <w:jc w:val="left"/>
        <w:rPr>
          <w:rFonts w:eastAsia="仿宋_GB2312"/>
          <w:sz w:val="32"/>
          <w:szCs w:val="32"/>
        </w:rPr>
      </w:pPr>
    </w:p>
    <w:p>
      <w:pPr>
        <w:rPr>
          <w:rFonts w:hint="eastAsia"/>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13</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14</w:t>
    </w:r>
    <w:r>
      <w:rPr>
        <w:kern w:val="0"/>
        <w:sz w:val="28"/>
        <w:szCs w:val="28"/>
      </w:rPr>
      <w:fldChar w:fldCharType="end"/>
    </w:r>
    <w:r>
      <w:rPr>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41C"/>
    <w:rsid w:val="001F2BC3"/>
    <w:rsid w:val="002D554D"/>
    <w:rsid w:val="006F2E36"/>
    <w:rsid w:val="008A59B8"/>
    <w:rsid w:val="00A26328"/>
    <w:rsid w:val="00BB06E4"/>
    <w:rsid w:val="00CC24AC"/>
    <w:rsid w:val="00D3184B"/>
    <w:rsid w:val="00E6441C"/>
    <w:rsid w:val="1BD703EB"/>
    <w:rsid w:val="3DBC8942"/>
    <w:rsid w:val="4DE70721"/>
    <w:rsid w:val="567F7B46"/>
    <w:rsid w:val="5BFA6A0E"/>
    <w:rsid w:val="5E996228"/>
    <w:rsid w:val="5FFE0A85"/>
    <w:rsid w:val="677D40F0"/>
    <w:rsid w:val="6B7F77FF"/>
    <w:rsid w:val="6FFD585B"/>
    <w:rsid w:val="77F3642D"/>
    <w:rsid w:val="7EFFD645"/>
    <w:rsid w:val="BFBA8AE1"/>
    <w:rsid w:val="CFCD1A08"/>
    <w:rsid w:val="FA7FB678"/>
    <w:rsid w:val="FCFFC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337</Words>
  <Characters>1927</Characters>
  <Lines>16</Lines>
  <Paragraphs>4</Paragraphs>
  <TotalTime>3</TotalTime>
  <ScaleCrop>false</ScaleCrop>
  <LinksUpToDate>false</LinksUpToDate>
  <CharactersWithSpaces>2260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2022-08-17T20:55:00Z</dcterms:created>
  <dc:creator>Administrator</dc:creator>
  <cp:lastModifiedBy>admin</cp:lastModifiedBy>
  <cp:lastPrinted>2022-08-22T11:07:21Z</cp:lastPrinted>
  <dcterms:modified xsi:type="dcterms:W3CDTF">2022-08-22T11:08:14Z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