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 w:hAnsi="Times New Roman" w:eastAsia="CESI黑体-GB2312"/>
          <w:color w:val="auto"/>
          <w:sz w:val="32"/>
          <w:szCs w:val="32"/>
        </w:rPr>
      </w:pPr>
      <w:r>
        <w:rPr>
          <w:rFonts w:ascii="Times New Roman" w:hAnsi="Times New Roman" w:eastAsia="CESI黑体-GB2312"/>
          <w:color w:val="auto"/>
          <w:sz w:val="32"/>
          <w:szCs w:val="32"/>
        </w:rPr>
        <w:t>附件2</w:t>
      </w:r>
    </w:p>
    <w:p>
      <w:pPr>
        <w:pStyle w:val="9"/>
        <w:jc w:val="center"/>
        <w:rPr>
          <w:rFonts w:ascii="Times New Roman" w:hAnsi="Times New Roman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“</w:t>
      </w:r>
      <w:r>
        <w:rPr>
          <w:rFonts w:ascii="Times New Roman" w:hAnsi="Times New Roman" w:eastAsia="方正小标宋简体"/>
          <w:color w:val="auto"/>
          <w:sz w:val="36"/>
          <w:szCs w:val="36"/>
        </w:rPr>
        <w:t>湘易办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”</w:t>
      </w:r>
      <w:r>
        <w:rPr>
          <w:rFonts w:ascii="Times New Roman" w:hAnsi="Times New Roman" w:eastAsia="方正小标宋简体"/>
          <w:color w:val="auto"/>
          <w:sz w:val="36"/>
          <w:szCs w:val="36"/>
        </w:rPr>
        <w:t>邵阳旗舰店第一批特色应用建设清单</w:t>
      </w:r>
    </w:p>
    <w:bookmarkEnd w:id="0"/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71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355" w:type="pct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具体内容</w:t>
            </w:r>
          </w:p>
        </w:tc>
        <w:tc>
          <w:tcPr>
            <w:tcW w:w="986" w:type="pct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restart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早安邵阳</w:t>
            </w: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景区介绍：根据景区景点内容进行梳理、规划、图片设计，图文、视频、图片轮播等方式呈现景区景点信息</w:t>
            </w:r>
          </w:p>
        </w:tc>
        <w:tc>
          <w:tcPr>
            <w:tcW w:w="986" w:type="pct"/>
            <w:vMerge w:val="restart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市文旅广体局、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eastAsia="zh-CN"/>
              </w:rPr>
              <w:t>市交通局、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文旅专线：梳理文旅专线内容，提供线路分类、线路地图、线路详情、线路查询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eastAsia="zh-CN"/>
              </w:rPr>
              <w:t>、定制出行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等服务。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打卡地图：梳理打卡地资源，提供资源分类、地区名称、详情、地点、地区联系方式等信息服务。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品质民宿：梳理住宿资源，提供住宿资源分类、名称、详情、地点、联系方式等信息服务。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老字号：梳理老字号资源，提供老字号资源分类（包括美食老字号、其他老字号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）、名称、详情、地点、联系方式等信息服务。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restart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智慧助残</w:t>
            </w: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办证一件事：集成上线残疾人证申领、换领、迁移、注销等服务。</w:t>
            </w:r>
          </w:p>
        </w:tc>
        <w:tc>
          <w:tcPr>
            <w:tcW w:w="986" w:type="pct"/>
            <w:vMerge w:val="restart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市残联、市行政审批服务局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补贴与减免：集成上线残疾人两项补贴、人工耳蜗、大学生助学、军警关怀等服务。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残疾人出行：集成上线残疾人机动车轮椅车燃油补贴等服务。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就业创业：集成上线残疾人就业登记、就业创业补贴等服务。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特色服务：集成上线康复服务、专家门诊清单等特色服务。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机构服务：集成上线残疾评定机构、残疾人就业服务机构、残疾儿童定点康复机构等服务。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志愿服务</w:t>
            </w:r>
          </w:p>
        </w:tc>
        <w:tc>
          <w:tcPr>
            <w:tcW w:w="3355" w:type="pct"/>
            <w:vAlign w:val="center"/>
          </w:tcPr>
          <w:p>
            <w:pPr>
              <w:pStyle w:val="9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对接邵阳志愿服务平台，在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湘易办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移动端进行UI界面适配，支持志愿者通过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湘易办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邵阳旗舰店加入志愿组织，参加志愿活动，用实际行动彰显责任意识、使命担当。</w:t>
            </w:r>
          </w:p>
        </w:tc>
        <w:tc>
          <w:tcPr>
            <w:tcW w:w="986" w:type="pct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华文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市民政局、市行政审批服务局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B8722F4"/>
    <w:rsid w:val="42D00689"/>
    <w:rsid w:val="7B8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  <w:textAlignment w:val="baseline"/>
    </w:pPr>
    <w:rPr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  <w:jc w:val="both"/>
      <w:textAlignment w:val="baseline"/>
    </w:pPr>
  </w:style>
  <w:style w:type="paragraph" w:customStyle="1" w:styleId="4">
    <w:name w:val="Heading1"/>
    <w:basedOn w:val="1"/>
    <w:next w:val="1"/>
    <w:qFormat/>
    <w:uiPriority w:val="0"/>
    <w:pPr>
      <w:spacing w:beforeAutospacing="1" w:after="100" w:afterAutospacing="1"/>
      <w:ind w:firstLine="880" w:firstLineChars="200"/>
      <w:jc w:val="left"/>
    </w:pPr>
    <w:rPr>
      <w:rFonts w:eastAsia="黑体"/>
      <w:b/>
      <w:kern w:val="44"/>
      <w:sz w:val="32"/>
      <w:szCs w:val="4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cs="Times New Roman"/>
      <w:kern w:val="0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BodyText"/>
    <w:basedOn w:val="1"/>
    <w:qFormat/>
    <w:uiPriority w:val="0"/>
    <w:rPr>
      <w:sz w:val="30"/>
      <w:szCs w:val="24"/>
    </w:rPr>
  </w:style>
  <w:style w:type="character" w:customStyle="1" w:styleId="10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华文仿宋" w:hAnsi="华文仿宋" w:eastAsia="华文仿宋" w:cs="华文仿宋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2471</Words>
  <Characters>2480</Characters>
  <Lines>0</Lines>
  <Paragraphs>0</Paragraphs>
  <TotalTime>0</TotalTime>
  <ScaleCrop>false</ScaleCrop>
  <LinksUpToDate>false</LinksUpToDate>
  <CharactersWithSpaces>2482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2023-08-30T02:21:00Z</dcterms:created>
  <dc:creator>旧时光·不见旧人</dc:creator>
  <cp:lastModifiedBy>旧时光·不见旧人</cp:lastModifiedBy>
  <dcterms:modified xsi:type="dcterms:W3CDTF">2023-08-30T02:21:47Z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FEA84F2B8144488D973AF442CB180D2F_13</vt:lpwstr>
  </property>
</Properties>
</file>