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
      <w:pPr>
        <w:rPr>
          <w:rFonts w:eastAsia="仿宋_GB2312"/>
          <w:sz w:val="32"/>
          <w:szCs w:val="32"/>
        </w:rPr>
      </w:pPr>
    </w:p>
    <w:p>
      <w:pPr>
        <w:jc w:val="center"/>
        <w:rPr>
          <w:sz w:val="39"/>
        </w:rPr>
      </w:pPr>
    </w:p>
    <w:p>
      <w:pPr>
        <w:spacing w:line="1100" w:lineRule="exact"/>
        <w:jc w:val="center"/>
        <w:rPr>
          <w:rFonts w:eastAsia="方正小标宋简体"/>
          <w:sz w:val="62"/>
          <w:szCs w:val="64"/>
        </w:rPr>
      </w:pPr>
      <w:r>
        <w:rPr>
          <w:rFonts w:eastAsia="方正小标宋简体"/>
          <w:sz w:val="62"/>
          <w:szCs w:val="64"/>
        </w:rPr>
        <w:t>邵阳市生态环境分区管控基本要求暨生态环境</w:t>
      </w:r>
      <w:bookmarkStart w:id="54" w:name="_GoBack"/>
      <w:bookmarkEnd w:id="54"/>
    </w:p>
    <w:p>
      <w:pPr>
        <w:spacing w:line="1100" w:lineRule="exact"/>
        <w:jc w:val="center"/>
        <w:rPr>
          <w:rFonts w:eastAsia="方正小标宋简体"/>
          <w:sz w:val="62"/>
          <w:szCs w:val="64"/>
        </w:rPr>
      </w:pPr>
      <w:r>
        <w:rPr>
          <w:rFonts w:eastAsia="方正小标宋简体"/>
          <w:sz w:val="62"/>
          <w:szCs w:val="64"/>
        </w:rPr>
        <w:t>管控单元（省级以上产业园区除外）生态</w:t>
      </w:r>
    </w:p>
    <w:p>
      <w:pPr>
        <w:spacing w:line="1100" w:lineRule="exact"/>
        <w:jc w:val="center"/>
        <w:rPr>
          <w:rFonts w:eastAsia="方正小标宋简体"/>
          <w:sz w:val="62"/>
          <w:szCs w:val="64"/>
        </w:rPr>
      </w:pPr>
      <w:r>
        <w:rPr>
          <w:rFonts w:eastAsia="方正小标宋简体"/>
          <w:sz w:val="62"/>
          <w:szCs w:val="64"/>
        </w:rPr>
        <w:t>环境准入清单（2023年版）</w:t>
      </w:r>
    </w:p>
    <w:p>
      <w:pPr>
        <w:jc w:val="center"/>
        <w:rPr>
          <w:sz w:val="39"/>
        </w:rPr>
      </w:pPr>
    </w:p>
    <w:p>
      <w:pPr>
        <w:jc w:val="both"/>
        <w:rPr>
          <w:sz w:val="39"/>
        </w:rPr>
      </w:pPr>
    </w:p>
    <w:p>
      <w:pPr>
        <w:jc w:val="center"/>
        <w:rPr>
          <w:sz w:val="39"/>
        </w:rPr>
      </w:pPr>
    </w:p>
    <w:p>
      <w:pPr>
        <w:jc w:val="center"/>
        <w:outlineLvl w:val="0"/>
        <w:rPr>
          <w:b/>
          <w:color w:val="000000"/>
          <w:sz w:val="32"/>
        </w:rPr>
      </w:pPr>
      <w:bookmarkStart w:id="0" w:name="_Toc19347"/>
      <w:r>
        <w:rPr>
          <w:rFonts w:eastAsia="楷体_GB2312"/>
          <w:b/>
          <w:sz w:val="45"/>
        </w:rPr>
        <w:t>二〇二四年十二月</w:t>
      </w:r>
      <w:bookmarkEnd w:id="0"/>
    </w:p>
    <w:p>
      <w:pPr>
        <w:jc w:val="center"/>
        <w:outlineLvl w:val="0"/>
        <w:rPr>
          <w:b/>
          <w:color w:val="000000"/>
          <w:sz w:val="32"/>
        </w:rPr>
        <w:sectPr>
          <w:pgSz w:w="16838" w:h="11906" w:orient="landscape"/>
          <w:pgMar w:top="1800" w:right="1440" w:bottom="1800" w:left="1440" w:header="851" w:footer="992" w:gutter="0"/>
          <w:pgNumType w:fmt="decimal"/>
          <w:cols w:space="425" w:num="1"/>
          <w:docGrid w:type="lines" w:linePitch="312" w:charSpace="0"/>
        </w:sectPr>
      </w:pPr>
    </w:p>
    <w:p>
      <w:pPr>
        <w:jc w:val="center"/>
        <w:outlineLvl w:val="0"/>
        <w:rPr>
          <w:b/>
          <w:color w:val="000000"/>
          <w:sz w:val="32"/>
        </w:rPr>
      </w:pPr>
      <w:r>
        <w:rPr>
          <w:rFonts w:hint="eastAsia"/>
          <w:b/>
          <w:color w:val="000000"/>
          <w:sz w:val="32"/>
        </w:rPr>
        <w:t>目 录</w:t>
      </w:r>
    </w:p>
    <w:p>
      <w:pPr>
        <w:pStyle w:val="7"/>
        <w:tabs>
          <w:tab w:val="right" w:leader="dot" w:pos="13958"/>
        </w:tabs>
        <w:rPr>
          <w:sz w:val="24"/>
          <w:szCs w:val="24"/>
        </w:rPr>
      </w:pPr>
      <w:r>
        <w:rPr>
          <w:color w:val="000000"/>
          <w:sz w:val="32"/>
        </w:rPr>
        <w:fldChar w:fldCharType="begin"/>
      </w:r>
      <w:r>
        <w:rPr>
          <w:color w:val="000000"/>
          <w:sz w:val="32"/>
        </w:rPr>
        <w:instrText xml:space="preserve">TOC \o "1-1" \h \u </w:instrText>
      </w:r>
      <w:r>
        <w:rPr>
          <w:color w:val="000000"/>
          <w:sz w:val="32"/>
        </w:rPr>
        <w:fldChar w:fldCharType="separate"/>
      </w:r>
      <w:r>
        <w:rPr>
          <w:sz w:val="24"/>
          <w:szCs w:val="24"/>
        </w:rPr>
        <w:fldChar w:fldCharType="begin"/>
      </w:r>
      <w:r>
        <w:rPr>
          <w:sz w:val="24"/>
          <w:szCs w:val="24"/>
        </w:rPr>
        <w:instrText xml:space="preserve"> HYPERLINK \l "_Toc13649" </w:instrText>
      </w:r>
      <w:r>
        <w:rPr>
          <w:sz w:val="24"/>
          <w:szCs w:val="24"/>
        </w:rPr>
        <w:fldChar w:fldCharType="separate"/>
      </w:r>
      <w:r>
        <w:rPr>
          <w:sz w:val="24"/>
          <w:szCs w:val="24"/>
        </w:rPr>
        <w:t>一、邵阳市生态环境分区管控基本要求</w:t>
      </w:r>
      <w:r>
        <w:rPr>
          <w:sz w:val="24"/>
          <w:szCs w:val="24"/>
        </w:rPr>
        <w:tab/>
      </w:r>
      <w:r>
        <w:rPr>
          <w:sz w:val="24"/>
          <w:szCs w:val="24"/>
        </w:rPr>
        <w:fldChar w:fldCharType="begin"/>
      </w:r>
      <w:r>
        <w:rPr>
          <w:sz w:val="24"/>
          <w:szCs w:val="24"/>
        </w:rPr>
        <w:instrText xml:space="preserve"> PAGEREF _Toc13649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"_Toc28914" </w:instrText>
      </w:r>
      <w:r>
        <w:rPr>
          <w:sz w:val="24"/>
          <w:szCs w:val="24"/>
        </w:rPr>
        <w:fldChar w:fldCharType="separate"/>
      </w:r>
      <w:r>
        <w:rPr>
          <w:rFonts w:eastAsia="楷体_GB2312"/>
          <w:sz w:val="24"/>
          <w:szCs w:val="24"/>
        </w:rPr>
        <w:t>二、邵阳市其他生态环境分区管控单元（除产业园区以外）生态环境准入清单</w:t>
      </w:r>
      <w:r>
        <w:rPr>
          <w:sz w:val="24"/>
          <w:szCs w:val="24"/>
        </w:rPr>
        <w:tab/>
      </w:r>
      <w:r>
        <w:rPr>
          <w:sz w:val="24"/>
          <w:szCs w:val="24"/>
        </w:rPr>
        <w:fldChar w:fldCharType="begin"/>
      </w:r>
      <w:r>
        <w:rPr>
          <w:sz w:val="24"/>
          <w:szCs w:val="24"/>
        </w:rPr>
        <w:instrText xml:space="preserve"> PAGEREF _Toc28914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"_Toc21935" </w:instrText>
      </w:r>
      <w:r>
        <w:rPr>
          <w:sz w:val="24"/>
          <w:szCs w:val="24"/>
        </w:rPr>
        <w:fldChar w:fldCharType="separate"/>
      </w:r>
      <w:r>
        <w:rPr>
          <w:sz w:val="24"/>
          <w:szCs w:val="24"/>
        </w:rPr>
        <w:t>2-1双清区</w:t>
      </w:r>
      <w:r>
        <w:rPr>
          <w:sz w:val="24"/>
          <w:szCs w:val="24"/>
        </w:rPr>
        <w:tab/>
      </w:r>
      <w:r>
        <w:rPr>
          <w:sz w:val="24"/>
          <w:szCs w:val="24"/>
        </w:rPr>
        <w:fldChar w:fldCharType="begin"/>
      </w:r>
      <w:r>
        <w:rPr>
          <w:sz w:val="24"/>
          <w:szCs w:val="24"/>
        </w:rPr>
        <w:instrText xml:space="preserve"> PAGEREF _Toc21935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"_Toc6665" </w:instrText>
      </w:r>
      <w:r>
        <w:rPr>
          <w:sz w:val="24"/>
          <w:szCs w:val="24"/>
        </w:rPr>
        <w:fldChar w:fldCharType="separate"/>
      </w:r>
      <w:r>
        <w:rPr>
          <w:sz w:val="24"/>
          <w:szCs w:val="24"/>
        </w:rPr>
        <w:t>2-2大祥区</w:t>
      </w:r>
      <w:r>
        <w:rPr>
          <w:sz w:val="24"/>
          <w:szCs w:val="24"/>
        </w:rPr>
        <w:tab/>
      </w:r>
      <w:r>
        <w:rPr>
          <w:sz w:val="24"/>
          <w:szCs w:val="24"/>
        </w:rPr>
        <w:fldChar w:fldCharType="begin"/>
      </w:r>
      <w:r>
        <w:rPr>
          <w:sz w:val="24"/>
          <w:szCs w:val="24"/>
        </w:rPr>
        <w:instrText xml:space="preserve"> PAGEREF _Toc6665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"_Toc2297" </w:instrText>
      </w:r>
      <w:r>
        <w:rPr>
          <w:sz w:val="24"/>
          <w:szCs w:val="24"/>
        </w:rPr>
        <w:fldChar w:fldCharType="separate"/>
      </w:r>
      <w:r>
        <w:rPr>
          <w:sz w:val="24"/>
          <w:szCs w:val="24"/>
        </w:rPr>
        <w:t>2-3北塔区</w:t>
      </w:r>
      <w:r>
        <w:rPr>
          <w:sz w:val="24"/>
          <w:szCs w:val="24"/>
        </w:rPr>
        <w:tab/>
      </w:r>
      <w:r>
        <w:rPr>
          <w:sz w:val="24"/>
          <w:szCs w:val="24"/>
        </w:rPr>
        <w:fldChar w:fldCharType="begin"/>
      </w:r>
      <w:r>
        <w:rPr>
          <w:sz w:val="24"/>
          <w:szCs w:val="24"/>
        </w:rPr>
        <w:instrText xml:space="preserve"> PAGEREF _Toc2297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"_Toc3363" </w:instrText>
      </w:r>
      <w:r>
        <w:rPr>
          <w:sz w:val="24"/>
          <w:szCs w:val="24"/>
        </w:rPr>
        <w:fldChar w:fldCharType="separate"/>
      </w:r>
      <w:r>
        <w:rPr>
          <w:bCs/>
          <w:sz w:val="24"/>
          <w:szCs w:val="24"/>
        </w:rPr>
        <w:t>2-</w:t>
      </w:r>
      <w:r>
        <w:rPr>
          <w:sz w:val="24"/>
          <w:szCs w:val="24"/>
        </w:rPr>
        <w:t>4邵东市</w:t>
      </w:r>
      <w:r>
        <w:rPr>
          <w:sz w:val="24"/>
          <w:szCs w:val="24"/>
        </w:rPr>
        <w:tab/>
      </w:r>
      <w:r>
        <w:rPr>
          <w:sz w:val="24"/>
          <w:szCs w:val="24"/>
        </w:rPr>
        <w:fldChar w:fldCharType="begin"/>
      </w:r>
      <w:r>
        <w:rPr>
          <w:sz w:val="24"/>
          <w:szCs w:val="24"/>
        </w:rPr>
        <w:instrText xml:space="preserve"> PAGEREF _Toc3363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"_Toc16100" </w:instrText>
      </w:r>
      <w:r>
        <w:rPr>
          <w:sz w:val="24"/>
          <w:szCs w:val="24"/>
        </w:rPr>
        <w:fldChar w:fldCharType="separate"/>
      </w:r>
      <w:r>
        <w:rPr>
          <w:sz w:val="24"/>
          <w:szCs w:val="24"/>
        </w:rPr>
        <w:t>2-5新邵县</w:t>
      </w:r>
      <w:r>
        <w:rPr>
          <w:sz w:val="24"/>
          <w:szCs w:val="24"/>
        </w:rPr>
        <w:tab/>
      </w:r>
      <w:r>
        <w:rPr>
          <w:sz w:val="24"/>
          <w:szCs w:val="24"/>
        </w:rPr>
        <w:fldChar w:fldCharType="begin"/>
      </w:r>
      <w:r>
        <w:rPr>
          <w:sz w:val="24"/>
          <w:szCs w:val="24"/>
        </w:rPr>
        <w:instrText xml:space="preserve"> PAGEREF _Toc16100 \h </w:instrText>
      </w:r>
      <w:r>
        <w:rPr>
          <w:sz w:val="24"/>
          <w:szCs w:val="24"/>
        </w:rPr>
        <w:fldChar w:fldCharType="separate"/>
      </w:r>
      <w:r>
        <w:rPr>
          <w:sz w:val="24"/>
          <w:szCs w:val="24"/>
        </w:rPr>
        <w:t>74</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"_Toc6992" </w:instrText>
      </w:r>
      <w:r>
        <w:rPr>
          <w:sz w:val="24"/>
          <w:szCs w:val="24"/>
        </w:rPr>
        <w:fldChar w:fldCharType="separate"/>
      </w:r>
      <w:r>
        <w:rPr>
          <w:sz w:val="24"/>
          <w:szCs w:val="24"/>
        </w:rPr>
        <w:t>2-6邵阳县</w:t>
      </w:r>
      <w:r>
        <w:rPr>
          <w:sz w:val="24"/>
          <w:szCs w:val="24"/>
        </w:rPr>
        <w:tab/>
      </w:r>
      <w:r>
        <w:rPr>
          <w:sz w:val="24"/>
          <w:szCs w:val="24"/>
        </w:rPr>
        <w:fldChar w:fldCharType="begin"/>
      </w:r>
      <w:r>
        <w:rPr>
          <w:sz w:val="24"/>
          <w:szCs w:val="24"/>
        </w:rPr>
        <w:instrText xml:space="preserve"> PAGEREF _Toc6992 \h </w:instrText>
      </w:r>
      <w:r>
        <w:rPr>
          <w:sz w:val="24"/>
          <w:szCs w:val="24"/>
        </w:rPr>
        <w:fldChar w:fldCharType="separate"/>
      </w:r>
      <w:r>
        <w:rPr>
          <w:sz w:val="24"/>
          <w:szCs w:val="24"/>
        </w:rPr>
        <w:t>103</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"_Toc27567" </w:instrText>
      </w:r>
      <w:r>
        <w:rPr>
          <w:sz w:val="24"/>
          <w:szCs w:val="24"/>
        </w:rPr>
        <w:fldChar w:fldCharType="separate"/>
      </w:r>
      <w:r>
        <w:rPr>
          <w:sz w:val="24"/>
          <w:szCs w:val="24"/>
        </w:rPr>
        <w:t>2-7隆回县</w:t>
      </w:r>
      <w:r>
        <w:rPr>
          <w:sz w:val="24"/>
          <w:szCs w:val="24"/>
        </w:rPr>
        <w:tab/>
      </w:r>
      <w:r>
        <w:rPr>
          <w:sz w:val="24"/>
          <w:szCs w:val="24"/>
        </w:rPr>
        <w:fldChar w:fldCharType="begin"/>
      </w:r>
      <w:r>
        <w:rPr>
          <w:sz w:val="24"/>
          <w:szCs w:val="24"/>
        </w:rPr>
        <w:instrText xml:space="preserve"> PAGEREF _Toc27567 \h </w:instrText>
      </w:r>
      <w:r>
        <w:rPr>
          <w:sz w:val="24"/>
          <w:szCs w:val="24"/>
        </w:rPr>
        <w:fldChar w:fldCharType="separate"/>
      </w:r>
      <w:r>
        <w:rPr>
          <w:sz w:val="24"/>
          <w:szCs w:val="24"/>
        </w:rPr>
        <w:t>120</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"_Toc22938" </w:instrText>
      </w:r>
      <w:r>
        <w:rPr>
          <w:sz w:val="24"/>
          <w:szCs w:val="24"/>
        </w:rPr>
        <w:fldChar w:fldCharType="separate"/>
      </w:r>
      <w:r>
        <w:rPr>
          <w:sz w:val="24"/>
          <w:szCs w:val="24"/>
        </w:rPr>
        <w:t>2-8洞口县</w:t>
      </w:r>
      <w:r>
        <w:rPr>
          <w:sz w:val="24"/>
          <w:szCs w:val="24"/>
        </w:rPr>
        <w:tab/>
      </w:r>
      <w:r>
        <w:rPr>
          <w:sz w:val="24"/>
          <w:szCs w:val="24"/>
        </w:rPr>
        <w:fldChar w:fldCharType="begin"/>
      </w:r>
      <w:r>
        <w:rPr>
          <w:sz w:val="24"/>
          <w:szCs w:val="24"/>
        </w:rPr>
        <w:instrText xml:space="preserve"> PAGEREF _Toc22938 \h </w:instrText>
      </w:r>
      <w:r>
        <w:rPr>
          <w:sz w:val="24"/>
          <w:szCs w:val="24"/>
        </w:rPr>
        <w:fldChar w:fldCharType="separate"/>
      </w:r>
      <w:r>
        <w:rPr>
          <w:sz w:val="24"/>
          <w:szCs w:val="24"/>
        </w:rPr>
        <w:t>157</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"_Toc759" </w:instrText>
      </w:r>
      <w:r>
        <w:rPr>
          <w:sz w:val="24"/>
          <w:szCs w:val="24"/>
        </w:rPr>
        <w:fldChar w:fldCharType="separate"/>
      </w:r>
      <w:r>
        <w:rPr>
          <w:sz w:val="24"/>
          <w:szCs w:val="24"/>
        </w:rPr>
        <w:t>2-9绥宁县</w:t>
      </w:r>
      <w:r>
        <w:rPr>
          <w:sz w:val="24"/>
          <w:szCs w:val="24"/>
        </w:rPr>
        <w:tab/>
      </w:r>
      <w:r>
        <w:rPr>
          <w:sz w:val="24"/>
          <w:szCs w:val="24"/>
        </w:rPr>
        <w:fldChar w:fldCharType="begin"/>
      </w:r>
      <w:r>
        <w:rPr>
          <w:sz w:val="24"/>
          <w:szCs w:val="24"/>
        </w:rPr>
        <w:instrText xml:space="preserve"> PAGEREF _Toc759 \h </w:instrText>
      </w:r>
      <w:r>
        <w:rPr>
          <w:sz w:val="24"/>
          <w:szCs w:val="24"/>
        </w:rPr>
        <w:fldChar w:fldCharType="separate"/>
      </w:r>
      <w:r>
        <w:rPr>
          <w:sz w:val="24"/>
          <w:szCs w:val="24"/>
        </w:rPr>
        <w:t>179</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"_Toc15607" </w:instrText>
      </w:r>
      <w:r>
        <w:rPr>
          <w:sz w:val="24"/>
          <w:szCs w:val="24"/>
        </w:rPr>
        <w:fldChar w:fldCharType="separate"/>
      </w:r>
      <w:r>
        <w:rPr>
          <w:sz w:val="24"/>
          <w:szCs w:val="24"/>
        </w:rPr>
        <w:t>2-10新宁县</w:t>
      </w:r>
      <w:r>
        <w:rPr>
          <w:sz w:val="24"/>
          <w:szCs w:val="24"/>
        </w:rPr>
        <w:tab/>
      </w:r>
      <w:r>
        <w:rPr>
          <w:sz w:val="24"/>
          <w:szCs w:val="24"/>
        </w:rPr>
        <w:fldChar w:fldCharType="begin"/>
      </w:r>
      <w:r>
        <w:rPr>
          <w:sz w:val="24"/>
          <w:szCs w:val="24"/>
        </w:rPr>
        <w:instrText xml:space="preserve"> PAGEREF _Toc15607 \h </w:instrText>
      </w:r>
      <w:r>
        <w:rPr>
          <w:sz w:val="24"/>
          <w:szCs w:val="24"/>
        </w:rPr>
        <w:fldChar w:fldCharType="separate"/>
      </w:r>
      <w:r>
        <w:rPr>
          <w:sz w:val="24"/>
          <w:szCs w:val="24"/>
        </w:rPr>
        <w:t>202</w:t>
      </w:r>
      <w:r>
        <w:rPr>
          <w:sz w:val="24"/>
          <w:szCs w:val="24"/>
        </w:rPr>
        <w:fldChar w:fldCharType="end"/>
      </w:r>
      <w:r>
        <w:rPr>
          <w:sz w:val="24"/>
          <w:szCs w:val="24"/>
        </w:rPr>
        <w:fldChar w:fldCharType="end"/>
      </w:r>
    </w:p>
    <w:p>
      <w:pPr>
        <w:pStyle w:val="7"/>
        <w:tabs>
          <w:tab w:val="right" w:leader="dot" w:pos="13958"/>
        </w:tabs>
        <w:rPr>
          <w:sz w:val="24"/>
          <w:szCs w:val="24"/>
        </w:rPr>
      </w:pPr>
      <w:r>
        <w:rPr>
          <w:sz w:val="24"/>
          <w:szCs w:val="24"/>
        </w:rPr>
        <w:fldChar w:fldCharType="begin"/>
      </w:r>
      <w:r>
        <w:rPr>
          <w:sz w:val="24"/>
          <w:szCs w:val="24"/>
        </w:rPr>
        <w:instrText xml:space="preserve"> HYPERLINK \l "_Toc32348" </w:instrText>
      </w:r>
      <w:r>
        <w:rPr>
          <w:sz w:val="24"/>
          <w:szCs w:val="24"/>
        </w:rPr>
        <w:fldChar w:fldCharType="separate"/>
      </w:r>
      <w:r>
        <w:rPr>
          <w:sz w:val="24"/>
          <w:szCs w:val="24"/>
        </w:rPr>
        <w:t>2-11城步苗族自治县</w:t>
      </w:r>
      <w:r>
        <w:rPr>
          <w:sz w:val="24"/>
          <w:szCs w:val="24"/>
        </w:rPr>
        <w:tab/>
      </w:r>
      <w:r>
        <w:rPr>
          <w:sz w:val="24"/>
          <w:szCs w:val="24"/>
        </w:rPr>
        <w:fldChar w:fldCharType="begin"/>
      </w:r>
      <w:r>
        <w:rPr>
          <w:sz w:val="24"/>
          <w:szCs w:val="24"/>
        </w:rPr>
        <w:instrText xml:space="preserve"> PAGEREF _Toc32348 \h </w:instrText>
      </w:r>
      <w:r>
        <w:rPr>
          <w:sz w:val="24"/>
          <w:szCs w:val="24"/>
        </w:rPr>
        <w:fldChar w:fldCharType="separate"/>
      </w:r>
      <w:r>
        <w:rPr>
          <w:sz w:val="24"/>
          <w:szCs w:val="24"/>
        </w:rPr>
        <w:t>228</w:t>
      </w:r>
      <w:r>
        <w:rPr>
          <w:sz w:val="24"/>
          <w:szCs w:val="24"/>
        </w:rPr>
        <w:fldChar w:fldCharType="end"/>
      </w:r>
      <w:r>
        <w:rPr>
          <w:sz w:val="24"/>
          <w:szCs w:val="24"/>
        </w:rPr>
        <w:fldChar w:fldCharType="end"/>
      </w:r>
    </w:p>
    <w:p>
      <w:pPr>
        <w:pStyle w:val="7"/>
        <w:tabs>
          <w:tab w:val="right" w:leader="dot" w:pos="13958"/>
        </w:tabs>
      </w:pPr>
      <w:r>
        <w:rPr>
          <w:sz w:val="24"/>
          <w:szCs w:val="24"/>
        </w:rPr>
        <w:fldChar w:fldCharType="begin"/>
      </w:r>
      <w:r>
        <w:rPr>
          <w:sz w:val="24"/>
          <w:szCs w:val="24"/>
        </w:rPr>
        <w:instrText xml:space="preserve"> HYPERLINK \l "_Toc30443" </w:instrText>
      </w:r>
      <w:r>
        <w:rPr>
          <w:sz w:val="24"/>
          <w:szCs w:val="24"/>
        </w:rPr>
        <w:fldChar w:fldCharType="separate"/>
      </w:r>
      <w:r>
        <w:rPr>
          <w:sz w:val="24"/>
          <w:szCs w:val="24"/>
        </w:rPr>
        <w:t>2-12武冈市</w:t>
      </w:r>
      <w:r>
        <w:rPr>
          <w:sz w:val="24"/>
          <w:szCs w:val="24"/>
        </w:rPr>
        <w:tab/>
      </w:r>
      <w:r>
        <w:rPr>
          <w:sz w:val="24"/>
          <w:szCs w:val="24"/>
        </w:rPr>
        <w:fldChar w:fldCharType="begin"/>
      </w:r>
      <w:r>
        <w:rPr>
          <w:sz w:val="24"/>
          <w:szCs w:val="24"/>
        </w:rPr>
        <w:instrText xml:space="preserve"> PAGEREF _Toc30443 \h </w:instrText>
      </w:r>
      <w:r>
        <w:rPr>
          <w:sz w:val="24"/>
          <w:szCs w:val="24"/>
        </w:rPr>
        <w:fldChar w:fldCharType="separate"/>
      </w:r>
      <w:r>
        <w:rPr>
          <w:sz w:val="24"/>
          <w:szCs w:val="24"/>
        </w:rPr>
        <w:t>247</w:t>
      </w:r>
      <w:r>
        <w:rPr>
          <w:sz w:val="24"/>
          <w:szCs w:val="24"/>
        </w:rPr>
        <w:fldChar w:fldCharType="end"/>
      </w:r>
      <w:r>
        <w:rPr>
          <w:sz w:val="24"/>
          <w:szCs w:val="24"/>
        </w:rPr>
        <w:fldChar w:fldCharType="end"/>
      </w:r>
    </w:p>
    <w:p>
      <w:r>
        <w:fldChar w:fldCharType="end"/>
      </w:r>
    </w:p>
    <w:p>
      <w:pPr>
        <w:jc w:val="center"/>
        <w:outlineLvl w:val="0"/>
        <w:rPr>
          <w:b/>
          <w:color w:val="000000"/>
          <w:sz w:val="32"/>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pPr>
        <w:jc w:val="center"/>
        <w:outlineLvl w:val="0"/>
        <w:rPr>
          <w:b/>
          <w:color w:val="000000"/>
          <w:sz w:val="32"/>
        </w:rPr>
      </w:pPr>
      <w:bookmarkStart w:id="1" w:name="_Toc13649"/>
      <w:r>
        <w:rPr>
          <w:b/>
          <w:color w:val="000000"/>
          <w:sz w:val="32"/>
        </w:rPr>
        <w:t>一、邵阳市生态环境分区管控基本要求</w:t>
      </w:r>
      <w:bookmarkEnd w:id="1"/>
    </w:p>
    <w:tbl>
      <w:tblPr>
        <w:tblStyle w:val="10"/>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72"/>
        <w:gridCol w:w="1134"/>
        <w:gridCol w:w="901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0" w:type="pct"/>
            <w:shd w:val="clear" w:color="auto" w:fill="auto"/>
            <w:vAlign w:val="center"/>
          </w:tcPr>
          <w:p>
            <w:pPr>
              <w:jc w:val="center"/>
              <w:rPr>
                <w:b/>
                <w:color w:val="000000"/>
                <w:szCs w:val="21"/>
              </w:rPr>
            </w:pPr>
            <w:r>
              <w:rPr>
                <w:b/>
                <w:color w:val="000000"/>
                <w:szCs w:val="21"/>
              </w:rPr>
              <w:t>序号</w:t>
            </w:r>
          </w:p>
        </w:tc>
        <w:tc>
          <w:tcPr>
            <w:tcW w:w="268" w:type="pct"/>
            <w:shd w:val="clear" w:color="auto" w:fill="auto"/>
            <w:vAlign w:val="center"/>
          </w:tcPr>
          <w:p>
            <w:pPr>
              <w:jc w:val="center"/>
              <w:rPr>
                <w:b/>
                <w:color w:val="000000"/>
                <w:szCs w:val="21"/>
              </w:rPr>
            </w:pPr>
            <w:r>
              <w:rPr>
                <w:b/>
                <w:color w:val="000000"/>
                <w:szCs w:val="21"/>
              </w:rPr>
              <w:t>属性/区域</w:t>
            </w:r>
          </w:p>
        </w:tc>
        <w:tc>
          <w:tcPr>
            <w:tcW w:w="394" w:type="pct"/>
            <w:shd w:val="clear" w:color="auto" w:fill="auto"/>
            <w:vAlign w:val="center"/>
          </w:tcPr>
          <w:p>
            <w:pPr>
              <w:jc w:val="center"/>
              <w:rPr>
                <w:b/>
                <w:color w:val="000000"/>
                <w:szCs w:val="21"/>
              </w:rPr>
            </w:pPr>
            <w:r>
              <w:rPr>
                <w:b/>
                <w:color w:val="000000"/>
                <w:szCs w:val="21"/>
              </w:rPr>
              <w:t>管控维度</w:t>
            </w:r>
          </w:p>
        </w:tc>
        <w:tc>
          <w:tcPr>
            <w:tcW w:w="3134" w:type="pct"/>
            <w:shd w:val="clear" w:color="auto" w:fill="auto"/>
            <w:vAlign w:val="center"/>
          </w:tcPr>
          <w:p>
            <w:pPr>
              <w:jc w:val="center"/>
              <w:rPr>
                <w:b/>
                <w:color w:val="000000"/>
                <w:szCs w:val="21"/>
              </w:rPr>
            </w:pPr>
            <w:r>
              <w:rPr>
                <w:b/>
                <w:color w:val="000000"/>
                <w:szCs w:val="21"/>
              </w:rPr>
              <w:t>管控要求</w:t>
            </w:r>
          </w:p>
        </w:tc>
        <w:tc>
          <w:tcPr>
            <w:tcW w:w="941" w:type="pct"/>
            <w:shd w:val="clear" w:color="auto" w:fill="auto"/>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restart"/>
            <w:shd w:val="clear" w:color="auto" w:fill="auto"/>
            <w:vAlign w:val="center"/>
          </w:tcPr>
          <w:p>
            <w:pPr>
              <w:pStyle w:val="14"/>
              <w:numPr>
                <w:ilvl w:val="0"/>
                <w:numId w:val="1"/>
              </w:numPr>
              <w:ind w:left="0" w:firstLine="0" w:firstLineChars="0"/>
              <w:jc w:val="center"/>
              <w:rPr>
                <w:color w:val="000000"/>
                <w:szCs w:val="21"/>
              </w:rPr>
            </w:pPr>
          </w:p>
        </w:tc>
        <w:tc>
          <w:tcPr>
            <w:tcW w:w="268" w:type="pct"/>
            <w:vMerge w:val="restart"/>
            <w:shd w:val="clear" w:color="auto" w:fill="auto"/>
            <w:vAlign w:val="center"/>
          </w:tcPr>
          <w:p>
            <w:pPr>
              <w:jc w:val="center"/>
              <w:rPr>
                <w:color w:val="000000"/>
                <w:szCs w:val="21"/>
              </w:rPr>
            </w:pPr>
            <w:r>
              <w:rPr>
                <w:color w:val="000000"/>
                <w:szCs w:val="21"/>
              </w:rPr>
              <w:t>通用</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tcPr>
          <w:p>
            <w:pPr>
              <w:spacing w:line="440" w:lineRule="exact"/>
              <w:rPr>
                <w:color w:val="000000"/>
                <w:szCs w:val="21"/>
              </w:rPr>
            </w:pPr>
            <w:r>
              <w:rPr>
                <w:color w:val="000000"/>
                <w:szCs w:val="21"/>
              </w:rPr>
              <w:t>（1.1）严格控制资江岸线开发建设，科学利用岸线资源。</w:t>
            </w:r>
          </w:p>
          <w:p>
            <w:pPr>
              <w:spacing w:line="440" w:lineRule="exact"/>
              <w:rPr>
                <w:color w:val="000000"/>
                <w:szCs w:val="21"/>
              </w:rPr>
            </w:pPr>
            <w:r>
              <w:rPr>
                <w:color w:val="000000"/>
                <w:szCs w:val="21"/>
              </w:rPr>
              <w:t>（1.2）沿资江、沅江、湘江岸线1公里范围内严禁新建、扩建化工园区、化工生产项目；严禁现有合规化工园区在沿江岸线1公里范围内靠江扩建；安全环保达标的化工生产企业因生产需要可向背江一面逐步搬迁。合理布局砂石接收码头，引导河道砂石资源有序开发应用。</w:t>
            </w:r>
          </w:p>
          <w:p>
            <w:pPr>
              <w:spacing w:line="440" w:lineRule="exact"/>
              <w:rPr>
                <w:color w:val="000000"/>
                <w:szCs w:val="21"/>
              </w:rPr>
            </w:pPr>
            <w:r>
              <w:rPr>
                <w:color w:val="000000"/>
                <w:szCs w:val="21"/>
              </w:rPr>
              <w:t>（1.3）禁止在资江干流及其支流河道管理范围向外延伸五十米区域内建设垃圾收集、堆放、转运设施；已经建设的，由所在地人民政府责令搬迁。</w:t>
            </w:r>
          </w:p>
          <w:p>
            <w:pPr>
              <w:spacing w:line="440" w:lineRule="exact"/>
              <w:rPr>
                <w:color w:val="000000"/>
                <w:szCs w:val="21"/>
              </w:rPr>
            </w:pPr>
            <w:r>
              <w:rPr>
                <w:color w:val="000000"/>
                <w:szCs w:val="21"/>
              </w:rPr>
              <w:t>（1.4）禁止侵占自然湿地等水源涵养空间，强化水源涵养林建设与保护，积极推进退耕还林还草还湿、天然林资源保护、河湖与湿地保护恢复、长江防护林、生态廊道、矿山生态修复、水土流失和石漠化综合治理等生态保护修复工程。</w:t>
            </w:r>
          </w:p>
          <w:p>
            <w:pPr>
              <w:pStyle w:val="3"/>
              <w:spacing w:line="440" w:lineRule="exact"/>
              <w:rPr>
                <w:color w:val="000000"/>
                <w:szCs w:val="21"/>
              </w:rPr>
            </w:pPr>
            <w:r>
              <w:rPr>
                <w:color w:val="000000"/>
                <w:szCs w:val="21"/>
              </w:rPr>
              <w:t>（1.5）鼓励实施生态修复工程，提升生态环境质量，区内的各种开发建设活动应控制建筑规模与开发强度，严格风貌管控，确保生态安全和生态服务质量不降低。</w:t>
            </w:r>
          </w:p>
          <w:p>
            <w:pPr>
              <w:pStyle w:val="3"/>
              <w:spacing w:line="440" w:lineRule="exact"/>
              <w:rPr>
                <w:color w:val="000000"/>
                <w:szCs w:val="21"/>
              </w:rPr>
            </w:pPr>
            <w:r>
              <w:rPr>
                <w:color w:val="000000"/>
                <w:szCs w:val="21"/>
              </w:rPr>
              <w:t>（1.6）严格危险废物项目环境准入。严控新（扩）建省内综合利用能力过剩和以外省原料为主要来源的危险废物综合利用项目；禁止新建有机类危险废物热（裂）解处理项目。</w:t>
            </w:r>
          </w:p>
          <w:p>
            <w:pPr>
              <w:pStyle w:val="3"/>
              <w:spacing w:line="440" w:lineRule="exact"/>
              <w:rPr>
                <w:color w:val="000000"/>
                <w:szCs w:val="21"/>
              </w:rPr>
            </w:pPr>
            <w:r>
              <w:rPr>
                <w:color w:val="000000"/>
                <w:szCs w:val="21"/>
              </w:rPr>
              <w:t>（1.7）在资江干流及其支流水域上不得经营餐饮业。不得在资江干流及其支流天然水域进行围栏围网（含网箱）养殖和投肥投饵养殖活动。</w:t>
            </w:r>
          </w:p>
        </w:tc>
        <w:tc>
          <w:tcPr>
            <w:tcW w:w="941" w:type="pct"/>
            <w:vMerge w:val="restart"/>
            <w:shd w:val="clear" w:color="auto" w:fill="auto"/>
            <w:vAlign w:val="top"/>
          </w:tcPr>
          <w:p>
            <w:pPr>
              <w:pStyle w:val="8"/>
              <w:shd w:val="clear" w:color="auto" w:fill="FFFFFF"/>
              <w:spacing w:before="0" w:beforeAutospacing="0" w:after="0" w:afterAutospacing="0" w:line="440" w:lineRule="exact"/>
              <w:jc w:val="both"/>
              <w:rPr>
                <w:rFonts w:ascii="Times New Roman" w:hAnsi="Times New Roman" w:cs="Times New Roman"/>
                <w:color w:val="232323"/>
                <w:sz w:val="21"/>
                <w:szCs w:val="21"/>
              </w:rPr>
            </w:pPr>
            <w:r>
              <w:rPr>
                <w:rFonts w:ascii="Times New Roman" w:hAnsi="Times New Roman" w:cs="Times New Roman"/>
                <w:kern w:val="2"/>
                <w:sz w:val="21"/>
                <w:szCs w:val="21"/>
              </w:rPr>
              <w:t>（1.1）（1.3）</w:t>
            </w:r>
            <w:r>
              <w:rPr>
                <w:color w:val="000000"/>
                <w:szCs w:val="21"/>
              </w:rPr>
              <w:t>（1.7）（3.5）</w:t>
            </w:r>
            <w:r>
              <w:rPr>
                <w:rFonts w:ascii="Times New Roman" w:hAnsi="Times New Roman" w:cs="Times New Roman"/>
                <w:kern w:val="2"/>
                <w:sz w:val="21"/>
                <w:szCs w:val="21"/>
              </w:rPr>
              <w:t>《邵阳市资江保护条例》</w:t>
            </w:r>
          </w:p>
          <w:p>
            <w:pPr>
              <w:spacing w:line="440" w:lineRule="exact"/>
              <w:rPr>
                <w:color w:val="000000"/>
                <w:szCs w:val="21"/>
              </w:rPr>
            </w:pPr>
            <w:r>
              <w:rPr>
                <w:color w:val="000000"/>
                <w:szCs w:val="21"/>
              </w:rPr>
              <w:t>（1.2）《国家发改委、环境保护部印发关于加强长江黄金水道污染防控治理的指导意见的通知》（发改环资</w:t>
            </w:r>
            <w:r>
              <w:rPr>
                <w:rFonts w:hint="eastAsia"/>
                <w:color w:val="000000"/>
                <w:szCs w:val="21"/>
              </w:rPr>
              <w:t>〔2016〕370号</w:t>
            </w:r>
            <w:r>
              <w:rPr>
                <w:color w:val="000000"/>
                <w:szCs w:val="21"/>
              </w:rPr>
              <w:t>）、《邵阳市沿江化工企业搬迁改造实施方案》</w:t>
            </w:r>
          </w:p>
          <w:p>
            <w:pPr>
              <w:spacing w:line="440" w:lineRule="exact"/>
              <w:rPr>
                <w:color w:val="000000"/>
                <w:szCs w:val="21"/>
              </w:rPr>
            </w:pPr>
            <w:r>
              <w:rPr>
                <w:color w:val="000000"/>
                <w:szCs w:val="21"/>
              </w:rPr>
              <w:t>（1.4）（1.6）（2.1.1）（2.1.2）（2.1.3）（2.1.4）（2.1.5）（2.2.1）（2.2.2）（2.3.1）（2.3.2）（2.3.3）（3.2）（3.3）（3.4）（3.4）（4.1）《邵阳市“十四五”生态环境保护规划》</w:t>
            </w:r>
          </w:p>
          <w:p>
            <w:pPr>
              <w:spacing w:line="440" w:lineRule="exact"/>
              <w:rPr>
                <w:color w:val="000000"/>
                <w:szCs w:val="21"/>
              </w:rPr>
            </w:pPr>
            <w:bookmarkStart w:id="2" w:name="_Toc30947"/>
            <w:bookmarkStart w:id="3" w:name="_Toc25478"/>
            <w:bookmarkStart w:id="4" w:name="_Toc6301"/>
            <w:bookmarkStart w:id="5" w:name="_Toc3545"/>
            <w:bookmarkStart w:id="6" w:name="_Toc12569"/>
            <w:bookmarkStart w:id="7" w:name="_Toc18864"/>
            <w:bookmarkStart w:id="8" w:name="_Toc2005910210"/>
            <w:bookmarkStart w:id="9" w:name="_Toc28037"/>
            <w:bookmarkStart w:id="10" w:name="_Toc23636"/>
            <w:bookmarkStart w:id="11" w:name="_Toc28576"/>
            <w:bookmarkStart w:id="12" w:name="_Toc17261"/>
            <w:bookmarkStart w:id="13" w:name="_Toc17272"/>
            <w:bookmarkStart w:id="14" w:name="_Toc15782"/>
            <w:bookmarkStart w:id="15" w:name="_Toc25394"/>
            <w:bookmarkStart w:id="16" w:name="_Toc29914"/>
            <w:bookmarkStart w:id="17" w:name="_Toc19463"/>
            <w:bookmarkStart w:id="18" w:name="_Toc15605"/>
            <w:r>
              <w:rPr>
                <w:color w:val="000000"/>
                <w:szCs w:val="21"/>
              </w:rPr>
              <w:t>（1.5）（4.2）邵阳市国土空间总体规划</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color w:val="000000"/>
                <w:szCs w:val="21"/>
              </w:rPr>
              <w:t>（2021—2035年）</w:t>
            </w:r>
          </w:p>
          <w:p>
            <w:pPr>
              <w:widowControl/>
              <w:shd w:val="clear" w:color="auto" w:fill="FFFFFF"/>
              <w:spacing w:line="440" w:lineRule="exact"/>
              <w:rPr>
                <w:color w:val="000000"/>
                <w:szCs w:val="21"/>
              </w:rPr>
            </w:pPr>
            <w:r>
              <w:rPr>
                <w:color w:val="000000"/>
                <w:szCs w:val="21"/>
              </w:rPr>
              <w:t>（2.2.3）（2.2.4）《邵阳市大气颗粒物污染防治条例》</w:t>
            </w:r>
          </w:p>
          <w:p>
            <w:pPr>
              <w:widowControl/>
              <w:spacing w:line="440" w:lineRule="exact"/>
              <w:jc w:val="left"/>
              <w:rPr>
                <w:color w:val="000000"/>
                <w:szCs w:val="21"/>
              </w:rPr>
            </w:pPr>
            <w:r>
              <w:rPr>
                <w:color w:val="000000"/>
                <w:szCs w:val="21"/>
              </w:rPr>
              <w:t>（3.1）《邵阳市水资源保护和利用规划》</w:t>
            </w:r>
          </w:p>
          <w:p>
            <w:pPr>
              <w:pStyle w:val="15"/>
              <w:spacing w:line="440" w:lineRule="exact"/>
              <w:ind w:firstLine="0"/>
              <w:rPr>
                <w:rFonts w:ascii="Times New Roman" w:hAnsi="Times New Roman" w:cs="Times New Roman"/>
                <w:color w:val="000000"/>
                <w:sz w:val="21"/>
                <w:szCs w:val="21"/>
                <w:lang w:val="en-US" w:eastAsia="zh-CN" w:bidi="ar-SA"/>
              </w:rPr>
            </w:pPr>
            <w:r>
              <w:rPr>
                <w:rFonts w:ascii="Times New Roman" w:hAnsi="Times New Roman" w:cs="Times New Roman"/>
                <w:color w:val="000000"/>
                <w:sz w:val="21"/>
                <w:szCs w:val="21"/>
                <w:lang w:val="en-US" w:eastAsia="zh-CN" w:bidi="ar-SA"/>
              </w:rPr>
              <w:t>（4.3.1）（4.3.3）《湖南省邵阳市水资源保护和利用》</w:t>
            </w:r>
          </w:p>
          <w:p>
            <w:pPr>
              <w:pStyle w:val="15"/>
              <w:spacing w:line="440" w:lineRule="exact"/>
              <w:ind w:firstLine="0"/>
              <w:rPr>
                <w:rFonts w:ascii="Times New Roman" w:hAnsi="Times New Roman" w:cs="Times New Roman"/>
                <w:color w:val="000000"/>
                <w:sz w:val="21"/>
                <w:szCs w:val="21"/>
                <w:lang w:val="en-US" w:eastAsia="zh-CN" w:bidi="ar-SA"/>
              </w:rPr>
            </w:pPr>
            <w:r>
              <w:rPr>
                <w:rFonts w:ascii="Times New Roman" w:hAnsi="Times New Roman" w:cs="Times New Roman"/>
                <w:color w:val="000000"/>
                <w:sz w:val="21"/>
                <w:szCs w:val="21"/>
                <w:lang w:val="en-US" w:eastAsia="zh-CN" w:bidi="ar-SA"/>
              </w:rPr>
              <w:t>（4.3.4）《邵阳市“十四五”用水总量和强度双控目标》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污染物排放管控</w:t>
            </w:r>
          </w:p>
        </w:tc>
        <w:tc>
          <w:tcPr>
            <w:tcW w:w="3134" w:type="pct"/>
            <w:shd w:val="clear" w:color="auto" w:fill="auto"/>
          </w:tcPr>
          <w:p>
            <w:pPr>
              <w:spacing w:line="440" w:lineRule="exact"/>
              <w:rPr>
                <w:color w:val="000000"/>
                <w:szCs w:val="21"/>
              </w:rPr>
            </w:pPr>
            <w:r>
              <w:rPr>
                <w:color w:val="000000"/>
                <w:szCs w:val="21"/>
              </w:rPr>
              <w:t>（2.1）废水：</w:t>
            </w:r>
          </w:p>
          <w:p>
            <w:pPr>
              <w:spacing w:line="440" w:lineRule="exact"/>
              <w:ind w:firstLine="420" w:firstLineChars="200"/>
              <w:rPr>
                <w:color w:val="000000"/>
                <w:szCs w:val="21"/>
              </w:rPr>
            </w:pPr>
            <w:r>
              <w:rPr>
                <w:color w:val="000000"/>
                <w:szCs w:val="21"/>
              </w:rPr>
              <w:t>（2.1.1）全面加强入河排污口排查整治与监管，完成入河排污口区域分区体系建设，明确禁止设置、限制设置区域范围，有效规范和管控入河排污口。</w:t>
            </w:r>
          </w:p>
          <w:p>
            <w:pPr>
              <w:spacing w:line="440" w:lineRule="exact"/>
              <w:ind w:firstLine="420" w:firstLineChars="200"/>
              <w:rPr>
                <w:color w:val="000000"/>
                <w:szCs w:val="21"/>
              </w:rPr>
            </w:pPr>
            <w:r>
              <w:rPr>
                <w:color w:val="000000"/>
                <w:szCs w:val="21"/>
              </w:rPr>
              <w:t>（2.1.2）全面实行排污许可制度，推动构建以排污许可制为核心的固定污染源监管制度体系，实现固定污染源排污许可全覆盖。</w:t>
            </w:r>
          </w:p>
          <w:p>
            <w:pPr>
              <w:spacing w:line="440" w:lineRule="exact"/>
              <w:ind w:firstLine="420" w:firstLineChars="200"/>
              <w:rPr>
                <w:color w:val="000000"/>
                <w:szCs w:val="21"/>
              </w:rPr>
            </w:pPr>
            <w:r>
              <w:rPr>
                <w:color w:val="000000"/>
                <w:szCs w:val="21"/>
              </w:rPr>
              <w:t>（2.1.3）统筹规划建设城镇污水集中处理设施及其配套管网，加强生活源污染治理，推进雨污分流建设和改造，完善城市污水管网建设，推进农村生活污水治理，到2025年，基本消除城中村、老旧城区和城乡结合部生活污水收集处理设施空白区，城市生活污水集中收集率达到70%，全市乡镇政府所在地污水处理设施全覆盖。</w:t>
            </w:r>
          </w:p>
          <w:p>
            <w:pPr>
              <w:spacing w:line="440" w:lineRule="exact"/>
              <w:ind w:firstLine="420" w:firstLineChars="200"/>
              <w:rPr>
                <w:color w:val="000000"/>
                <w:szCs w:val="21"/>
              </w:rPr>
            </w:pPr>
            <w:r>
              <w:rPr>
                <w:color w:val="000000"/>
                <w:szCs w:val="21"/>
              </w:rPr>
              <w:t>（2.1.4）推进工业园区污水处理设施分类管理、分期升级改造，实现省级及以上工业园区污水管网全覆盖、污水全收集、污水集中处理设施稳定达标运行、进出水水质在线监控并联网正常，规范设置园区集中污水处理设施排污口，建立园区水环境管理“一园一档”。</w:t>
            </w:r>
          </w:p>
          <w:p>
            <w:pPr>
              <w:spacing w:line="440" w:lineRule="exact"/>
              <w:ind w:firstLine="420" w:firstLineChars="200"/>
              <w:rPr>
                <w:color w:val="000000"/>
                <w:szCs w:val="21"/>
              </w:rPr>
            </w:pPr>
            <w:r>
              <w:rPr>
                <w:color w:val="000000"/>
                <w:szCs w:val="21"/>
              </w:rPr>
              <w:t>（2.1.5）统筹实施农村黑臭水体治理与农村水系综合整治，到2025年，完成省下达目标的行政村的环境整治，农村黑臭水体治理率达到40%。</w:t>
            </w:r>
          </w:p>
          <w:p>
            <w:pPr>
              <w:spacing w:line="440" w:lineRule="exact"/>
              <w:ind w:firstLine="420" w:firstLineChars="200"/>
              <w:rPr>
                <w:color w:val="000000"/>
                <w:szCs w:val="21"/>
              </w:rPr>
            </w:pPr>
            <w:r>
              <w:rPr>
                <w:color w:val="000000"/>
                <w:szCs w:val="21"/>
              </w:rPr>
              <w:t>（2.1.6）未经批准，任何单位和个人不得在资江干流及其支流、水库、渠道新建、改建、扩建排污口；已批准的排污口应当按照有关规定设置并实现达标排放。</w:t>
            </w:r>
          </w:p>
          <w:p>
            <w:pPr>
              <w:spacing w:line="440" w:lineRule="exact"/>
              <w:rPr>
                <w:color w:val="000000"/>
                <w:szCs w:val="21"/>
              </w:rPr>
            </w:pPr>
            <w:r>
              <w:rPr>
                <w:color w:val="000000"/>
                <w:szCs w:val="21"/>
              </w:rPr>
              <w:t>（2.2）废气：</w:t>
            </w:r>
          </w:p>
          <w:p>
            <w:pPr>
              <w:spacing w:line="440" w:lineRule="exact"/>
              <w:ind w:firstLine="420" w:firstLineChars="200"/>
              <w:rPr>
                <w:color w:val="000000"/>
                <w:szCs w:val="21"/>
              </w:rPr>
            </w:pPr>
            <w:r>
              <w:rPr>
                <w:color w:val="000000"/>
                <w:szCs w:val="21"/>
              </w:rPr>
              <w:t>（2.2.1）控制挥发性有机物排放。以工业涂装、石化、化工、包装印刷、油品储运销等行业为重点，实施企业VOCs原料替代、排放全过程控制。加强汽修行业VOCs综合治理，加大餐饮油烟污染治理力度，推进城市餐饮油烟治理全覆盖。</w:t>
            </w:r>
          </w:p>
          <w:p>
            <w:pPr>
              <w:spacing w:line="440" w:lineRule="exact"/>
              <w:ind w:firstLine="420" w:firstLineChars="200"/>
              <w:rPr>
                <w:color w:val="000000"/>
                <w:szCs w:val="21"/>
              </w:rPr>
            </w:pPr>
            <w:r>
              <w:rPr>
                <w:color w:val="000000"/>
                <w:szCs w:val="21"/>
              </w:rPr>
              <w:t>（2.2.2）加强扬尘污染治理。市建成区内房屋建筑和市政基础设施工程施工工地严格落实扬尘防控"六个100%"，全面推行绿色施工，将绿色施工纳入企业资质评价、信用评价。渣土车实施硬覆盖与全密闭运输，强化道路绿化用地扬尘治理。</w:t>
            </w:r>
          </w:p>
          <w:p>
            <w:pPr>
              <w:spacing w:line="440" w:lineRule="exact"/>
              <w:ind w:firstLine="420" w:firstLineChars="200"/>
              <w:rPr>
                <w:color w:val="000000"/>
                <w:szCs w:val="21"/>
              </w:rPr>
            </w:pPr>
            <w:r>
              <w:rPr>
                <w:color w:val="000000"/>
                <w:szCs w:val="21"/>
              </w:rPr>
              <w:t>（2.2.3）禁止在划定区域内露天焚烧秸秆、落叶等产生烟尘污染的物质。</w:t>
            </w:r>
          </w:p>
          <w:p>
            <w:pPr>
              <w:spacing w:line="440" w:lineRule="exact"/>
              <w:ind w:firstLine="420" w:firstLineChars="200"/>
              <w:rPr>
                <w:color w:val="000000"/>
                <w:szCs w:val="21"/>
              </w:rPr>
            </w:pPr>
            <w:r>
              <w:rPr>
                <w:color w:val="000000"/>
                <w:szCs w:val="21"/>
              </w:rPr>
              <w:t>（2.2.4）钢铁、建材、有色金属、石油、化工、火力发电等企业应当采用清洁生产工艺，加快清洁烟气排放改造，减少大气颗粒物污染排放量。</w:t>
            </w:r>
          </w:p>
          <w:p>
            <w:pPr>
              <w:pStyle w:val="3"/>
              <w:spacing w:line="440" w:lineRule="exact"/>
              <w:rPr>
                <w:color w:val="000000"/>
                <w:szCs w:val="21"/>
              </w:rPr>
            </w:pPr>
            <w:r>
              <w:rPr>
                <w:color w:val="000000"/>
                <w:szCs w:val="21"/>
              </w:rPr>
              <w:t>（2.3）固体废物：</w:t>
            </w:r>
          </w:p>
          <w:p>
            <w:pPr>
              <w:spacing w:line="440" w:lineRule="exact"/>
              <w:ind w:firstLine="420" w:firstLineChars="200"/>
              <w:rPr>
                <w:color w:val="000000"/>
                <w:szCs w:val="21"/>
              </w:rPr>
            </w:pPr>
            <w:r>
              <w:rPr>
                <w:color w:val="000000"/>
                <w:szCs w:val="21"/>
              </w:rPr>
              <w:t>（2.3.1）严格控制涉重金属行业污染物排放，严格重金属污染物排放量"等量置换”和“减量替换”，持续减少重金属污染物排放，到2025年，重点行业重点重金属污染物排放量下降5%。</w:t>
            </w:r>
          </w:p>
          <w:p>
            <w:pPr>
              <w:pStyle w:val="3"/>
              <w:spacing w:line="440" w:lineRule="exact"/>
              <w:ind w:firstLine="420" w:firstLineChars="200"/>
              <w:rPr>
                <w:color w:val="000000"/>
                <w:szCs w:val="21"/>
              </w:rPr>
            </w:pPr>
            <w:r>
              <w:rPr>
                <w:color w:val="000000"/>
                <w:szCs w:val="21"/>
              </w:rPr>
              <w:t>（2.3.2）实施生活垃圾分类制度，建设分类投放、分类收集、分类运输、分类处置的生活垃圾管理系统，到2025年，邵阳市城区基本建成生活垃圾分类处理系统。城市生活垃圾无害化处置率达到100%，城市生活垃圾资源化利用率达到60%。</w:t>
            </w:r>
          </w:p>
          <w:p>
            <w:pPr>
              <w:spacing w:line="440" w:lineRule="exact"/>
              <w:ind w:firstLine="420" w:firstLineChars="200"/>
              <w:rPr>
                <w:strike/>
                <w:color w:val="000000"/>
                <w:szCs w:val="21"/>
              </w:rPr>
            </w:pPr>
            <w:r>
              <w:rPr>
                <w:color w:val="000000"/>
                <w:szCs w:val="21"/>
              </w:rPr>
              <w:t>（2.3.3）</w:t>
            </w:r>
            <w:r>
              <w:rPr>
                <w:color w:val="000000"/>
              </w:rPr>
              <w:t>推动建筑垃圾资源化利用，构建建筑垃圾资源化利用标准体系，全面提升建筑垃圾资源化率。到</w:t>
            </w:r>
            <w:r>
              <w:rPr>
                <w:b/>
                <w:bCs/>
                <w:color w:val="000000"/>
              </w:rPr>
              <w:t>2025</w:t>
            </w:r>
            <w:r>
              <w:rPr>
                <w:color w:val="000000"/>
              </w:rPr>
              <w:t>年，建筑垃圾资源化利用率达到</w:t>
            </w:r>
            <w:r>
              <w:rPr>
                <w:b/>
                <w:bCs/>
                <w:color w:val="000000"/>
              </w:rPr>
              <w:t>50%</w:t>
            </w:r>
            <w:r>
              <w:rPr>
                <w:color w:val="000000"/>
              </w:rPr>
              <w:t>以上。</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环境风险防控</w:t>
            </w:r>
          </w:p>
        </w:tc>
        <w:tc>
          <w:tcPr>
            <w:tcW w:w="3134" w:type="pct"/>
            <w:shd w:val="clear" w:color="auto" w:fill="auto"/>
          </w:tcPr>
          <w:p>
            <w:pPr>
              <w:widowControl/>
              <w:spacing w:line="440" w:lineRule="exact"/>
              <w:jc w:val="left"/>
              <w:rPr>
                <w:color w:val="000000"/>
                <w:szCs w:val="21"/>
              </w:rPr>
            </w:pPr>
            <w:r>
              <w:rPr>
                <w:color w:val="000000"/>
                <w:szCs w:val="21"/>
              </w:rPr>
              <w:t>（3.1）严格监管水上危险化学品运输，确保船舶运输环境安全，制定河道污染事故应急方案。</w:t>
            </w:r>
          </w:p>
          <w:p>
            <w:pPr>
              <w:spacing w:line="440" w:lineRule="exact"/>
              <w:rPr>
                <w:color w:val="000000"/>
                <w:szCs w:val="21"/>
              </w:rPr>
            </w:pPr>
            <w:r>
              <w:rPr>
                <w:color w:val="000000"/>
                <w:szCs w:val="21"/>
              </w:rPr>
              <w:t>（3.2）加强集中式饮用水水源水质监测，将“千吨万人”集中式饮用水水源纳入常规监测；健全饮用水水源地环境应急管理机制。建立水源地风险评估和水质预警预报系统。</w:t>
            </w:r>
          </w:p>
          <w:p>
            <w:pPr>
              <w:spacing w:line="440" w:lineRule="exact"/>
              <w:rPr>
                <w:color w:val="000000"/>
                <w:szCs w:val="21"/>
              </w:rPr>
            </w:pPr>
            <w:r>
              <w:rPr>
                <w:color w:val="000000"/>
                <w:szCs w:val="21"/>
              </w:rPr>
              <w:t>（3.3）</w:t>
            </w:r>
            <w:r>
              <w:rPr>
                <w:szCs w:val="21"/>
              </w:rPr>
              <w:t>严格涉重金属重点行业环境准入，</w:t>
            </w:r>
            <w:r>
              <w:rPr>
                <w:color w:val="000000"/>
                <w:szCs w:val="21"/>
              </w:rPr>
              <w:t>聚焦重有色金属采选冶炼、电镀等重点行业和重点区域，坚持严控增量、削减存量，持续推进镉、锑、汞、砷、铅、铬、铊等重点重金属污染防控。</w:t>
            </w:r>
          </w:p>
          <w:p>
            <w:pPr>
              <w:spacing w:line="440" w:lineRule="exact"/>
              <w:rPr>
                <w:color w:val="000000"/>
                <w:szCs w:val="21"/>
              </w:rPr>
            </w:pPr>
            <w:r>
              <w:rPr>
                <w:color w:val="000000"/>
                <w:szCs w:val="21"/>
              </w:rPr>
              <w:t>（3.4）加强重污染天气应急响应，修订完善并持续更新重污染天气应急预案，细化应急减排措施，实施应急减排清单化管理。督促工业企业按照“一厂一案”要求，配套制定具体的应急响应操作方案。</w:t>
            </w:r>
          </w:p>
          <w:p>
            <w:pPr>
              <w:spacing w:line="440" w:lineRule="exact"/>
              <w:rPr>
                <w:color w:val="000000"/>
                <w:szCs w:val="21"/>
              </w:rPr>
            </w:pPr>
            <w:r>
              <w:rPr>
                <w:color w:val="000000"/>
                <w:szCs w:val="21"/>
              </w:rPr>
              <w:t>（3.5）定期在资江流域开展重金属污染状况调查评估，确定区域内重点防控的重金属污染地区、行业和企业。整治涉重金属矿区历史遗留固体废物，防控矿产资源开发污染土壤。</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资源开发效率要求</w:t>
            </w:r>
          </w:p>
        </w:tc>
        <w:tc>
          <w:tcPr>
            <w:tcW w:w="3134" w:type="pct"/>
            <w:shd w:val="clear" w:color="auto" w:fill="auto"/>
          </w:tcPr>
          <w:p>
            <w:pPr>
              <w:pStyle w:val="15"/>
              <w:spacing w:line="440" w:lineRule="exact"/>
              <w:ind w:firstLine="0"/>
              <w:rPr>
                <w:rFonts w:ascii="Times New Roman" w:hAnsi="Times New Roman" w:cs="Times New Roman"/>
                <w:color w:val="000000"/>
                <w:sz w:val="21"/>
                <w:szCs w:val="21"/>
                <w:lang w:val="en-US" w:eastAsia="zh-CN" w:bidi="ar-SA"/>
              </w:rPr>
            </w:pPr>
            <w:r>
              <w:rPr>
                <w:rFonts w:ascii="Times New Roman" w:hAnsi="Times New Roman" w:cs="Times New Roman"/>
                <w:color w:val="000000"/>
                <w:sz w:val="21"/>
                <w:szCs w:val="21"/>
                <w:lang w:val="en-US" w:eastAsia="zh-CN" w:bidi="ar-SA"/>
              </w:rPr>
              <w:t>（4.1）能源：到2025年，非化石能源消费占比提升至26%</w:t>
            </w:r>
            <w:r>
              <w:rPr>
                <w:rFonts w:ascii="Times New Roman" w:hAnsi="Times New Roman" w:cs="Times New Roman"/>
                <w:color w:val="000000"/>
                <w:sz w:val="21"/>
                <w:szCs w:val="21"/>
                <w:lang w:val="en-US" w:eastAsia="en-US" w:bidi="ar-SA"/>
              </w:rPr>
              <w:t>o</w:t>
            </w:r>
            <w:r>
              <w:rPr>
                <w:rFonts w:ascii="Times New Roman" w:hAnsi="Times New Roman" w:cs="Times New Roman"/>
                <w:color w:val="000000"/>
                <w:sz w:val="21"/>
                <w:szCs w:val="21"/>
                <w:lang w:val="en-US" w:eastAsia="zh-CN" w:bidi="ar-SA"/>
              </w:rPr>
              <w:t>实施终端能源清洁化替代，加快工业、建筑、交通等领域电气化发展，推行清洁能源替代，逐步改善农村用能结构，提倡使用太阳能、石油液化气、电、沼气等清洁能源。</w:t>
            </w:r>
          </w:p>
          <w:p>
            <w:pPr>
              <w:pStyle w:val="15"/>
              <w:spacing w:line="440" w:lineRule="exact"/>
              <w:ind w:firstLine="0"/>
              <w:rPr>
                <w:rFonts w:ascii="Times New Roman" w:hAnsi="Times New Roman" w:cs="Times New Roman"/>
                <w:strike/>
                <w:color w:val="000000"/>
                <w:szCs w:val="21"/>
                <w:lang w:eastAsia="zh-CN"/>
              </w:rPr>
            </w:pPr>
            <w:r>
              <w:rPr>
                <w:rFonts w:ascii="Times New Roman" w:hAnsi="Times New Roman" w:cs="Times New Roman"/>
                <w:color w:val="000000"/>
                <w:sz w:val="21"/>
                <w:szCs w:val="21"/>
                <w:lang w:val="en-US" w:eastAsia="zh-CN" w:bidi="ar-SA"/>
              </w:rPr>
              <w:t>（4.2）土地资源：规划至2035年，市域城镇建设用地不超过450.93平方千米，村庄建设用地规模不超过1165.30平方千米。市辖区城镇建设用地规模不超过131.71平方千米，村庄建设用地规模不超过45.08平方千米。</w:t>
            </w:r>
          </w:p>
          <w:p>
            <w:pPr>
              <w:widowControl/>
              <w:spacing w:line="440" w:lineRule="exact"/>
              <w:jc w:val="left"/>
              <w:rPr>
                <w:color w:val="000000"/>
                <w:szCs w:val="21"/>
              </w:rPr>
            </w:pPr>
            <w:r>
              <w:rPr>
                <w:color w:val="000000"/>
                <w:szCs w:val="21"/>
              </w:rPr>
              <w:t>（4.3）水资源：</w:t>
            </w:r>
          </w:p>
          <w:p>
            <w:pPr>
              <w:spacing w:line="440" w:lineRule="exact"/>
              <w:ind w:firstLine="420" w:firstLineChars="200"/>
              <w:rPr>
                <w:color w:val="000000"/>
                <w:szCs w:val="21"/>
              </w:rPr>
            </w:pPr>
            <w:r>
              <w:rPr>
                <w:color w:val="000000"/>
                <w:szCs w:val="21"/>
              </w:rPr>
              <w:t>（4.3.1）统筹协调全市生活、生产和生态环境用水，合理配置地表水和地下水。坚持节约用水，高效利用的原则，在全市有计划、有步骤地开展节水型社会建设，切实提高水资源的利用效率。</w:t>
            </w:r>
          </w:p>
          <w:p>
            <w:pPr>
              <w:spacing w:line="440" w:lineRule="exact"/>
              <w:ind w:firstLine="420" w:firstLineChars="200"/>
              <w:rPr>
                <w:color w:val="000000"/>
                <w:szCs w:val="21"/>
              </w:rPr>
            </w:pPr>
            <w:r>
              <w:rPr>
                <w:color w:val="000000"/>
                <w:szCs w:val="21"/>
              </w:rPr>
              <w:t>（4.3.2）2025年万元工业增加值用水量为48m3/万元，根据节约用水规划及《湖南省邵阳市水安全规划》，2030年拟定万元工业增加值用水量39m³/万元。</w:t>
            </w:r>
          </w:p>
          <w:p>
            <w:pPr>
              <w:spacing w:line="440" w:lineRule="exact"/>
              <w:ind w:firstLine="420" w:firstLineChars="200"/>
              <w:rPr>
                <w:color w:val="000000"/>
                <w:szCs w:val="21"/>
              </w:rPr>
            </w:pPr>
            <w:r>
              <w:rPr>
                <w:color w:val="000000"/>
                <w:szCs w:val="21"/>
              </w:rPr>
              <w:t>（4.3.3）到2025年，全市用水总量为27.09亿m³；万元地区</w:t>
            </w:r>
            <w:r>
              <w:rPr>
                <w:color w:val="000000"/>
              </w:rPr>
              <w:t>生产总值</w:t>
            </w:r>
            <w:r>
              <w:rPr>
                <w:color w:val="000000"/>
                <w:szCs w:val="21"/>
              </w:rPr>
              <w:t>用水量比2020年下降21.03%；万元工业增加值用水量比2020年下降13.02%；农田灌溉用水有效利用系数为0.558。</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260" w:type="pct"/>
            <w:vMerge w:val="restart"/>
            <w:shd w:val="clear" w:color="auto" w:fill="auto"/>
            <w:vAlign w:val="center"/>
          </w:tcPr>
          <w:p>
            <w:pPr>
              <w:pStyle w:val="14"/>
              <w:numPr>
                <w:ilvl w:val="0"/>
                <w:numId w:val="1"/>
              </w:numPr>
              <w:ind w:left="0" w:firstLine="0" w:firstLineChars="0"/>
              <w:jc w:val="center"/>
              <w:rPr>
                <w:color w:val="000000"/>
                <w:szCs w:val="21"/>
              </w:rPr>
            </w:pPr>
          </w:p>
        </w:tc>
        <w:tc>
          <w:tcPr>
            <w:tcW w:w="268" w:type="pct"/>
            <w:vMerge w:val="restart"/>
            <w:shd w:val="clear" w:color="auto" w:fill="auto"/>
            <w:vAlign w:val="center"/>
          </w:tcPr>
          <w:p>
            <w:pPr>
              <w:jc w:val="center"/>
              <w:rPr>
                <w:color w:val="000000"/>
                <w:szCs w:val="21"/>
              </w:rPr>
            </w:pPr>
            <w:r>
              <w:rPr>
                <w:color w:val="000000"/>
                <w:szCs w:val="21"/>
              </w:rPr>
              <w:t>城镇空间</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tcPr>
          <w:p>
            <w:pPr>
              <w:spacing w:line="440" w:lineRule="exact"/>
              <w:rPr>
                <w:color w:val="000000"/>
                <w:szCs w:val="21"/>
              </w:rPr>
            </w:pPr>
            <w:r>
              <w:rPr>
                <w:color w:val="000000"/>
                <w:szCs w:val="21"/>
              </w:rPr>
              <w:t>（1.1）城市建成区和城镇居民区不得新建、改建和扩建畜禽养殖场（小区），已有的畜禽养殖场（小区）应当限期关闭或搬迁。</w:t>
            </w:r>
          </w:p>
          <w:p>
            <w:pPr>
              <w:pStyle w:val="16"/>
              <w:adjustRightInd/>
              <w:snapToGrid/>
              <w:spacing w:line="440" w:lineRule="exact"/>
              <w:jc w:val="left"/>
              <w:rPr>
                <w:rFonts w:ascii="Times New Roman" w:hAnsi="Times New Roman" w:cs="Times New Roman"/>
                <w:kern w:val="2"/>
                <w:sz w:val="21"/>
                <w:szCs w:val="21"/>
              </w:rPr>
            </w:pPr>
            <w:r>
              <w:rPr>
                <w:rFonts w:ascii="Times New Roman" w:hAnsi="Times New Roman" w:cs="Times New Roman"/>
                <w:kern w:val="2"/>
                <w:sz w:val="21"/>
                <w:szCs w:val="21"/>
              </w:rPr>
              <w:t>（1.2）城市建成区淘汰单台出力小于20t/h以下的燃煤锅炉，淘汰小于等于35t/h以下的燃煤锅炉，城市非建成区完成10t/h及以下燃煤锅炉淘汰。禁燃区内禁止销售高污染燃料。</w:t>
            </w:r>
          </w:p>
          <w:p>
            <w:pPr>
              <w:spacing w:line="440" w:lineRule="exact"/>
              <w:rPr>
                <w:color w:val="000000"/>
                <w:szCs w:val="21"/>
              </w:rPr>
            </w:pPr>
            <w:r>
              <w:rPr>
                <w:color w:val="000000"/>
                <w:szCs w:val="21"/>
              </w:rPr>
              <w:t>（1.3）大力开展城市双修行动，实施城市污水治理、垃圾治理、城市环境绿化亮化净化、公共空间提质等工程，有效提升城市品质。</w:t>
            </w:r>
          </w:p>
          <w:p>
            <w:pPr>
              <w:spacing w:line="440" w:lineRule="exact"/>
              <w:rPr>
                <w:color w:val="000000"/>
                <w:szCs w:val="21"/>
              </w:rPr>
            </w:pPr>
            <w:r>
              <w:rPr>
                <w:color w:val="000000"/>
                <w:szCs w:val="21"/>
              </w:rPr>
              <w:t>（1.4）城市规划区2030年总建设用地规模控制在16245公顷以内，其中城乡居民点建设用地面积控制在13565公顷以内。</w:t>
            </w:r>
          </w:p>
        </w:tc>
        <w:tc>
          <w:tcPr>
            <w:tcW w:w="941" w:type="pct"/>
            <w:vMerge w:val="restart"/>
            <w:shd w:val="clear" w:color="auto" w:fill="auto"/>
          </w:tcPr>
          <w:p>
            <w:pPr>
              <w:spacing w:line="440" w:lineRule="exact"/>
              <w:rPr>
                <w:color w:val="000000"/>
                <w:szCs w:val="21"/>
              </w:rPr>
            </w:pPr>
            <w:r>
              <w:rPr>
                <w:color w:val="000000"/>
                <w:szCs w:val="21"/>
              </w:rPr>
              <w:t>（1.1</w:t>
            </w:r>
            <w:r>
              <w:rPr>
                <w:rFonts w:hint="eastAsia"/>
                <w:color w:val="000000"/>
                <w:szCs w:val="21"/>
              </w:rPr>
              <w:t>）</w:t>
            </w:r>
            <w:r>
              <w:rPr>
                <w:color w:val="000000"/>
                <w:szCs w:val="21"/>
              </w:rPr>
              <w:t>《邵阳市畜禽养殖管理办法》</w:t>
            </w:r>
          </w:p>
          <w:p>
            <w:pPr>
              <w:spacing w:line="440" w:lineRule="exact"/>
              <w:rPr>
                <w:color w:val="000000"/>
                <w:szCs w:val="21"/>
              </w:rPr>
            </w:pPr>
            <w:r>
              <w:rPr>
                <w:color w:val="000000"/>
                <w:szCs w:val="21"/>
              </w:rPr>
              <w:t>（1.2）《邵阳市城区高污染燃料禁燃区管理办法》</w:t>
            </w:r>
          </w:p>
          <w:p>
            <w:pPr>
              <w:spacing w:line="440" w:lineRule="exact"/>
              <w:rPr>
                <w:color w:val="000000"/>
                <w:szCs w:val="21"/>
              </w:rPr>
            </w:pPr>
            <w:r>
              <w:rPr>
                <w:color w:val="000000"/>
                <w:szCs w:val="21"/>
              </w:rPr>
              <w:t>（1.3）《邵阳市“十四五”新型城镇化规划》</w:t>
            </w:r>
          </w:p>
          <w:p>
            <w:pPr>
              <w:spacing w:line="440" w:lineRule="exact"/>
              <w:rPr>
                <w:color w:val="000000"/>
                <w:szCs w:val="21"/>
              </w:rPr>
            </w:pPr>
            <w:r>
              <w:rPr>
                <w:color w:val="000000"/>
                <w:szCs w:val="21"/>
              </w:rPr>
              <w:t>（1.4）《邵阳市城市总体规划（2016—2030）》</w:t>
            </w:r>
          </w:p>
          <w:p>
            <w:pPr>
              <w:spacing w:line="440" w:lineRule="exact"/>
              <w:rPr>
                <w:szCs w:val="44"/>
              </w:rPr>
            </w:pPr>
            <w:r>
              <w:rPr>
                <w:color w:val="000000"/>
                <w:szCs w:val="21"/>
              </w:rPr>
              <w:t>（2.1.1）《水资源保护和利用规划（2021</w:t>
            </w:r>
            <w:r>
              <w:rPr>
                <w:rFonts w:hint="eastAsia"/>
                <w:color w:val="000000"/>
                <w:szCs w:val="21"/>
              </w:rPr>
              <w:t>～</w:t>
            </w:r>
            <w:r>
              <w:rPr>
                <w:color w:val="000000"/>
                <w:szCs w:val="21"/>
              </w:rPr>
              <w:t>2030年）》</w:t>
            </w:r>
          </w:p>
          <w:p>
            <w:pPr>
              <w:spacing w:line="440" w:lineRule="exact"/>
              <w:rPr>
                <w:color w:val="000000"/>
                <w:szCs w:val="21"/>
              </w:rPr>
            </w:pPr>
            <w:r>
              <w:rPr>
                <w:szCs w:val="44"/>
              </w:rPr>
              <w:t>（2.1.2）</w:t>
            </w:r>
            <w:r>
              <w:rPr>
                <w:color w:val="000000"/>
                <w:szCs w:val="21"/>
              </w:rPr>
              <w:t>（2.1.3）（2.2.2）</w:t>
            </w:r>
            <w:r>
              <w:rPr>
                <w:color w:val="000000"/>
              </w:rPr>
              <w:t>（2.3.1）</w:t>
            </w:r>
            <w:r>
              <w:rPr>
                <w:rFonts w:ascii="Times New Roman" w:hAnsi="Times New Roman" w:cs="Times New Roman"/>
                <w:color w:val="000000"/>
                <w:sz w:val="21"/>
                <w:szCs w:val="22"/>
                <w:lang w:val="en-US" w:eastAsia="zh-CN" w:bidi="ar-SA"/>
              </w:rPr>
              <w:t>（2.3.2）</w:t>
            </w:r>
            <w:r>
              <w:rPr>
                <w:color w:val="000000"/>
                <w:szCs w:val="21"/>
              </w:rPr>
              <w:t>（3.1）（3.2）（4.1）《邵阳市“十四五”生态环境保护规划》</w:t>
            </w:r>
          </w:p>
          <w:p>
            <w:pPr>
              <w:spacing w:line="440" w:lineRule="exact"/>
              <w:rPr>
                <w:szCs w:val="44"/>
              </w:rPr>
            </w:pPr>
            <w:r>
              <w:rPr>
                <w:color w:val="000000"/>
                <w:szCs w:val="21"/>
              </w:rPr>
              <w:t>（2.2.1）《邵阳市大气颗粒物污染防治条例》</w:t>
            </w:r>
          </w:p>
          <w:p>
            <w:pPr>
              <w:spacing w:line="440" w:lineRule="exact"/>
              <w:rPr>
                <w:color w:val="000000"/>
                <w:szCs w:val="21"/>
              </w:rPr>
            </w:pPr>
            <w:r>
              <w:rPr>
                <w:color w:val="000000"/>
                <w:szCs w:val="21"/>
              </w:rPr>
              <w:t>（4.2）《邵阳市国土空间总体规划（2021—2035年）》</w:t>
            </w:r>
          </w:p>
          <w:p>
            <w:pPr>
              <w:spacing w:line="440" w:lineRule="exact"/>
              <w:rPr>
                <w:color w:val="000000"/>
                <w:szCs w:val="21"/>
              </w:rPr>
            </w:pPr>
            <w:r>
              <w:rPr>
                <w:color w:val="000000"/>
                <w:szCs w:val="21"/>
              </w:rPr>
              <w:t>（4.3）《湖南省邵阳市水资源保护和利用规划（2021</w:t>
            </w:r>
            <w:r>
              <w:rPr>
                <w:rFonts w:hint="eastAsia"/>
                <w:color w:val="000000"/>
                <w:szCs w:val="21"/>
              </w:rPr>
              <w:t>—</w:t>
            </w:r>
            <w:r>
              <w:rPr>
                <w:color w:val="000000"/>
                <w:szCs w:val="21"/>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0" w:hRule="atLeast"/>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污染物排放管控</w:t>
            </w:r>
          </w:p>
        </w:tc>
        <w:tc>
          <w:tcPr>
            <w:tcW w:w="3134" w:type="pct"/>
            <w:shd w:val="clear" w:color="auto" w:fill="auto"/>
          </w:tcPr>
          <w:p>
            <w:pPr>
              <w:pStyle w:val="3"/>
              <w:spacing w:line="440" w:lineRule="exact"/>
              <w:rPr>
                <w:szCs w:val="44"/>
              </w:rPr>
            </w:pPr>
            <w:r>
              <w:rPr>
                <w:szCs w:val="44"/>
              </w:rPr>
              <w:t>（2.1）废水：</w:t>
            </w:r>
          </w:p>
          <w:p>
            <w:pPr>
              <w:pStyle w:val="3"/>
              <w:spacing w:line="440" w:lineRule="exact"/>
              <w:ind w:firstLine="420" w:firstLineChars="200"/>
              <w:rPr>
                <w:szCs w:val="44"/>
              </w:rPr>
            </w:pPr>
            <w:r>
              <w:rPr>
                <w:szCs w:val="44"/>
              </w:rPr>
              <w:t>（2.1.1）规划区城镇污水处理率达到95%以上，污水再生利用率达到10%以上。</w:t>
            </w:r>
          </w:p>
          <w:p>
            <w:pPr>
              <w:pStyle w:val="3"/>
              <w:spacing w:line="440" w:lineRule="exact"/>
              <w:ind w:firstLine="420" w:firstLineChars="200"/>
              <w:rPr>
                <w:szCs w:val="44"/>
              </w:rPr>
            </w:pPr>
            <w:r>
              <w:rPr>
                <w:szCs w:val="44"/>
              </w:rPr>
              <w:t>（2.1.2）持续打好城市黑臭水体治理攻坚战，市区建成区实现黑臭水体长制久清，县级城市建成区基本消除黑臭水体。</w:t>
            </w:r>
          </w:p>
          <w:p>
            <w:pPr>
              <w:pStyle w:val="3"/>
              <w:spacing w:line="440" w:lineRule="exact"/>
              <w:ind w:firstLine="420" w:firstLineChars="200"/>
              <w:rPr>
                <w:szCs w:val="44"/>
              </w:rPr>
            </w:pPr>
            <w:r>
              <w:rPr>
                <w:szCs w:val="44"/>
              </w:rPr>
              <w:t>（2.1.3）补齐城乡污水收集和处理设施短板，加强生活源污染治理，完善城市污水管网建设，实现建成区污水管网全覆盖，改造老旧破损管网及检查井。</w:t>
            </w:r>
          </w:p>
          <w:p>
            <w:pPr>
              <w:pStyle w:val="3"/>
              <w:spacing w:line="440" w:lineRule="exact"/>
              <w:rPr>
                <w:szCs w:val="44"/>
              </w:rPr>
            </w:pPr>
            <w:r>
              <w:rPr>
                <w:szCs w:val="44"/>
              </w:rPr>
              <w:t>（2.2）废气：</w:t>
            </w:r>
          </w:p>
          <w:p>
            <w:pPr>
              <w:pStyle w:val="3"/>
              <w:spacing w:line="440" w:lineRule="exact"/>
              <w:ind w:firstLine="420" w:firstLineChars="200"/>
              <w:rPr>
                <w:szCs w:val="44"/>
              </w:rPr>
            </w:pPr>
            <w:r>
              <w:rPr>
                <w:szCs w:val="44"/>
              </w:rPr>
              <w:t>（2.2.1）排放油烟的餐饮服务业经营者应当安装油烟净化设施并保持正常使用，或者采取其他油烟净化措施，保证油烟达标排放，不得将油烟废气排入地下管道。</w:t>
            </w:r>
          </w:p>
          <w:p>
            <w:pPr>
              <w:pStyle w:val="3"/>
              <w:spacing w:line="440" w:lineRule="exact"/>
              <w:ind w:firstLine="420" w:firstLineChars="200"/>
              <w:rPr>
                <w:szCs w:val="44"/>
              </w:rPr>
            </w:pPr>
            <w:r>
              <w:rPr>
                <w:szCs w:val="44"/>
              </w:rPr>
              <w:t>（2.2.2）逐步完成老旧汽油车辆（国家第二阶段排放标准及以下）及老旧柴油车辆（国家第三阶段排放标准及以下）淘汰。</w:t>
            </w:r>
          </w:p>
          <w:p>
            <w:pPr>
              <w:pStyle w:val="3"/>
              <w:spacing w:line="440" w:lineRule="exact"/>
              <w:rPr>
                <w:szCs w:val="44"/>
              </w:rPr>
            </w:pPr>
            <w:r>
              <w:rPr>
                <w:szCs w:val="44"/>
              </w:rPr>
              <w:t>（2.3）固体废物：</w:t>
            </w:r>
          </w:p>
          <w:p>
            <w:pPr>
              <w:pStyle w:val="3"/>
              <w:spacing w:line="440" w:lineRule="exact"/>
              <w:ind w:firstLine="420" w:firstLineChars="200"/>
              <w:rPr>
                <w:szCs w:val="44"/>
              </w:rPr>
            </w:pPr>
            <w:r>
              <w:rPr>
                <w:szCs w:val="44"/>
              </w:rPr>
              <w:t>（2.3.1）强化生活垃圾分类管理。实施生活垃圾分类制度，建设分类投放、分类收集、分类运输、分类处置的生活垃圾管理系统，到2025年，邵阳市城区基本建成生活垃圾分类处理系统。</w:t>
            </w:r>
          </w:p>
          <w:p>
            <w:pPr>
              <w:pStyle w:val="3"/>
              <w:spacing w:line="440" w:lineRule="exact"/>
              <w:ind w:firstLine="420" w:firstLineChars="200"/>
              <w:rPr>
                <w:strike/>
                <w:color w:val="000000"/>
                <w:szCs w:val="21"/>
              </w:rPr>
            </w:pPr>
            <w:r>
              <w:rPr>
                <w:szCs w:val="44"/>
              </w:rPr>
              <w:t>（2.3.2）到2025年，城市生活垃圾无害化处置率达到100%，城市生活垃圾资源化利用率达到60%。</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环境风险防控</w:t>
            </w:r>
          </w:p>
        </w:tc>
        <w:tc>
          <w:tcPr>
            <w:tcW w:w="3134" w:type="pct"/>
            <w:shd w:val="clear" w:color="auto" w:fill="auto"/>
          </w:tcPr>
          <w:p>
            <w:pPr>
              <w:spacing w:line="440" w:lineRule="exact"/>
              <w:rPr>
                <w:color w:val="000000"/>
                <w:szCs w:val="21"/>
              </w:rPr>
            </w:pPr>
            <w:r>
              <w:rPr>
                <w:color w:val="000000"/>
                <w:szCs w:val="21"/>
              </w:rPr>
              <w:t>（3.1）加强饮用水水源保护区环境管理，每年完成一次饮用水水源保护区环境现状调查评估，识别并及时解决环境问题，维护饮用水水源水质安全。</w:t>
            </w:r>
          </w:p>
          <w:p>
            <w:pPr>
              <w:spacing w:line="440" w:lineRule="exact"/>
              <w:rPr>
                <w:color w:val="000000"/>
                <w:szCs w:val="21"/>
              </w:rPr>
            </w:pPr>
            <w:r>
              <w:rPr>
                <w:color w:val="000000"/>
                <w:szCs w:val="21"/>
              </w:rPr>
              <w:t>（3.2）建立重金属污染地块信息库、建设用地土壤污染风险管控和修复名录，加强与建设用地审批衔接，实现对建设用地的精准管控。</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资源开发效率要求</w:t>
            </w:r>
          </w:p>
        </w:tc>
        <w:tc>
          <w:tcPr>
            <w:tcW w:w="3134" w:type="pct"/>
            <w:shd w:val="clear" w:color="auto" w:fill="auto"/>
          </w:tcPr>
          <w:p>
            <w:pPr>
              <w:spacing w:line="440" w:lineRule="exact"/>
              <w:rPr>
                <w:color w:val="000000"/>
                <w:szCs w:val="21"/>
              </w:rPr>
            </w:pPr>
            <w:r>
              <w:rPr>
                <w:color w:val="000000"/>
                <w:szCs w:val="21"/>
              </w:rPr>
              <w:t>（4.1）能源：优化能源结构，构建清洁低碳、安全高效的现代能源体系，控制化石能源消费总量，合理控制煤炭消费总量，提升煤炭清洁化利用率。</w:t>
            </w:r>
          </w:p>
          <w:p>
            <w:pPr>
              <w:spacing w:line="440" w:lineRule="exact"/>
              <w:rPr>
                <w:color w:val="000000"/>
                <w:szCs w:val="21"/>
              </w:rPr>
            </w:pPr>
            <w:r>
              <w:rPr>
                <w:color w:val="000000"/>
                <w:szCs w:val="21"/>
              </w:rPr>
              <w:t>（4.2）土地资源：规划至2035年，市域城镇建设用地不超过450.93平方千米，市辖区城镇建设用地规模不超过131.71平方千米。</w:t>
            </w:r>
          </w:p>
          <w:p>
            <w:pPr>
              <w:spacing w:line="440" w:lineRule="exact"/>
              <w:rPr>
                <w:color w:val="000000"/>
                <w:szCs w:val="21"/>
              </w:rPr>
            </w:pPr>
            <w:r>
              <w:rPr>
                <w:color w:val="000000"/>
                <w:szCs w:val="21"/>
              </w:rPr>
              <w:t>（4.3）水资源：坚持节约用水，高效利用的原则，在全市有计划、有步骤地开展节水型社会建设，切实提高水资源的利用效率。</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restart"/>
            <w:shd w:val="clear" w:color="auto" w:fill="auto"/>
            <w:vAlign w:val="center"/>
          </w:tcPr>
          <w:p>
            <w:pPr>
              <w:pStyle w:val="14"/>
              <w:numPr>
                <w:ilvl w:val="0"/>
                <w:numId w:val="1"/>
              </w:numPr>
              <w:ind w:left="0" w:firstLine="0" w:firstLineChars="0"/>
              <w:jc w:val="center"/>
              <w:rPr>
                <w:color w:val="000000"/>
                <w:szCs w:val="21"/>
              </w:rPr>
            </w:pPr>
          </w:p>
        </w:tc>
        <w:tc>
          <w:tcPr>
            <w:tcW w:w="268" w:type="pct"/>
            <w:vMerge w:val="restart"/>
            <w:shd w:val="clear" w:color="auto" w:fill="auto"/>
            <w:vAlign w:val="center"/>
          </w:tcPr>
          <w:p>
            <w:pPr>
              <w:jc w:val="center"/>
              <w:rPr>
                <w:color w:val="000000"/>
                <w:szCs w:val="21"/>
              </w:rPr>
            </w:pPr>
            <w:r>
              <w:rPr>
                <w:color w:val="000000"/>
                <w:szCs w:val="21"/>
              </w:rPr>
              <w:t>农村空间</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tcPr>
          <w:p>
            <w:pPr>
              <w:spacing w:line="440" w:lineRule="exact"/>
              <w:rPr>
                <w:color w:val="000000"/>
                <w:szCs w:val="21"/>
              </w:rPr>
            </w:pPr>
            <w:r>
              <w:rPr>
                <w:color w:val="000000"/>
                <w:szCs w:val="21"/>
              </w:rPr>
              <w:t>（1.1）配套建设粪便污水贮存、处理、利用设施，改进设施养殖工艺，完善技术装备条件，鼓励和支持散养密集区实行畜禽粪污分户收集、集中处理、利用。</w:t>
            </w:r>
          </w:p>
          <w:p>
            <w:pPr>
              <w:pStyle w:val="3"/>
              <w:spacing w:line="440" w:lineRule="exact"/>
              <w:rPr>
                <w:color w:val="000000"/>
                <w:szCs w:val="21"/>
              </w:rPr>
            </w:pPr>
            <w:r>
              <w:rPr>
                <w:color w:val="000000"/>
                <w:szCs w:val="21"/>
              </w:rPr>
              <w:t>（1.2）在永久基本农田集中区域，不得规划新建可能造成土壤污染的建设项目。</w:t>
            </w:r>
          </w:p>
          <w:p>
            <w:pPr>
              <w:spacing w:line="440" w:lineRule="exact"/>
              <w:rPr>
                <w:color w:val="000000"/>
                <w:szCs w:val="21"/>
              </w:rPr>
            </w:pPr>
            <w:r>
              <w:rPr>
                <w:color w:val="000000"/>
                <w:szCs w:val="21"/>
              </w:rPr>
              <w:t>（1.3）加大优先保护类耕地保护力度，在永久基本农田集中区域，不得规划新建可能造成土壤污染的建设项目。</w:t>
            </w:r>
          </w:p>
          <w:p>
            <w:pPr>
              <w:spacing w:line="440" w:lineRule="exact"/>
              <w:rPr>
                <w:color w:val="000000"/>
                <w:szCs w:val="21"/>
              </w:rPr>
            </w:pPr>
            <w:r>
              <w:rPr>
                <w:color w:val="000000"/>
                <w:szCs w:val="21"/>
              </w:rPr>
              <w:t>（1.4）禁养区内不得新建、改建和扩建畜禽养殖场（小区），已有的畜禽养殖场（小区）应当限期关闭或搬迁。限养区内严格控制畜禽养殖场（小区）的数量和规模，原则上不再新建、扩建畜禽养殖场（小区）；现有的畜禽养殖场（小区）必须通过环境影响评价审批。</w:t>
            </w:r>
          </w:p>
          <w:p>
            <w:pPr>
              <w:spacing w:line="440" w:lineRule="exact"/>
              <w:rPr>
                <w:color w:val="000000"/>
                <w:szCs w:val="21"/>
              </w:rPr>
            </w:pPr>
            <w:r>
              <w:rPr>
                <w:color w:val="000000"/>
                <w:szCs w:val="21"/>
              </w:rPr>
              <w:t>（1.5）严格执行无耕地指标停审批制度，确保先补后占、占一补一、占优补优、占水田补水田。</w:t>
            </w:r>
          </w:p>
          <w:p>
            <w:pPr>
              <w:pStyle w:val="3"/>
              <w:spacing w:line="440" w:lineRule="exact"/>
            </w:pPr>
            <w:r>
              <w:rPr>
                <w:color w:val="000000"/>
                <w:szCs w:val="21"/>
              </w:rPr>
              <w:t>（1.6）禁止侵占自然湿地等水源涵养空间，已侵占的限期予以恢复。</w:t>
            </w:r>
          </w:p>
        </w:tc>
        <w:tc>
          <w:tcPr>
            <w:tcW w:w="941" w:type="pct"/>
            <w:vMerge w:val="restart"/>
            <w:shd w:val="clear" w:color="auto" w:fill="auto"/>
          </w:tcPr>
          <w:p>
            <w:pPr>
              <w:spacing w:line="440" w:lineRule="exact"/>
              <w:rPr>
                <w:rFonts w:hint="eastAsia" w:eastAsia="宋体"/>
                <w:color w:val="000000"/>
                <w:szCs w:val="21"/>
                <w:lang w:eastAsia="zh-CN"/>
              </w:rPr>
            </w:pPr>
            <w:r>
              <w:rPr>
                <w:color w:val="000000"/>
              </w:rPr>
              <w:t>（1.1）《湖南省邵阳市水资源保护和利用</w:t>
            </w:r>
            <w:r>
              <w:rPr>
                <w:rFonts w:hint="eastAsia"/>
                <w:color w:val="000000"/>
                <w:lang w:eastAsia="zh-CN"/>
              </w:rPr>
              <w:t>》</w:t>
            </w:r>
          </w:p>
          <w:p>
            <w:pPr>
              <w:pStyle w:val="3"/>
              <w:spacing w:line="440" w:lineRule="exact"/>
              <w:rPr>
                <w:color w:val="000000"/>
                <w:szCs w:val="21"/>
              </w:rPr>
            </w:pPr>
            <w:r>
              <w:rPr>
                <w:color w:val="000000"/>
                <w:szCs w:val="21"/>
              </w:rPr>
              <w:t>（1.2）（1.3）（1.6）（3.2）《邵阳市“十四五”生态环境保护规划》</w:t>
            </w:r>
          </w:p>
          <w:p>
            <w:pPr>
              <w:spacing w:line="440" w:lineRule="exact"/>
              <w:rPr>
                <w:color w:val="000000"/>
                <w:szCs w:val="21"/>
              </w:rPr>
            </w:pPr>
            <w:r>
              <w:rPr>
                <w:color w:val="000000"/>
                <w:szCs w:val="21"/>
              </w:rPr>
              <w:t>（1.4）《邵阳市畜禽养殖管理办法》</w:t>
            </w:r>
          </w:p>
          <w:p>
            <w:pPr>
              <w:spacing w:line="440" w:lineRule="exact"/>
              <w:rPr>
                <w:color w:val="000000"/>
                <w:szCs w:val="21"/>
              </w:rPr>
            </w:pPr>
            <w:r>
              <w:rPr>
                <w:color w:val="000000"/>
                <w:szCs w:val="21"/>
              </w:rPr>
              <w:t>（1.5）《邵阳市“十四五”自然资源发展规划》</w:t>
            </w:r>
          </w:p>
          <w:p>
            <w:pPr>
              <w:spacing w:line="440" w:lineRule="exact"/>
              <w:jc w:val="left"/>
              <w:rPr>
                <w:color w:val="000000"/>
                <w:szCs w:val="21"/>
              </w:rPr>
            </w:pPr>
            <w:r>
              <w:rPr>
                <w:color w:val="000000"/>
                <w:szCs w:val="21"/>
              </w:rPr>
              <w:t>（2.1.1）</w:t>
            </w:r>
            <w:r>
              <w:rPr>
                <w:rFonts w:ascii="Times New Roman" w:hAnsi="Times New Roman" w:eastAsia="宋体" w:cs="Times New Roman"/>
                <w:kern w:val="2"/>
                <w:sz w:val="21"/>
                <w:szCs w:val="21"/>
              </w:rPr>
              <w:t>（2.1.2）</w:t>
            </w:r>
            <w:r>
              <w:rPr>
                <w:color w:val="000000"/>
                <w:szCs w:val="21"/>
              </w:rPr>
              <w:t>（2.1.3）（2.2.1）（2.2.2）《2023年邵阳市深入打好污染防治攻坚战工作方案》</w:t>
            </w:r>
          </w:p>
          <w:p>
            <w:pPr>
              <w:spacing w:line="440" w:lineRule="exact"/>
              <w:rPr>
                <w:color w:val="000000"/>
                <w:szCs w:val="21"/>
              </w:rPr>
            </w:pPr>
            <w:r>
              <w:rPr>
                <w:color w:val="000000"/>
                <w:szCs w:val="21"/>
              </w:rPr>
              <w:t>（4.1）《邵阳市“十四五”节能减排综合工作方案》</w:t>
            </w:r>
          </w:p>
          <w:p>
            <w:pPr>
              <w:spacing w:line="440" w:lineRule="exact"/>
            </w:pPr>
            <w:r>
              <w:rPr>
                <w:color w:val="000000"/>
                <w:szCs w:val="21"/>
              </w:rPr>
              <w:t>（4.2）《湖南省邵阳市水资源保护和利用规划（2021</w:t>
            </w:r>
            <w:r>
              <w:rPr>
                <w:rFonts w:hint="eastAsia"/>
                <w:color w:val="000000"/>
                <w:szCs w:val="21"/>
              </w:rPr>
              <w:t>—</w:t>
            </w:r>
            <w:r>
              <w:rPr>
                <w:color w:val="000000"/>
                <w:szCs w:val="21"/>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污染物排放管控</w:t>
            </w:r>
          </w:p>
        </w:tc>
        <w:tc>
          <w:tcPr>
            <w:tcW w:w="3134" w:type="pct"/>
            <w:shd w:val="clear" w:color="auto" w:fill="auto"/>
          </w:tcPr>
          <w:p>
            <w:pPr>
              <w:pStyle w:val="3"/>
              <w:spacing w:line="440" w:lineRule="exact"/>
              <w:rPr>
                <w:color w:val="000000"/>
                <w:szCs w:val="21"/>
              </w:rPr>
            </w:pPr>
            <w:r>
              <w:rPr>
                <w:color w:val="000000"/>
                <w:szCs w:val="21"/>
              </w:rPr>
              <w:t>（2.1）废水：</w:t>
            </w:r>
          </w:p>
          <w:p>
            <w:pPr>
              <w:spacing w:line="440" w:lineRule="exact"/>
              <w:ind w:firstLine="420" w:firstLineChars="200"/>
              <w:rPr>
                <w:color w:val="000000"/>
                <w:szCs w:val="21"/>
              </w:rPr>
            </w:pPr>
            <w:r>
              <w:rPr>
                <w:color w:val="000000"/>
                <w:szCs w:val="21"/>
              </w:rPr>
              <w:t>（2.1.1）持续推进农村生活污水治理，组织各县市区完成分散式农村生活污水处理设施排查与整改，加强集中式农村生活污水处理设施管护，确保处理设施长期有效运行。</w:t>
            </w:r>
          </w:p>
          <w:p>
            <w:pPr>
              <w:pStyle w:val="3"/>
              <w:spacing w:line="440" w:lineRule="exact"/>
              <w:ind w:firstLine="420" w:firstLineChars="200"/>
              <w:rPr>
                <w:color w:val="000000"/>
                <w:szCs w:val="21"/>
              </w:rPr>
            </w:pPr>
            <w:r>
              <w:rPr>
                <w:color w:val="000000"/>
                <w:szCs w:val="21"/>
              </w:rPr>
              <w:t>（2.1.2）结合农村水系综合整治，统筹推进农村黑臭水体治理。</w:t>
            </w:r>
          </w:p>
          <w:p>
            <w:pPr>
              <w:spacing w:line="440" w:lineRule="exact"/>
              <w:ind w:firstLine="420" w:firstLineChars="200"/>
              <w:rPr>
                <w:color w:val="000000"/>
                <w:szCs w:val="21"/>
              </w:rPr>
            </w:pPr>
            <w:r>
              <w:rPr>
                <w:color w:val="000000"/>
                <w:szCs w:val="21"/>
              </w:rPr>
              <w:t>（2.1.3）推动畜禽规模养殖场粪污处理设施装备提档升级。积极推广水产生态健康养殖模式。实施池塘标准化改造，推进养殖尾水节水减排。</w:t>
            </w:r>
          </w:p>
          <w:p>
            <w:pPr>
              <w:spacing w:line="440" w:lineRule="exact"/>
              <w:ind w:firstLine="420" w:firstLineChars="200"/>
              <w:rPr>
                <w:color w:val="000000"/>
                <w:szCs w:val="21"/>
              </w:rPr>
            </w:pPr>
            <w:r>
              <w:rPr>
                <w:color w:val="000000"/>
                <w:szCs w:val="21"/>
              </w:rPr>
              <w:t>（2.2）固体废物：</w:t>
            </w:r>
          </w:p>
          <w:p>
            <w:pPr>
              <w:spacing w:line="440" w:lineRule="exact"/>
              <w:ind w:firstLine="420" w:firstLineChars="200"/>
              <w:rPr>
                <w:color w:val="000000"/>
                <w:szCs w:val="21"/>
              </w:rPr>
            </w:pPr>
            <w:r>
              <w:rPr>
                <w:color w:val="000000"/>
                <w:szCs w:val="21"/>
              </w:rPr>
              <w:t>（2.2.1）完善“户分类、村收集、乡镇转运（直收直运）、县市处理”的城乡一体化垃圾收集转运和处置体系建设，强化日常运行维护管理，提升规范化运行水平。</w:t>
            </w:r>
          </w:p>
          <w:p>
            <w:pPr>
              <w:pStyle w:val="16"/>
              <w:adjustRightInd/>
              <w:snapToGrid/>
              <w:spacing w:line="440" w:lineRule="exact"/>
              <w:ind w:firstLine="420" w:firstLineChars="200"/>
              <w:jc w:val="both"/>
              <w:rPr>
                <w:rFonts w:ascii="Times New Roman" w:hAnsi="Times New Roman" w:cs="Times New Roman"/>
                <w:szCs w:val="21"/>
              </w:rPr>
            </w:pPr>
            <w:r>
              <w:rPr>
                <w:rFonts w:ascii="Times New Roman" w:hAnsi="Times New Roman" w:eastAsia="宋体" w:cs="Times New Roman"/>
                <w:kern w:val="2"/>
                <w:sz w:val="21"/>
                <w:szCs w:val="21"/>
              </w:rPr>
              <w:t>（2.</w:t>
            </w:r>
            <w:r>
              <w:rPr>
                <w:rFonts w:ascii="Times New Roman" w:hAnsi="Times New Roman" w:cs="Times New Roman"/>
                <w:kern w:val="2"/>
                <w:sz w:val="21"/>
                <w:szCs w:val="21"/>
              </w:rPr>
              <w:t>2</w:t>
            </w:r>
            <w:r>
              <w:rPr>
                <w:rFonts w:ascii="Times New Roman" w:hAnsi="Times New Roman" w:eastAsia="宋体" w:cs="Times New Roman"/>
                <w:kern w:val="2"/>
                <w:sz w:val="21"/>
                <w:szCs w:val="21"/>
              </w:rPr>
              <w:t>.2）统筹推进农村生活垃圾分类收集，加快推进农村生活垃圾源头分类减量，减少垃圾出村量。加强农村垃圾中转站建设，巩固非正规生活垃圾堆放点整治成效，提升农村垃圾治理水平。</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环境风险防控</w:t>
            </w:r>
          </w:p>
        </w:tc>
        <w:tc>
          <w:tcPr>
            <w:tcW w:w="3134" w:type="pct"/>
            <w:shd w:val="clear" w:color="auto" w:fill="auto"/>
          </w:tcPr>
          <w:p>
            <w:pPr>
              <w:spacing w:line="440" w:lineRule="exact"/>
              <w:rPr>
                <w:color w:val="000000"/>
                <w:szCs w:val="21"/>
              </w:rPr>
            </w:pPr>
            <w:r>
              <w:rPr>
                <w:color w:val="000000"/>
                <w:szCs w:val="21"/>
              </w:rPr>
              <w:t>（3.1）合理规划污染地块用途，编制国土空间等相关规划要充分考虑建设用地土壤污染风险，对依法应当开展土壤污染状况调查的地块，完成调查和风险评估，合理确定土地用途。</w:t>
            </w:r>
          </w:p>
          <w:p>
            <w:pPr>
              <w:spacing w:line="440" w:lineRule="exact"/>
              <w:rPr>
                <w:color w:val="000000"/>
                <w:szCs w:val="21"/>
              </w:rPr>
            </w:pPr>
            <w:r>
              <w:rPr>
                <w:color w:val="000000"/>
                <w:szCs w:val="21"/>
              </w:rPr>
              <w:t>（3.2）强化受污染耕地管控，建立健全受污染耕地安全利用长效机制，严格管控口粮水稻生产。</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资源开发效率要求</w:t>
            </w:r>
          </w:p>
        </w:tc>
        <w:tc>
          <w:tcPr>
            <w:tcW w:w="3134" w:type="pct"/>
            <w:shd w:val="clear" w:color="auto" w:fill="auto"/>
          </w:tcPr>
          <w:p>
            <w:pPr>
              <w:spacing w:line="440" w:lineRule="exact"/>
              <w:rPr>
                <w:color w:val="000000"/>
                <w:szCs w:val="21"/>
              </w:rPr>
            </w:pPr>
            <w:r>
              <w:rPr>
                <w:color w:val="000000"/>
                <w:szCs w:val="21"/>
              </w:rPr>
              <w:t>（4.1）能源：加快太阳能、生物质能等可再生能源在农业生产和农村生活中的应用。</w:t>
            </w:r>
          </w:p>
          <w:p>
            <w:pPr>
              <w:spacing w:line="440" w:lineRule="exact"/>
              <w:rPr>
                <w:color w:val="000000"/>
                <w:szCs w:val="21"/>
              </w:rPr>
            </w:pPr>
            <w:r>
              <w:rPr>
                <w:color w:val="000000"/>
                <w:szCs w:val="21"/>
              </w:rPr>
              <w:t>（4.2）水资源：到2030年，农田灌溉水有效利用系数提高至0.588；千亩以上的用水保障率达到80%以上，灌溉水利用系数达到0.610以上。</w:t>
            </w:r>
          </w:p>
        </w:tc>
        <w:tc>
          <w:tcPr>
            <w:tcW w:w="941" w:type="pct"/>
            <w:vMerge w:val="continue"/>
            <w:shd w:val="clear" w:color="auto" w:fill="auto"/>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restart"/>
            <w:shd w:val="clear" w:color="auto" w:fill="auto"/>
            <w:vAlign w:val="center"/>
          </w:tcPr>
          <w:p>
            <w:pPr>
              <w:pStyle w:val="14"/>
              <w:numPr>
                <w:ilvl w:val="0"/>
                <w:numId w:val="1"/>
              </w:numPr>
              <w:ind w:left="0" w:firstLine="0" w:firstLineChars="0"/>
              <w:jc w:val="center"/>
              <w:rPr>
                <w:color w:val="000000"/>
                <w:szCs w:val="21"/>
              </w:rPr>
            </w:pPr>
          </w:p>
        </w:tc>
        <w:tc>
          <w:tcPr>
            <w:tcW w:w="268" w:type="pct"/>
            <w:vMerge w:val="restart"/>
            <w:shd w:val="clear" w:color="auto" w:fill="auto"/>
            <w:vAlign w:val="center"/>
          </w:tcPr>
          <w:p>
            <w:pPr>
              <w:jc w:val="center"/>
              <w:rPr>
                <w:color w:val="000000"/>
                <w:szCs w:val="21"/>
              </w:rPr>
            </w:pPr>
            <w:r>
              <w:rPr>
                <w:color w:val="000000"/>
                <w:szCs w:val="21"/>
              </w:rPr>
              <w:t>水源地保护区</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vAlign w:val="center"/>
          </w:tcPr>
          <w:p>
            <w:pPr>
              <w:spacing w:line="440" w:lineRule="exact"/>
              <w:rPr>
                <w:color w:val="000000"/>
                <w:szCs w:val="21"/>
              </w:rPr>
            </w:pPr>
            <w:r>
              <w:rPr>
                <w:color w:val="000000"/>
                <w:szCs w:val="21"/>
              </w:rPr>
              <w:t>（1.1）在饮用水水源一级保护区禁止新建、扩建与供水设施和保护水源无关的建设项目、禁止向水域排放污水，已设置的排污口必须限期拆除、不得设置与供水无关的码头，禁止停靠船舶、禁止堆置和存放工业废渣、城市垃圾、粪便和其它废弃物、禁止设置油库、禁止从事放养禽畜、网箱养殖活动、禁止可能污染水源的旅游活动和其他活动，严禁在饮用水水源一级保护区内实施水产养殖。</w:t>
            </w:r>
          </w:p>
          <w:p>
            <w:pPr>
              <w:spacing w:line="440" w:lineRule="exact"/>
              <w:rPr>
                <w:color w:val="000000"/>
                <w:szCs w:val="21"/>
              </w:rPr>
            </w:pPr>
            <w:r>
              <w:rPr>
                <w:color w:val="000000"/>
                <w:szCs w:val="21"/>
              </w:rPr>
              <w:t>（1.2）在饮用水水源二级保护区不准新建、扩建向水体排放污染物的建设项目，改建项目必须依照水体纳污能力削减污染物排放量；原有排污口必须根据水行政主管部门的要求削减污染物排放量，保证保护区内水质满足规定的水质标准；禁止设立装卸垃圾、粪便、油类和有毒的码头。</w:t>
            </w:r>
          </w:p>
        </w:tc>
        <w:tc>
          <w:tcPr>
            <w:tcW w:w="941" w:type="pct"/>
            <w:vMerge w:val="restart"/>
            <w:shd w:val="clear" w:color="auto" w:fill="auto"/>
            <w:vAlign w:val="center"/>
          </w:tcPr>
          <w:p>
            <w:pPr>
              <w:spacing w:line="440" w:lineRule="exact"/>
              <w:jc w:val="left"/>
              <w:rPr>
                <w:color w:val="000000"/>
                <w:szCs w:val="21"/>
              </w:rPr>
            </w:pPr>
            <w:r>
              <w:rPr>
                <w:color w:val="000000"/>
                <w:szCs w:val="21"/>
              </w:rPr>
              <w:t>（1.1）《中华人民共和国水污染防治法》《湖南省邵阳市水资源保护和利用规划（2021</w:t>
            </w:r>
            <w:r>
              <w:rPr>
                <w:rFonts w:hint="eastAsia"/>
                <w:color w:val="000000"/>
                <w:szCs w:val="21"/>
              </w:rPr>
              <w:t>～</w:t>
            </w:r>
            <w:r>
              <w:rPr>
                <w:color w:val="000000"/>
                <w:szCs w:val="21"/>
              </w:rPr>
              <w:t>2030年）》</w:t>
            </w:r>
          </w:p>
          <w:p>
            <w:pPr>
              <w:spacing w:line="440" w:lineRule="exact"/>
              <w:rPr>
                <w:color w:val="000000"/>
                <w:szCs w:val="21"/>
              </w:rPr>
            </w:pPr>
            <w:r>
              <w:rPr>
                <w:color w:val="000000"/>
                <w:szCs w:val="21"/>
              </w:rPr>
              <w:t>（1.2）（3.1）（3.2）《湖南省邵阳市水资源保护和利用规划（2021</w:t>
            </w:r>
            <w:r>
              <w:rPr>
                <w:rFonts w:hint="eastAsia"/>
                <w:color w:val="000000"/>
                <w:szCs w:val="21"/>
              </w:rPr>
              <w:t>～</w:t>
            </w:r>
            <w:r>
              <w:rPr>
                <w:color w:val="000000"/>
                <w:szCs w:val="21"/>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shd w:val="clear" w:color="auto" w:fill="auto"/>
            <w:vAlign w:val="center"/>
          </w:tcPr>
          <w:p/>
        </w:tc>
        <w:tc>
          <w:tcPr>
            <w:tcW w:w="268" w:type="pct"/>
            <w:vMerge w:val="continue"/>
            <w:shd w:val="clear" w:color="auto" w:fill="auto"/>
            <w:vAlign w:val="center"/>
          </w:tcPr>
          <w:p/>
        </w:tc>
        <w:tc>
          <w:tcPr>
            <w:tcW w:w="394" w:type="pct"/>
            <w:shd w:val="clear" w:color="auto" w:fill="auto"/>
            <w:vAlign w:val="center"/>
          </w:tcPr>
          <w:p>
            <w:pPr>
              <w:jc w:val="center"/>
              <w:rPr>
                <w:color w:val="000000"/>
                <w:szCs w:val="21"/>
              </w:rPr>
            </w:pPr>
            <w:r>
              <w:rPr>
                <w:color w:val="000000"/>
                <w:szCs w:val="21"/>
              </w:rPr>
              <w:t>环境风险管控</w:t>
            </w:r>
          </w:p>
        </w:tc>
        <w:tc>
          <w:tcPr>
            <w:tcW w:w="3134" w:type="pct"/>
            <w:shd w:val="clear" w:color="auto" w:fill="auto"/>
            <w:vAlign w:val="center"/>
          </w:tcPr>
          <w:p>
            <w:pPr>
              <w:spacing w:line="440" w:lineRule="exact"/>
              <w:rPr>
                <w:color w:val="000000"/>
                <w:szCs w:val="21"/>
              </w:rPr>
            </w:pPr>
            <w:r>
              <w:rPr>
                <w:color w:val="000000"/>
                <w:szCs w:val="21"/>
              </w:rPr>
              <w:t>（3.1）通过水源地污染防治、生态恢复和建设、应急能力建设、预警监控体系建设、管理能力建设等具体工程方案的制定和实施，加强污染源控制、生态环境保护，提升环境监督管理能力。</w:t>
            </w:r>
          </w:p>
          <w:p>
            <w:pPr>
              <w:spacing w:line="440" w:lineRule="exact"/>
              <w:rPr>
                <w:color w:val="000000"/>
                <w:szCs w:val="21"/>
              </w:rPr>
            </w:pPr>
            <w:r>
              <w:rPr>
                <w:color w:val="000000"/>
                <w:szCs w:val="21"/>
              </w:rPr>
              <w:t>（3.2）建立饮用水水源突发污染事件应急处置技术库。饮用水水源突发污染事件应急纳入地方各级人民政府和企业编制的突发水污染事故应急预案。</w:t>
            </w:r>
          </w:p>
        </w:tc>
        <w:tc>
          <w:tcPr>
            <w:tcW w:w="941" w:type="pct"/>
            <w:vMerge w:val="continue"/>
            <w:shd w:val="clear" w:color="auto" w:fill="auto"/>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shd w:val="clear" w:color="auto" w:fill="auto"/>
            <w:vAlign w:val="center"/>
          </w:tcPr>
          <w:p>
            <w:pPr>
              <w:pStyle w:val="14"/>
              <w:numPr>
                <w:ilvl w:val="0"/>
                <w:numId w:val="1"/>
              </w:numPr>
              <w:ind w:left="0" w:firstLine="0" w:firstLineChars="0"/>
              <w:jc w:val="center"/>
              <w:rPr>
                <w:color w:val="000000"/>
                <w:szCs w:val="21"/>
              </w:rPr>
            </w:pPr>
          </w:p>
        </w:tc>
        <w:tc>
          <w:tcPr>
            <w:tcW w:w="268" w:type="pct"/>
            <w:shd w:val="clear" w:color="auto" w:fill="auto"/>
            <w:vAlign w:val="center"/>
          </w:tcPr>
          <w:p>
            <w:pPr>
              <w:jc w:val="center"/>
              <w:rPr>
                <w:color w:val="000000"/>
                <w:szCs w:val="21"/>
              </w:rPr>
            </w:pPr>
            <w:r>
              <w:rPr>
                <w:color w:val="000000"/>
                <w:szCs w:val="21"/>
              </w:rPr>
              <w:t>基本农田地区</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vAlign w:val="center"/>
          </w:tcPr>
          <w:p>
            <w:pPr>
              <w:spacing w:line="440" w:lineRule="exact"/>
              <w:rPr>
                <w:snapToGrid w:val="0"/>
                <w:color w:val="000000"/>
                <w:szCs w:val="21"/>
              </w:rPr>
            </w:pPr>
            <w:r>
              <w:rPr>
                <w:snapToGrid w:val="0"/>
                <w:color w:val="000000"/>
                <w:szCs w:val="21"/>
              </w:rPr>
              <w:t>（1.1）不得占用连片的基本农田，用地置换需依照法定程序经有关部门审批。</w:t>
            </w:r>
          </w:p>
          <w:p>
            <w:pPr>
              <w:spacing w:line="440" w:lineRule="exact"/>
              <w:rPr>
                <w:snapToGrid w:val="0"/>
                <w:color w:val="000000"/>
                <w:szCs w:val="21"/>
              </w:rPr>
            </w:pPr>
            <w:r>
              <w:rPr>
                <w:snapToGrid w:val="0"/>
                <w:color w:val="000000"/>
                <w:szCs w:val="21"/>
              </w:rPr>
              <w:t>（1.2）在永久基本农田集中区域，不得规划新建可能造成土壤污染的建设项目。</w:t>
            </w:r>
          </w:p>
          <w:p>
            <w:pPr>
              <w:spacing w:line="440" w:lineRule="exact"/>
              <w:rPr>
                <w:snapToGrid w:val="0"/>
                <w:color w:val="000000"/>
                <w:szCs w:val="21"/>
              </w:rPr>
            </w:pPr>
            <w:r>
              <w:rPr>
                <w:snapToGrid w:val="0"/>
                <w:color w:val="000000"/>
                <w:szCs w:val="21"/>
              </w:rPr>
              <w:t>（1.3）非农建设必须节约使用土地，可以利用荒地的，不得占用耕地；可以利用劣地的，不得占用好地。禁止占用耕地建窑、建坟或者擅自在耕地上建房、挖砂、采石、采矿、取土等。</w:t>
            </w:r>
          </w:p>
          <w:p>
            <w:pPr>
              <w:spacing w:line="440" w:lineRule="exact"/>
              <w:rPr>
                <w:snapToGrid w:val="0"/>
                <w:color w:val="000000"/>
                <w:szCs w:val="21"/>
              </w:rPr>
            </w:pPr>
            <w:r>
              <w:rPr>
                <w:snapToGrid w:val="0"/>
                <w:color w:val="000000"/>
                <w:szCs w:val="21"/>
              </w:rPr>
              <w:t>（1.4）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tc>
        <w:tc>
          <w:tcPr>
            <w:tcW w:w="941" w:type="pct"/>
            <w:shd w:val="clear" w:color="auto" w:fill="auto"/>
            <w:vAlign w:val="center"/>
          </w:tcPr>
          <w:p>
            <w:pPr>
              <w:spacing w:line="440" w:lineRule="exact"/>
              <w:rPr>
                <w:snapToGrid w:val="0"/>
                <w:color w:val="000000"/>
                <w:szCs w:val="21"/>
              </w:rPr>
            </w:pPr>
            <w:r>
              <w:rPr>
                <w:snapToGrid w:val="0"/>
                <w:color w:val="000000"/>
                <w:szCs w:val="21"/>
              </w:rPr>
              <w:t>（1.1）《邵阳市城市总体规划（2016-2030）》</w:t>
            </w:r>
          </w:p>
          <w:p>
            <w:pPr>
              <w:spacing w:line="440" w:lineRule="exact"/>
              <w:rPr>
                <w:snapToGrid w:val="0"/>
                <w:color w:val="000000"/>
                <w:szCs w:val="21"/>
              </w:rPr>
            </w:pPr>
            <w:r>
              <w:rPr>
                <w:snapToGrid w:val="0"/>
                <w:color w:val="000000"/>
                <w:szCs w:val="21"/>
              </w:rPr>
              <w:t>（1.2）《邵阳市“十四五”生态环境保护规划》</w:t>
            </w:r>
          </w:p>
          <w:p>
            <w:pPr>
              <w:spacing w:line="440" w:lineRule="exact"/>
              <w:rPr>
                <w:snapToGrid w:val="0"/>
                <w:color w:val="000000"/>
                <w:szCs w:val="21"/>
              </w:rPr>
            </w:pPr>
            <w:r>
              <w:rPr>
                <w:snapToGrid w:val="0"/>
                <w:color w:val="000000"/>
                <w:szCs w:val="21"/>
              </w:rPr>
              <w:t>（1.3）（1.4）《邵阳市国土空间总体规划（2021</w:t>
            </w:r>
            <w:r>
              <w:rPr>
                <w:rFonts w:hint="eastAsia"/>
                <w:snapToGrid w:val="0"/>
                <w:color w:val="000000"/>
                <w:szCs w:val="21"/>
              </w:rPr>
              <w:t>—</w:t>
            </w:r>
            <w:r>
              <w:rPr>
                <w:snapToGrid w:val="0"/>
                <w:color w:val="000000"/>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shd w:val="clear" w:color="auto" w:fill="auto"/>
            <w:vAlign w:val="center"/>
          </w:tcPr>
          <w:p>
            <w:pPr>
              <w:pStyle w:val="14"/>
              <w:numPr>
                <w:ilvl w:val="0"/>
                <w:numId w:val="1"/>
              </w:numPr>
              <w:ind w:left="0" w:firstLine="0" w:firstLineChars="0"/>
              <w:jc w:val="center"/>
              <w:rPr>
                <w:color w:val="000000"/>
                <w:szCs w:val="21"/>
              </w:rPr>
            </w:pPr>
          </w:p>
        </w:tc>
        <w:tc>
          <w:tcPr>
            <w:tcW w:w="268" w:type="pct"/>
            <w:shd w:val="clear" w:color="auto" w:fill="auto"/>
            <w:vAlign w:val="center"/>
          </w:tcPr>
          <w:p>
            <w:pPr>
              <w:jc w:val="center"/>
              <w:rPr>
                <w:color w:val="000000"/>
                <w:szCs w:val="21"/>
              </w:rPr>
            </w:pPr>
            <w:r>
              <w:rPr>
                <w:color w:val="000000"/>
                <w:kern w:val="0"/>
                <w:szCs w:val="21"/>
              </w:rPr>
              <w:t>国家湿地公园</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vAlign w:val="center"/>
          </w:tcPr>
          <w:p>
            <w:pPr>
              <w:spacing w:line="440" w:lineRule="exact"/>
              <w:rPr>
                <w:snapToGrid w:val="0"/>
                <w:color w:val="000000"/>
                <w:szCs w:val="21"/>
              </w:rPr>
            </w:pPr>
            <w:r>
              <w:rPr>
                <w:snapToGrid w:val="0"/>
                <w:color w:val="000000"/>
                <w:szCs w:val="21"/>
              </w:rPr>
              <w:t>（1.1）国家湿地公园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理服务等活动。</w:t>
            </w:r>
          </w:p>
          <w:p>
            <w:pPr>
              <w:spacing w:line="440" w:lineRule="exact"/>
              <w:rPr>
                <w:snapToGrid w:val="0"/>
                <w:color w:val="000000"/>
                <w:szCs w:val="21"/>
              </w:rPr>
            </w:pPr>
            <w:r>
              <w:rPr>
                <w:snapToGrid w:val="0"/>
                <w:color w:val="000000"/>
                <w:szCs w:val="21"/>
              </w:rPr>
              <w:t>（1.2）禁止擅自征收、占用国家湿地公园的土地。确需征用、占用的，用地单位应当征求省级林业主管部门的意见，方可依法办理相关手续。由省级林业主管部门报国家林业局被备案。</w:t>
            </w:r>
          </w:p>
          <w:p>
            <w:pPr>
              <w:spacing w:line="440" w:lineRule="exact"/>
              <w:rPr>
                <w:snapToGrid w:val="0"/>
                <w:color w:val="000000"/>
                <w:szCs w:val="21"/>
              </w:rPr>
            </w:pPr>
            <w:r>
              <w:rPr>
                <w:snapToGrid w:val="0"/>
                <w:color w:val="000000"/>
                <w:szCs w:val="21"/>
              </w:rPr>
              <w:t>（1.3）除国家另有规定外，国家湿地公园内禁止下列行为：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排污、放生；其他破坏湿地及其生态功能的活动。</w:t>
            </w:r>
          </w:p>
        </w:tc>
        <w:tc>
          <w:tcPr>
            <w:tcW w:w="941" w:type="pct"/>
            <w:shd w:val="clear" w:color="auto" w:fill="auto"/>
            <w:vAlign w:val="center"/>
          </w:tcPr>
          <w:p>
            <w:pPr>
              <w:spacing w:line="440" w:lineRule="exact"/>
              <w:rPr>
                <w:snapToGrid w:val="0"/>
                <w:color w:val="000000"/>
                <w:szCs w:val="21"/>
              </w:rPr>
            </w:pPr>
            <w:r>
              <w:rPr>
                <w:snapToGrid w:val="0"/>
                <w:color w:val="000000"/>
                <w:szCs w:val="21"/>
              </w:rPr>
              <w:t>（1.1）（1.2）（1.3）《国家湿地公园管理办法》林湿发〔2017〕150号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 w:type="pct"/>
            <w:vMerge w:val="restart"/>
            <w:shd w:val="clear" w:color="auto" w:fill="auto"/>
            <w:vAlign w:val="center"/>
          </w:tcPr>
          <w:p>
            <w:pPr>
              <w:pStyle w:val="14"/>
              <w:numPr>
                <w:ilvl w:val="0"/>
                <w:numId w:val="1"/>
              </w:numPr>
              <w:ind w:left="0" w:firstLine="0" w:firstLineChars="0"/>
              <w:jc w:val="center"/>
              <w:rPr>
                <w:color w:val="000000"/>
                <w:szCs w:val="21"/>
              </w:rPr>
            </w:pPr>
          </w:p>
        </w:tc>
        <w:tc>
          <w:tcPr>
            <w:tcW w:w="268" w:type="pct"/>
            <w:vMerge w:val="restart"/>
            <w:shd w:val="clear" w:color="auto" w:fill="auto"/>
            <w:vAlign w:val="center"/>
          </w:tcPr>
          <w:p>
            <w:pPr>
              <w:jc w:val="center"/>
              <w:rPr>
                <w:color w:val="000000"/>
                <w:kern w:val="0"/>
                <w:szCs w:val="21"/>
              </w:rPr>
            </w:pPr>
            <w:r>
              <w:rPr>
                <w:color w:val="000000"/>
                <w:kern w:val="0"/>
                <w:szCs w:val="21"/>
              </w:rPr>
              <w:t>岸线</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vAlign w:val="center"/>
          </w:tcPr>
          <w:p>
            <w:pPr>
              <w:spacing w:line="440" w:lineRule="exact"/>
              <w:rPr>
                <w:snapToGrid w:val="0"/>
                <w:color w:val="000000"/>
                <w:szCs w:val="21"/>
              </w:rPr>
            </w:pPr>
            <w:r>
              <w:rPr>
                <w:snapToGrid w:val="0"/>
                <w:color w:val="000000"/>
                <w:szCs w:val="21"/>
              </w:rPr>
              <w:t>（1.1）未经批准，任何单位和个人不得在邵水河道及两岸新建、改建、扩建入河排污口。</w:t>
            </w:r>
          </w:p>
          <w:p>
            <w:pPr>
              <w:spacing w:line="440" w:lineRule="exact"/>
              <w:rPr>
                <w:snapToGrid w:val="0"/>
                <w:color w:val="000000"/>
                <w:szCs w:val="21"/>
              </w:rPr>
            </w:pPr>
            <w:r>
              <w:rPr>
                <w:snapToGrid w:val="0"/>
                <w:color w:val="000000"/>
                <w:szCs w:val="21"/>
              </w:rPr>
              <w:t>（1.2）邵水流域县级以上人民政府应当建立河道管理范围内建设活动的巡查制度，除必要的防洪排涝、灌溉等公共设施外，邵水河道管理范围内禁止新建、扩建建筑物、构筑物及其附属设施。</w:t>
            </w:r>
          </w:p>
          <w:p>
            <w:pPr>
              <w:spacing w:line="440" w:lineRule="exact"/>
              <w:rPr>
                <w:snapToGrid w:val="0"/>
                <w:color w:val="000000"/>
                <w:szCs w:val="21"/>
              </w:rPr>
            </w:pPr>
            <w:r>
              <w:rPr>
                <w:snapToGrid w:val="0"/>
                <w:color w:val="000000"/>
                <w:szCs w:val="21"/>
              </w:rPr>
              <w:t>（1.3）完成“一江一湖四水”干流岸线一公里范围内化工企业搬迁改造任务。</w:t>
            </w:r>
          </w:p>
          <w:p>
            <w:pPr>
              <w:spacing w:line="440" w:lineRule="exact"/>
              <w:rPr>
                <w:snapToGrid w:val="0"/>
                <w:color w:val="000000"/>
                <w:szCs w:val="21"/>
              </w:rPr>
            </w:pPr>
            <w:r>
              <w:rPr>
                <w:snapToGrid w:val="0"/>
                <w:color w:val="000000"/>
                <w:szCs w:val="21"/>
              </w:rPr>
              <w:t>（1.4）严禁在资江、湘江、沅江岸线1公里区域范围内新（改、扩）建尾矿库。</w:t>
            </w:r>
          </w:p>
        </w:tc>
        <w:tc>
          <w:tcPr>
            <w:tcW w:w="941" w:type="pct"/>
            <w:shd w:val="clear" w:color="auto" w:fill="auto"/>
            <w:vAlign w:val="center"/>
          </w:tcPr>
          <w:p>
            <w:pPr>
              <w:spacing w:line="440" w:lineRule="exact"/>
              <w:rPr>
                <w:snapToGrid w:val="0"/>
                <w:color w:val="000000"/>
                <w:szCs w:val="21"/>
              </w:rPr>
            </w:pPr>
            <w:r>
              <w:rPr>
                <w:snapToGrid w:val="0"/>
                <w:color w:val="000000"/>
                <w:szCs w:val="21"/>
              </w:rPr>
              <w:t>（1.1）（1.2）《邵阳市邵水保护条例（2022年修正）》</w:t>
            </w:r>
          </w:p>
          <w:p>
            <w:pPr>
              <w:spacing w:line="440" w:lineRule="exact"/>
              <w:rPr>
                <w:snapToGrid w:val="0"/>
                <w:color w:val="000000"/>
                <w:szCs w:val="21"/>
              </w:rPr>
            </w:pPr>
            <w:r>
              <w:rPr>
                <w:snapToGrid w:val="0"/>
                <w:color w:val="000000"/>
                <w:szCs w:val="21"/>
              </w:rPr>
              <w:t>（1.3）中共湖南省委湖南省人民政府关于深入打好污染防治攻坚战的实施意见</w:t>
            </w:r>
          </w:p>
          <w:p>
            <w:pPr>
              <w:spacing w:line="440" w:lineRule="exact"/>
              <w:rPr>
                <w:snapToGrid w:val="0"/>
                <w:color w:val="000000"/>
                <w:szCs w:val="21"/>
              </w:rPr>
            </w:pPr>
            <w:r>
              <w:rPr>
                <w:snapToGrid w:val="0"/>
                <w:color w:val="000000"/>
                <w:szCs w:val="21"/>
              </w:rPr>
              <w:t>（1.4）《邵阳市</w:t>
            </w:r>
            <w:r>
              <w:rPr>
                <w:snapToGrid w:val="0"/>
                <w:color w:val="000000"/>
                <w:szCs w:val="21"/>
                <w:lang w:val="zh-CN"/>
              </w:rPr>
              <w:t>“十</w:t>
            </w:r>
            <w:r>
              <w:rPr>
                <w:snapToGrid w:val="0"/>
                <w:color w:val="000000"/>
                <w:szCs w:val="21"/>
              </w:rPr>
              <w:t>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 w:type="pct"/>
            <w:vMerge w:val="continue"/>
            <w:shd w:val="clear" w:color="auto" w:fill="auto"/>
            <w:vAlign w:val="center"/>
          </w:tcPr>
          <w:p>
            <w:pPr>
              <w:pStyle w:val="14"/>
              <w:tabs>
                <w:tab w:val="left" w:pos="0"/>
              </w:tabs>
              <w:ind w:firstLine="0" w:firstLineChars="0"/>
              <w:jc w:val="center"/>
              <w:rPr>
                <w:color w:val="000000"/>
                <w:szCs w:val="21"/>
              </w:rPr>
            </w:pPr>
          </w:p>
        </w:tc>
        <w:tc>
          <w:tcPr>
            <w:tcW w:w="268" w:type="pct"/>
            <w:vMerge w:val="continue"/>
            <w:shd w:val="clear" w:color="auto" w:fill="auto"/>
            <w:vAlign w:val="center"/>
          </w:tcPr>
          <w:p>
            <w:pPr>
              <w:jc w:val="center"/>
              <w:rPr>
                <w:color w:val="000000"/>
                <w:kern w:val="0"/>
                <w:szCs w:val="21"/>
              </w:rPr>
            </w:pPr>
          </w:p>
        </w:tc>
        <w:tc>
          <w:tcPr>
            <w:tcW w:w="394" w:type="pct"/>
            <w:shd w:val="clear" w:color="auto" w:fill="auto"/>
            <w:vAlign w:val="center"/>
          </w:tcPr>
          <w:p>
            <w:pPr>
              <w:jc w:val="center"/>
              <w:rPr>
                <w:color w:val="000000"/>
                <w:szCs w:val="21"/>
              </w:rPr>
            </w:pPr>
            <w:r>
              <w:rPr>
                <w:color w:val="000000"/>
                <w:szCs w:val="21"/>
              </w:rPr>
              <w:t>污染物排放管控</w:t>
            </w:r>
          </w:p>
        </w:tc>
        <w:tc>
          <w:tcPr>
            <w:tcW w:w="3134" w:type="pct"/>
            <w:shd w:val="clear" w:color="auto" w:fill="auto"/>
            <w:vAlign w:val="center"/>
          </w:tcPr>
          <w:p>
            <w:pPr>
              <w:spacing w:line="440" w:lineRule="exact"/>
              <w:rPr>
                <w:snapToGrid w:val="0"/>
                <w:color w:val="000000"/>
                <w:kern w:val="0"/>
                <w:szCs w:val="21"/>
              </w:rPr>
            </w:pPr>
            <w:r>
              <w:rPr>
                <w:snapToGrid w:val="0"/>
                <w:color w:val="000000"/>
                <w:kern w:val="0"/>
                <w:szCs w:val="21"/>
              </w:rPr>
              <w:t>（2.1）邵水流域执行重点水污染物排放总量控制制度。</w:t>
            </w:r>
          </w:p>
          <w:p>
            <w:pPr>
              <w:spacing w:line="440" w:lineRule="exact"/>
              <w:rPr>
                <w:snapToGrid w:val="0"/>
                <w:color w:val="000000"/>
                <w:kern w:val="0"/>
                <w:szCs w:val="21"/>
              </w:rPr>
            </w:pPr>
            <w:r>
              <w:rPr>
                <w:snapToGrid w:val="0"/>
                <w:color w:val="000000"/>
                <w:kern w:val="0"/>
                <w:szCs w:val="21"/>
              </w:rPr>
              <w:t>（2.2）邵水流域县级以上人民政府、乡镇人民政府所在地应当建立城镇污水集中处理设施，保证污水处理设施的正常运行，实现污水达标排放。</w:t>
            </w:r>
          </w:p>
          <w:p>
            <w:pPr>
              <w:spacing w:line="440" w:lineRule="exact"/>
              <w:rPr>
                <w:snapToGrid w:val="0"/>
                <w:color w:val="000000"/>
                <w:kern w:val="0"/>
                <w:szCs w:val="21"/>
              </w:rPr>
            </w:pPr>
            <w:r>
              <w:rPr>
                <w:snapToGrid w:val="0"/>
                <w:color w:val="000000"/>
                <w:kern w:val="0"/>
                <w:szCs w:val="21"/>
              </w:rPr>
              <w:t>（2.3）相关责任单位应当及时做好河道垃圾、漂浮物、有害藻类的清理打捞，不得向下游排放。</w:t>
            </w:r>
          </w:p>
        </w:tc>
        <w:tc>
          <w:tcPr>
            <w:tcW w:w="941" w:type="pct"/>
            <w:shd w:val="clear" w:color="auto" w:fill="auto"/>
            <w:vAlign w:val="center"/>
          </w:tcPr>
          <w:p>
            <w:pPr>
              <w:pStyle w:val="16"/>
              <w:adjustRightInd/>
              <w:snapToGrid/>
              <w:spacing w:line="440" w:lineRule="exact"/>
              <w:jc w:val="left"/>
              <w:rPr>
                <w:rFonts w:ascii="Times New Roman" w:hAnsi="Times New Roman" w:eastAsia="宋体" w:cs="Times New Roman"/>
                <w:sz w:val="21"/>
                <w:szCs w:val="21"/>
              </w:rPr>
            </w:pPr>
            <w:r>
              <w:rPr>
                <w:rFonts w:ascii="Times New Roman" w:hAnsi="Times New Roman" w:cs="Times New Roman"/>
                <w:sz w:val="21"/>
                <w:szCs w:val="21"/>
              </w:rPr>
              <w:t>（2.1）（2.2）（2.3）《</w:t>
            </w:r>
            <w:r>
              <w:rPr>
                <w:rFonts w:ascii="Times New Roman" w:hAnsi="Times New Roman" w:eastAsia="宋体" w:cs="Times New Roman"/>
                <w:sz w:val="21"/>
                <w:szCs w:val="21"/>
              </w:rPr>
              <w:t>邵阳市邵水保护条例（2022年修正）</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 w:type="pct"/>
            <w:vMerge w:val="continue"/>
            <w:shd w:val="clear" w:color="auto" w:fill="auto"/>
            <w:vAlign w:val="center"/>
          </w:tcPr>
          <w:p>
            <w:pPr>
              <w:pStyle w:val="14"/>
              <w:tabs>
                <w:tab w:val="left" w:pos="0"/>
              </w:tabs>
              <w:ind w:firstLine="0" w:firstLineChars="0"/>
              <w:jc w:val="center"/>
              <w:rPr>
                <w:color w:val="000000"/>
                <w:szCs w:val="21"/>
              </w:rPr>
            </w:pPr>
          </w:p>
        </w:tc>
        <w:tc>
          <w:tcPr>
            <w:tcW w:w="268" w:type="pct"/>
            <w:vMerge w:val="continue"/>
            <w:shd w:val="clear" w:color="auto" w:fill="auto"/>
            <w:vAlign w:val="center"/>
          </w:tcPr>
          <w:p>
            <w:pPr>
              <w:jc w:val="center"/>
              <w:rPr>
                <w:color w:val="000000"/>
                <w:kern w:val="0"/>
                <w:szCs w:val="21"/>
              </w:rPr>
            </w:pPr>
          </w:p>
        </w:tc>
        <w:tc>
          <w:tcPr>
            <w:tcW w:w="394" w:type="pct"/>
            <w:shd w:val="clear" w:color="auto" w:fill="auto"/>
            <w:vAlign w:val="center"/>
          </w:tcPr>
          <w:p>
            <w:pPr>
              <w:jc w:val="center"/>
              <w:rPr>
                <w:color w:val="000000"/>
                <w:szCs w:val="21"/>
              </w:rPr>
            </w:pPr>
            <w:r>
              <w:rPr>
                <w:color w:val="000000"/>
                <w:szCs w:val="21"/>
              </w:rPr>
              <w:t>环境风险防控</w:t>
            </w:r>
          </w:p>
        </w:tc>
        <w:tc>
          <w:tcPr>
            <w:tcW w:w="3134" w:type="pct"/>
            <w:shd w:val="clear" w:color="auto" w:fill="auto"/>
            <w:vAlign w:val="center"/>
          </w:tcPr>
          <w:p>
            <w:pPr>
              <w:spacing w:line="440" w:lineRule="exact"/>
              <w:rPr>
                <w:snapToGrid w:val="0"/>
                <w:color w:val="000000"/>
                <w:kern w:val="0"/>
                <w:szCs w:val="21"/>
              </w:rPr>
            </w:pPr>
            <w:r>
              <w:rPr>
                <w:snapToGrid w:val="0"/>
                <w:color w:val="000000"/>
                <w:kern w:val="0"/>
                <w:szCs w:val="21"/>
              </w:rPr>
              <w:t>（3.1）湘江流域各级生态环境保护部门应积极开展重金属污染源调查工作，掌握本区域内重金属污染源的种类和分布情况，强化本区域内涉重企业重金属废水的排放管理和监测工作，制定和完善可行的预防与监管制度体系。</w:t>
            </w:r>
          </w:p>
          <w:p>
            <w:pPr>
              <w:spacing w:line="440" w:lineRule="exact"/>
              <w:rPr>
                <w:snapToGrid w:val="0"/>
                <w:color w:val="000000"/>
                <w:kern w:val="0"/>
                <w:szCs w:val="21"/>
              </w:rPr>
            </w:pPr>
            <w:r>
              <w:rPr>
                <w:snapToGrid w:val="0"/>
                <w:color w:val="000000"/>
                <w:kern w:val="0"/>
                <w:szCs w:val="21"/>
              </w:rPr>
              <w:t>（3.2）建立自然生态监管体系，建立健全自然生态保护监管机制和标准规范</w:t>
            </w:r>
            <w:r>
              <w:rPr>
                <w:rFonts w:hint="eastAsia"/>
                <w:snapToGrid w:val="0"/>
                <w:color w:val="000000"/>
                <w:kern w:val="0"/>
                <w:szCs w:val="21"/>
              </w:rPr>
              <w:t>，</w:t>
            </w:r>
            <w:r>
              <w:rPr>
                <w:snapToGrid w:val="0"/>
                <w:color w:val="000000"/>
                <w:kern w:val="0"/>
                <w:szCs w:val="21"/>
              </w:rPr>
              <w:t>强化对破坏湿地、林地、草地、自然岸线等行为和湿地生态环境保护、荒漠化防治、岸线保护修复的监督。</w:t>
            </w:r>
          </w:p>
        </w:tc>
        <w:tc>
          <w:tcPr>
            <w:tcW w:w="941" w:type="pct"/>
            <w:shd w:val="clear" w:color="auto" w:fill="auto"/>
            <w:vAlign w:val="center"/>
          </w:tcPr>
          <w:p>
            <w:pPr>
              <w:pStyle w:val="16"/>
              <w:adjustRightInd/>
              <w:snapToGrid/>
              <w:spacing w:line="440" w:lineRule="exact"/>
              <w:jc w:val="left"/>
              <w:rPr>
                <w:rFonts w:ascii="Times New Roman" w:hAnsi="Times New Roman" w:eastAsia="宋体" w:cs="Times New Roman"/>
                <w:sz w:val="21"/>
                <w:szCs w:val="21"/>
              </w:rPr>
            </w:pPr>
            <w:r>
              <w:rPr>
                <w:rFonts w:ascii="Times New Roman" w:hAnsi="Times New Roman" w:eastAsia="宋体" w:cs="Times New Roman"/>
                <w:sz w:val="21"/>
                <w:szCs w:val="21"/>
              </w:rPr>
              <w:t>（3.1）《湖南省生态环境厅湖南省应急管理厅关于印发《湘江干流重金属污染突发环境事件专项应急预案》的通知》</w:t>
            </w:r>
          </w:p>
          <w:p>
            <w:pPr>
              <w:pStyle w:val="16"/>
              <w:adjustRightInd/>
              <w:snapToGrid/>
              <w:spacing w:line="440" w:lineRule="exact"/>
              <w:jc w:val="left"/>
              <w:rPr>
                <w:rFonts w:ascii="Times New Roman" w:hAnsi="Times New Roman" w:eastAsia="宋体" w:cs="Times New Roman"/>
                <w:sz w:val="21"/>
                <w:szCs w:val="21"/>
              </w:rPr>
            </w:pPr>
            <w:r>
              <w:rPr>
                <w:rFonts w:ascii="Times New Roman" w:hAnsi="Times New Roman" w:eastAsia="宋体" w:cs="Times New Roman"/>
                <w:sz w:val="21"/>
                <w:szCs w:val="21"/>
              </w:rPr>
              <w:t>（3.2）《湖南省人民政府办公厅关于印发《湖南省“十四五”生态环境保护规划》的通知》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 w:type="pct"/>
            <w:vMerge w:val="continue"/>
            <w:shd w:val="clear" w:color="auto" w:fill="auto"/>
            <w:vAlign w:val="center"/>
          </w:tcPr>
          <w:p>
            <w:pPr>
              <w:pStyle w:val="14"/>
              <w:tabs>
                <w:tab w:val="left" w:pos="0"/>
              </w:tabs>
              <w:ind w:firstLine="0" w:firstLineChars="0"/>
              <w:jc w:val="center"/>
              <w:rPr>
                <w:color w:val="000000"/>
                <w:szCs w:val="21"/>
              </w:rPr>
            </w:pPr>
          </w:p>
        </w:tc>
        <w:tc>
          <w:tcPr>
            <w:tcW w:w="268" w:type="pct"/>
            <w:vMerge w:val="continue"/>
            <w:shd w:val="clear" w:color="auto" w:fill="auto"/>
            <w:vAlign w:val="center"/>
          </w:tcPr>
          <w:p>
            <w:pPr>
              <w:jc w:val="center"/>
              <w:rPr>
                <w:color w:val="000000"/>
                <w:kern w:val="0"/>
                <w:szCs w:val="21"/>
              </w:rPr>
            </w:pPr>
          </w:p>
        </w:tc>
        <w:tc>
          <w:tcPr>
            <w:tcW w:w="394" w:type="pct"/>
            <w:shd w:val="clear" w:color="auto" w:fill="auto"/>
            <w:vAlign w:val="center"/>
          </w:tcPr>
          <w:p>
            <w:pPr>
              <w:jc w:val="center"/>
              <w:rPr>
                <w:color w:val="000000"/>
                <w:szCs w:val="21"/>
              </w:rPr>
            </w:pPr>
            <w:r>
              <w:rPr>
                <w:color w:val="000000"/>
                <w:szCs w:val="21"/>
              </w:rPr>
              <w:t>资源开发效率要求</w:t>
            </w:r>
          </w:p>
        </w:tc>
        <w:tc>
          <w:tcPr>
            <w:tcW w:w="3134" w:type="pct"/>
            <w:shd w:val="clear" w:color="auto" w:fill="auto"/>
            <w:vAlign w:val="center"/>
          </w:tcPr>
          <w:p>
            <w:pPr>
              <w:spacing w:line="420" w:lineRule="exact"/>
              <w:rPr>
                <w:snapToGrid w:val="0"/>
                <w:color w:val="000000"/>
                <w:kern w:val="0"/>
                <w:szCs w:val="21"/>
              </w:rPr>
            </w:pPr>
            <w:r>
              <w:rPr>
                <w:snapToGrid w:val="0"/>
                <w:color w:val="000000"/>
                <w:kern w:val="0"/>
                <w:szCs w:val="21"/>
              </w:rPr>
              <w:t>（4.1）暂无开发利用需求划定的岸线保留，因经济社会发展确需开发利用的，经充分论证并按照法律法规要求履行相关手续后，可参照岸线开发利用区或控制利用区管理。</w:t>
            </w:r>
          </w:p>
        </w:tc>
        <w:tc>
          <w:tcPr>
            <w:tcW w:w="941" w:type="pct"/>
            <w:shd w:val="clear" w:color="auto" w:fill="auto"/>
            <w:vAlign w:val="center"/>
          </w:tcPr>
          <w:p>
            <w:pPr>
              <w:pStyle w:val="16"/>
              <w:adjustRightInd/>
              <w:snapToGrid/>
              <w:spacing w:line="420" w:lineRule="exact"/>
              <w:jc w:val="left"/>
              <w:rPr>
                <w:rFonts w:ascii="Times New Roman" w:hAnsi="Times New Roman" w:eastAsia="宋体" w:cs="Times New Roman"/>
                <w:sz w:val="21"/>
                <w:szCs w:val="21"/>
              </w:rPr>
            </w:pPr>
            <w:r>
              <w:rPr>
                <w:rFonts w:ascii="Times New Roman" w:hAnsi="Times New Roman" w:eastAsia="宋体" w:cs="Times New Roman"/>
                <w:sz w:val="21"/>
                <w:szCs w:val="21"/>
              </w:rPr>
              <w:t>（4.1）长江岸线保护和开发利用总体规划（2016年8月）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 w:type="pct"/>
            <w:shd w:val="clear" w:color="auto" w:fill="auto"/>
            <w:vAlign w:val="center"/>
          </w:tcPr>
          <w:p>
            <w:pPr>
              <w:pStyle w:val="14"/>
              <w:tabs>
                <w:tab w:val="left" w:pos="0"/>
              </w:tabs>
              <w:ind w:firstLine="0" w:firstLineChars="0"/>
              <w:jc w:val="center"/>
              <w:rPr>
                <w:color w:val="000000"/>
                <w:szCs w:val="21"/>
              </w:rPr>
            </w:pPr>
            <w:r>
              <w:rPr>
                <w:color w:val="000000"/>
                <w:szCs w:val="21"/>
              </w:rPr>
              <w:t>8.</w:t>
            </w:r>
          </w:p>
        </w:tc>
        <w:tc>
          <w:tcPr>
            <w:tcW w:w="268" w:type="pct"/>
            <w:shd w:val="clear" w:color="auto" w:fill="auto"/>
            <w:vAlign w:val="center"/>
          </w:tcPr>
          <w:p>
            <w:pPr>
              <w:jc w:val="center"/>
              <w:rPr>
                <w:color w:val="000000"/>
                <w:kern w:val="0"/>
                <w:szCs w:val="21"/>
              </w:rPr>
            </w:pPr>
            <w:r>
              <w:rPr>
                <w:color w:val="000000"/>
                <w:kern w:val="0"/>
                <w:szCs w:val="21"/>
              </w:rPr>
              <w:t>湖南南山国家公园</w:t>
            </w:r>
          </w:p>
        </w:tc>
        <w:tc>
          <w:tcPr>
            <w:tcW w:w="394" w:type="pct"/>
            <w:shd w:val="clear" w:color="auto" w:fill="auto"/>
            <w:vAlign w:val="center"/>
          </w:tcPr>
          <w:p>
            <w:pPr>
              <w:jc w:val="center"/>
              <w:rPr>
                <w:color w:val="000000"/>
                <w:szCs w:val="21"/>
              </w:rPr>
            </w:pPr>
            <w:r>
              <w:rPr>
                <w:color w:val="000000"/>
                <w:szCs w:val="21"/>
              </w:rPr>
              <w:t>空间布局约束</w:t>
            </w:r>
          </w:p>
        </w:tc>
        <w:tc>
          <w:tcPr>
            <w:tcW w:w="3134" w:type="pct"/>
            <w:shd w:val="clear" w:color="auto" w:fill="auto"/>
            <w:vAlign w:val="center"/>
          </w:tcPr>
          <w:p>
            <w:pPr>
              <w:numPr>
                <w:ilvl w:val="1"/>
                <w:numId w:val="2"/>
              </w:numPr>
              <w:spacing w:line="420" w:lineRule="exact"/>
              <w:rPr>
                <w:snapToGrid w:val="0"/>
                <w:color w:val="000000"/>
                <w:kern w:val="0"/>
                <w:szCs w:val="21"/>
              </w:rPr>
            </w:pPr>
            <w:r>
              <w:rPr>
                <w:snapToGrid w:val="0"/>
                <w:color w:val="000000"/>
                <w:kern w:val="0"/>
                <w:szCs w:val="21"/>
              </w:rPr>
              <w:t>南山国家公园试点区属于全国主体功能区规划中的禁止开发区域，其中核心保护区纳入全国生态保护红线区域管控范围，实行最严格的保护。禁止设置工业化、城镇化开发项目，除涉及国防安全设施建设及活动，不损害生态系统的居民生产生活等民生设施维修、改造和科研、监测、体验、教育，以及文物保护利用相关活动外，禁止其他与保护目标不一致的开发建设活动，确实需要开展的工程建设，须进行生态环境和生物多样性影响评价，落实水土保持“三同时”制度。南山国家公园内在原保护地批准设立前已依法批建的矿业权、水电站等基础设施到期前调整至一般控制区，到期后有序退出，现有不符合保护和规划要求的各类工矿企业等项目逐步撤出。</w:t>
            </w:r>
          </w:p>
          <w:p>
            <w:pPr>
              <w:spacing w:line="420" w:lineRule="exact"/>
              <w:rPr>
                <w:snapToGrid w:val="0"/>
                <w:color w:val="000000"/>
                <w:kern w:val="0"/>
                <w:szCs w:val="21"/>
              </w:rPr>
            </w:pPr>
          </w:p>
        </w:tc>
        <w:tc>
          <w:tcPr>
            <w:tcW w:w="941" w:type="pct"/>
            <w:shd w:val="clear" w:color="auto" w:fill="auto"/>
            <w:vAlign w:val="center"/>
          </w:tcPr>
          <w:p>
            <w:pPr>
              <w:widowControl/>
              <w:spacing w:line="420" w:lineRule="exact"/>
              <w:jc w:val="left"/>
              <w:rPr>
                <w:snapToGrid w:val="0"/>
                <w:color w:val="000000"/>
                <w:kern w:val="0"/>
                <w:szCs w:val="21"/>
              </w:rPr>
            </w:pPr>
            <w:r>
              <w:rPr>
                <w:snapToGrid w:val="0"/>
                <w:color w:val="000000"/>
                <w:kern w:val="0"/>
                <w:szCs w:val="21"/>
              </w:rPr>
              <w:t>（1.1）《南山国家公园总体规划（2018</w:t>
            </w:r>
            <w:r>
              <w:rPr>
                <w:rFonts w:hint="eastAsia"/>
                <w:snapToGrid w:val="0"/>
                <w:color w:val="000000"/>
                <w:kern w:val="0"/>
                <w:szCs w:val="21"/>
              </w:rPr>
              <w:t>—</w:t>
            </w:r>
            <w:r>
              <w:rPr>
                <w:snapToGrid w:val="0"/>
                <w:color w:val="000000"/>
                <w:kern w:val="0"/>
                <w:szCs w:val="21"/>
              </w:rPr>
              <w:t>2025年）》</w:t>
            </w:r>
          </w:p>
          <w:p>
            <w:pPr>
              <w:pStyle w:val="16"/>
              <w:adjustRightInd/>
              <w:snapToGrid/>
              <w:spacing w:line="420" w:lineRule="exact"/>
              <w:jc w:val="left"/>
              <w:rPr>
                <w:rFonts w:ascii="Times New Roman" w:hAnsi="Times New Roman" w:eastAsia="宋体" w:cs="Times New Roman"/>
                <w:sz w:val="21"/>
                <w:szCs w:val="21"/>
              </w:rPr>
            </w:pPr>
          </w:p>
        </w:tc>
      </w:tr>
    </w:tbl>
    <w:p>
      <w:r>
        <w:br w:type="page"/>
      </w:r>
    </w:p>
    <w:p>
      <w:pPr>
        <w:jc w:val="center"/>
        <w:rPr>
          <w:rFonts w:eastAsia="楷体_GB2312"/>
          <w:b/>
          <w:sz w:val="59"/>
        </w:rPr>
      </w:pPr>
    </w:p>
    <w:p>
      <w:pPr>
        <w:jc w:val="center"/>
        <w:rPr>
          <w:rFonts w:eastAsia="楷体_GB2312"/>
          <w:b/>
          <w:sz w:val="59"/>
        </w:rPr>
      </w:pPr>
    </w:p>
    <w:p>
      <w:pPr>
        <w:jc w:val="center"/>
        <w:rPr>
          <w:rFonts w:eastAsia="楷体_GB2312"/>
          <w:b/>
          <w:sz w:val="59"/>
        </w:rPr>
      </w:pPr>
      <w:bookmarkStart w:id="19" w:name="_Toc58587999"/>
      <w:bookmarkStart w:id="20" w:name="_Toc58838226"/>
    </w:p>
    <w:p>
      <w:pPr>
        <w:pStyle w:val="2"/>
        <w:spacing w:line="720" w:lineRule="auto"/>
        <w:jc w:val="center"/>
        <w:rPr>
          <w:rFonts w:ascii="Times New Roman" w:hAnsi="Times New Roman" w:eastAsia="楷体_GB2312" w:cs="Times New Roman"/>
          <w:sz w:val="56"/>
          <w:szCs w:val="52"/>
        </w:rPr>
      </w:pPr>
      <w:bookmarkStart w:id="21" w:name="_Toc8053"/>
      <w:bookmarkStart w:id="22" w:name="_Toc28914"/>
      <w:r>
        <w:rPr>
          <w:rFonts w:ascii="Times New Roman" w:hAnsi="Times New Roman" w:eastAsia="楷体_GB2312" w:cs="Times New Roman"/>
          <w:sz w:val="56"/>
          <w:szCs w:val="52"/>
        </w:rPr>
        <w:t>二、邵阳市</w:t>
      </w:r>
      <w:bookmarkEnd w:id="19"/>
      <w:r>
        <w:rPr>
          <w:rFonts w:ascii="Times New Roman" w:hAnsi="Times New Roman" w:eastAsia="楷体_GB2312" w:cs="Times New Roman"/>
          <w:sz w:val="56"/>
          <w:szCs w:val="52"/>
        </w:rPr>
        <w:t>其他生态环境分区管控单元（除产业园区以外）</w:t>
      </w:r>
      <w:bookmarkEnd w:id="21"/>
      <w:bookmarkStart w:id="23" w:name="_Toc27906"/>
      <w:bookmarkStart w:id="24" w:name="_Toc27885"/>
      <w:bookmarkStart w:id="25" w:name="_Toc20824"/>
      <w:bookmarkStart w:id="26" w:name="_Toc10083"/>
      <w:r>
        <w:rPr>
          <w:rFonts w:ascii="Times New Roman" w:hAnsi="Times New Roman" w:eastAsia="楷体_GB2312" w:cs="Times New Roman"/>
          <w:sz w:val="56"/>
          <w:szCs w:val="52"/>
        </w:rPr>
        <w:t>生态环境准入清单</w:t>
      </w:r>
      <w:bookmarkEnd w:id="20"/>
      <w:bookmarkEnd w:id="22"/>
      <w:bookmarkEnd w:id="23"/>
      <w:bookmarkEnd w:id="24"/>
      <w:bookmarkEnd w:id="25"/>
      <w:bookmarkEnd w:id="26"/>
    </w:p>
    <w:p>
      <w:pPr>
        <w:rPr>
          <w:rFonts w:eastAsia="楷体_GB2312"/>
          <w:b/>
          <w:sz w:val="59"/>
        </w:rPr>
      </w:pPr>
    </w:p>
    <w:p>
      <w:pPr>
        <w:rPr>
          <w:rFonts w:eastAsia="楷体_GB2312"/>
          <w:b/>
          <w:sz w:val="59"/>
        </w:rPr>
      </w:pPr>
    </w:p>
    <w:p/>
    <w:p/>
    <w:p/>
    <w:p/>
    <w:p>
      <w:r>
        <w:br w:type="page"/>
      </w:r>
    </w:p>
    <w:p>
      <w:pPr>
        <w:pStyle w:val="2"/>
        <w:rPr>
          <w:rFonts w:ascii="Times New Roman" w:hAnsi="Times New Roman" w:cs="Times New Roman"/>
        </w:rPr>
      </w:pPr>
      <w:bookmarkStart w:id="27" w:name="_Toc21935"/>
      <w:r>
        <w:rPr>
          <w:rFonts w:ascii="Times New Roman" w:hAnsi="Times New Roman" w:cs="Times New Roman"/>
        </w:rPr>
        <w:t>2-1双清区</w:t>
      </w:r>
      <w:bookmarkEnd w:id="27"/>
    </w:p>
    <w:tbl>
      <w:tblPr>
        <w:tblStyle w:val="10"/>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344"/>
        <w:gridCol w:w="587"/>
        <w:gridCol w:w="541"/>
        <w:gridCol w:w="537"/>
        <w:gridCol w:w="609"/>
        <w:gridCol w:w="720"/>
        <w:gridCol w:w="1080"/>
        <w:gridCol w:w="1229"/>
        <w:gridCol w:w="2338"/>
        <w:gridCol w:w="1017"/>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Merge w:val="restart"/>
            <w:vAlign w:val="center"/>
          </w:tcPr>
          <w:p>
            <w:pPr>
              <w:widowControl/>
              <w:jc w:val="center"/>
              <w:rPr>
                <w:b/>
                <w:color w:val="000000"/>
                <w:kern w:val="0"/>
                <w:szCs w:val="21"/>
              </w:rPr>
            </w:pPr>
            <w:bookmarkStart w:id="28" w:name="_Hlk51771691"/>
            <w:r>
              <w:rPr>
                <w:b/>
                <w:color w:val="000000"/>
                <w:kern w:val="0"/>
                <w:szCs w:val="21"/>
              </w:rPr>
              <w:t>环境管控单元编码</w:t>
            </w:r>
          </w:p>
        </w:tc>
        <w:tc>
          <w:tcPr>
            <w:tcW w:w="477" w:type="pct"/>
            <w:vMerge w:val="restart"/>
            <w:vAlign w:val="center"/>
          </w:tcPr>
          <w:p>
            <w:pPr>
              <w:widowControl/>
              <w:jc w:val="center"/>
              <w:rPr>
                <w:b/>
                <w:color w:val="000000"/>
                <w:kern w:val="0"/>
                <w:szCs w:val="21"/>
              </w:rPr>
            </w:pPr>
            <w:r>
              <w:rPr>
                <w:b/>
                <w:color w:val="000000"/>
                <w:kern w:val="0"/>
                <w:szCs w:val="21"/>
              </w:rPr>
              <w:t>单元名称</w:t>
            </w:r>
          </w:p>
        </w:tc>
        <w:tc>
          <w:tcPr>
            <w:tcW w:w="591" w:type="pct"/>
            <w:gridSpan w:val="3"/>
            <w:vAlign w:val="center"/>
          </w:tcPr>
          <w:p>
            <w:pPr>
              <w:widowControl/>
              <w:jc w:val="center"/>
              <w:rPr>
                <w:b/>
                <w:color w:val="000000"/>
                <w:kern w:val="0"/>
                <w:szCs w:val="21"/>
              </w:rPr>
            </w:pPr>
            <w:r>
              <w:rPr>
                <w:b/>
                <w:color w:val="000000"/>
                <w:kern w:val="0"/>
                <w:szCs w:val="21"/>
              </w:rPr>
              <w:t>行政区划</w:t>
            </w:r>
          </w:p>
        </w:tc>
        <w:tc>
          <w:tcPr>
            <w:tcW w:w="216" w:type="pct"/>
            <w:vMerge w:val="restart"/>
            <w:vAlign w:val="center"/>
          </w:tcPr>
          <w:p>
            <w:pPr>
              <w:widowControl/>
              <w:jc w:val="center"/>
              <w:rPr>
                <w:b/>
                <w:color w:val="000000"/>
                <w:kern w:val="0"/>
                <w:szCs w:val="21"/>
              </w:rPr>
            </w:pPr>
            <w:r>
              <w:rPr>
                <w:b/>
                <w:color w:val="000000"/>
                <w:kern w:val="0"/>
                <w:szCs w:val="21"/>
              </w:rPr>
              <w:t>单元分类</w:t>
            </w:r>
          </w:p>
        </w:tc>
        <w:tc>
          <w:tcPr>
            <w:tcW w:w="255"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83" w:type="pct"/>
            <w:vMerge w:val="restart"/>
            <w:vAlign w:val="center"/>
          </w:tcPr>
          <w:p>
            <w:pPr>
              <w:jc w:val="center"/>
              <w:rPr>
                <w:b/>
                <w:color w:val="000000"/>
                <w:kern w:val="0"/>
                <w:szCs w:val="21"/>
              </w:rPr>
            </w:pPr>
            <w:r>
              <w:rPr>
                <w:b/>
                <w:color w:val="000000"/>
                <w:kern w:val="0"/>
                <w:szCs w:val="21"/>
              </w:rPr>
              <w:t>涉及乡镇(街道)</w:t>
            </w:r>
          </w:p>
        </w:tc>
        <w:tc>
          <w:tcPr>
            <w:tcW w:w="436" w:type="pct"/>
            <w:vMerge w:val="restart"/>
            <w:vAlign w:val="center"/>
          </w:tcPr>
          <w:p>
            <w:pPr>
              <w:jc w:val="center"/>
              <w:rPr>
                <w:b/>
                <w:color w:val="000000"/>
                <w:kern w:val="0"/>
                <w:szCs w:val="21"/>
              </w:rPr>
            </w:pPr>
            <w:r>
              <w:rPr>
                <w:b/>
                <w:color w:val="000000"/>
                <w:kern w:val="0"/>
                <w:szCs w:val="21"/>
              </w:rPr>
              <w:t>主体功能定位①</w:t>
            </w:r>
          </w:p>
        </w:tc>
        <w:tc>
          <w:tcPr>
            <w:tcW w:w="1191" w:type="pct"/>
            <w:gridSpan w:val="2"/>
            <w:vMerge w:val="restart"/>
            <w:vAlign w:val="center"/>
          </w:tcPr>
          <w:p>
            <w:pPr>
              <w:jc w:val="center"/>
              <w:rPr>
                <w:b/>
                <w:color w:val="000000"/>
                <w:kern w:val="0"/>
                <w:szCs w:val="21"/>
              </w:rPr>
            </w:pPr>
            <w:r>
              <w:rPr>
                <w:b/>
                <w:color w:val="000000"/>
                <w:kern w:val="0"/>
                <w:szCs w:val="21"/>
              </w:rPr>
              <w:t>经济产业布局②</w:t>
            </w:r>
          </w:p>
        </w:tc>
        <w:tc>
          <w:tcPr>
            <w:tcW w:w="859" w:type="pct"/>
            <w:vMerge w:val="restart"/>
            <w:vAlign w:val="center"/>
          </w:tcPr>
          <w:p>
            <w:pPr>
              <w:jc w:val="center"/>
              <w:rPr>
                <w:b/>
                <w:color w:val="000000"/>
                <w:kern w:val="0"/>
                <w:szCs w:val="21"/>
              </w:rPr>
            </w:pPr>
            <w:r>
              <w:rPr>
                <w:b/>
                <w:kern w:val="0"/>
                <w:szCs w:val="21"/>
              </w:rPr>
              <w:t>主要环境问题和重要敏感目标③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pct"/>
            <w:vMerge w:val="continue"/>
            <w:vAlign w:val="center"/>
          </w:tcPr>
          <w:p/>
        </w:tc>
        <w:tc>
          <w:tcPr>
            <w:tcW w:w="477" w:type="pct"/>
            <w:vMerge w:val="continue"/>
            <w:vAlign w:val="center"/>
          </w:tcPr>
          <w:p/>
        </w:tc>
        <w:tc>
          <w:tcPr>
            <w:tcW w:w="208" w:type="pct"/>
            <w:vAlign w:val="center"/>
          </w:tcPr>
          <w:p>
            <w:pPr>
              <w:jc w:val="center"/>
              <w:rPr>
                <w:b/>
                <w:color w:val="000000"/>
                <w:szCs w:val="21"/>
              </w:rPr>
            </w:pPr>
            <w:r>
              <w:rPr>
                <w:b/>
                <w:color w:val="000000"/>
                <w:szCs w:val="21"/>
              </w:rPr>
              <w:t>省</w:t>
            </w:r>
          </w:p>
        </w:tc>
        <w:tc>
          <w:tcPr>
            <w:tcW w:w="192" w:type="pct"/>
            <w:vAlign w:val="center"/>
          </w:tcPr>
          <w:p>
            <w:pPr>
              <w:jc w:val="center"/>
              <w:rPr>
                <w:b/>
                <w:color w:val="000000"/>
                <w:szCs w:val="21"/>
              </w:rPr>
            </w:pPr>
            <w:r>
              <w:rPr>
                <w:b/>
                <w:color w:val="000000"/>
                <w:szCs w:val="21"/>
              </w:rPr>
              <w:t>市</w:t>
            </w:r>
          </w:p>
        </w:tc>
        <w:tc>
          <w:tcPr>
            <w:tcW w:w="191" w:type="pct"/>
            <w:vAlign w:val="center"/>
          </w:tcPr>
          <w:p>
            <w:pPr>
              <w:jc w:val="center"/>
              <w:rPr>
                <w:b/>
                <w:color w:val="000000"/>
                <w:szCs w:val="21"/>
              </w:rPr>
            </w:pPr>
            <w:r>
              <w:rPr>
                <w:b/>
                <w:color w:val="000000"/>
                <w:szCs w:val="21"/>
              </w:rPr>
              <w:t>县</w:t>
            </w:r>
          </w:p>
        </w:tc>
        <w:tc>
          <w:tcPr>
            <w:tcW w:w="216" w:type="pct"/>
            <w:vMerge w:val="continue"/>
            <w:vAlign w:val="center"/>
          </w:tcPr>
          <w:p/>
        </w:tc>
        <w:tc>
          <w:tcPr>
            <w:tcW w:w="255" w:type="pct"/>
            <w:vMerge w:val="continue"/>
            <w:vAlign w:val="center"/>
          </w:tcPr>
          <w:p/>
        </w:tc>
        <w:tc>
          <w:tcPr>
            <w:tcW w:w="383" w:type="pct"/>
            <w:vMerge w:val="continue"/>
            <w:vAlign w:val="center"/>
          </w:tcPr>
          <w:p/>
        </w:tc>
        <w:tc>
          <w:tcPr>
            <w:tcW w:w="436" w:type="pct"/>
            <w:vMerge w:val="continue"/>
            <w:vAlign w:val="center"/>
          </w:tcPr>
          <w:p/>
        </w:tc>
        <w:tc>
          <w:tcPr>
            <w:tcW w:w="1191" w:type="pct"/>
            <w:gridSpan w:val="2"/>
            <w:vMerge w:val="continue"/>
            <w:vAlign w:val="center"/>
          </w:tcPr>
          <w:p/>
        </w:tc>
        <w:tc>
          <w:tcPr>
            <w:tcW w:w="859"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widowControl/>
              <w:spacing w:line="400" w:lineRule="exact"/>
              <w:jc w:val="center"/>
              <w:rPr>
                <w:color w:val="000000"/>
                <w:kern w:val="0"/>
                <w:szCs w:val="21"/>
              </w:rPr>
            </w:pPr>
            <w:r>
              <w:rPr>
                <w:color w:val="000000"/>
                <w:kern w:val="0"/>
                <w:szCs w:val="21"/>
              </w:rPr>
              <w:t>ZH43050220001</w:t>
            </w:r>
          </w:p>
        </w:tc>
        <w:tc>
          <w:tcPr>
            <w:tcW w:w="477" w:type="pct"/>
            <w:vAlign w:val="center"/>
          </w:tcPr>
          <w:p>
            <w:pPr>
              <w:widowControl/>
              <w:spacing w:line="400" w:lineRule="exact"/>
              <w:jc w:val="center"/>
              <w:rPr>
                <w:color w:val="000000"/>
                <w:kern w:val="0"/>
                <w:szCs w:val="21"/>
              </w:rPr>
            </w:pPr>
            <w:r>
              <w:rPr>
                <w:color w:val="000000"/>
                <w:kern w:val="0"/>
                <w:szCs w:val="21"/>
              </w:rPr>
              <w:t>爱莲街道\滨江街道\东风路街道\渡头桥镇\高崇山镇\火车站乡\龙须塘街道\汽车站街道\桥头街道\石桥街道\小江湖街道\兴隆街道</w:t>
            </w:r>
          </w:p>
        </w:tc>
        <w:tc>
          <w:tcPr>
            <w:tcW w:w="208" w:type="pct"/>
            <w:vAlign w:val="center"/>
          </w:tcPr>
          <w:p>
            <w:pPr>
              <w:widowControl/>
              <w:spacing w:line="400" w:lineRule="exact"/>
              <w:jc w:val="center"/>
              <w:rPr>
                <w:color w:val="000000"/>
                <w:kern w:val="0"/>
                <w:szCs w:val="21"/>
              </w:rPr>
            </w:pPr>
            <w:r>
              <w:rPr>
                <w:color w:val="000000"/>
                <w:kern w:val="0"/>
                <w:szCs w:val="21"/>
              </w:rPr>
              <w:t>湖南省</w:t>
            </w:r>
          </w:p>
        </w:tc>
        <w:tc>
          <w:tcPr>
            <w:tcW w:w="192" w:type="pct"/>
            <w:vAlign w:val="center"/>
          </w:tcPr>
          <w:p>
            <w:pPr>
              <w:widowControl/>
              <w:spacing w:line="400" w:lineRule="exact"/>
              <w:jc w:val="center"/>
              <w:rPr>
                <w:color w:val="000000"/>
                <w:kern w:val="0"/>
                <w:szCs w:val="21"/>
              </w:rPr>
            </w:pPr>
            <w:r>
              <w:rPr>
                <w:color w:val="000000"/>
                <w:kern w:val="0"/>
                <w:szCs w:val="21"/>
              </w:rPr>
              <w:t>邵阳市</w:t>
            </w:r>
          </w:p>
        </w:tc>
        <w:tc>
          <w:tcPr>
            <w:tcW w:w="191" w:type="pct"/>
            <w:vAlign w:val="center"/>
          </w:tcPr>
          <w:p>
            <w:pPr>
              <w:widowControl/>
              <w:spacing w:line="400" w:lineRule="exact"/>
              <w:jc w:val="center"/>
              <w:rPr>
                <w:color w:val="000000"/>
                <w:kern w:val="0"/>
                <w:szCs w:val="21"/>
              </w:rPr>
            </w:pPr>
            <w:r>
              <w:rPr>
                <w:color w:val="000000"/>
                <w:kern w:val="0"/>
                <w:szCs w:val="21"/>
              </w:rPr>
              <w:t>双清区</w:t>
            </w:r>
          </w:p>
        </w:tc>
        <w:tc>
          <w:tcPr>
            <w:tcW w:w="216" w:type="pct"/>
            <w:vAlign w:val="center"/>
          </w:tcPr>
          <w:p>
            <w:pPr>
              <w:widowControl/>
              <w:spacing w:line="400" w:lineRule="exact"/>
              <w:jc w:val="center"/>
              <w:rPr>
                <w:color w:val="000000"/>
                <w:kern w:val="0"/>
                <w:szCs w:val="21"/>
              </w:rPr>
            </w:pPr>
            <w:r>
              <w:rPr>
                <w:color w:val="000000"/>
                <w:kern w:val="0"/>
                <w:szCs w:val="21"/>
              </w:rPr>
              <w:t>重点管控单元</w:t>
            </w:r>
          </w:p>
        </w:tc>
        <w:tc>
          <w:tcPr>
            <w:tcW w:w="255" w:type="pct"/>
            <w:vAlign w:val="center"/>
          </w:tcPr>
          <w:p>
            <w:pPr>
              <w:widowControl/>
              <w:spacing w:line="400" w:lineRule="exact"/>
              <w:jc w:val="center"/>
              <w:rPr>
                <w:color w:val="000000"/>
                <w:kern w:val="0"/>
                <w:szCs w:val="21"/>
              </w:rPr>
            </w:pPr>
            <w:r>
              <w:rPr>
                <w:color w:val="000000"/>
                <w:kern w:val="0"/>
                <w:szCs w:val="21"/>
              </w:rPr>
              <w:t>120.47</w:t>
            </w:r>
          </w:p>
        </w:tc>
        <w:tc>
          <w:tcPr>
            <w:tcW w:w="383" w:type="pct"/>
            <w:vAlign w:val="center"/>
          </w:tcPr>
          <w:p>
            <w:pPr>
              <w:widowControl/>
              <w:spacing w:line="400" w:lineRule="exact"/>
              <w:jc w:val="center"/>
              <w:rPr>
                <w:color w:val="000000"/>
                <w:kern w:val="0"/>
                <w:szCs w:val="21"/>
              </w:rPr>
            </w:pPr>
            <w:r>
              <w:rPr>
                <w:color w:val="000000"/>
                <w:kern w:val="0"/>
                <w:szCs w:val="21"/>
              </w:rPr>
              <w:t>爱莲街道\滨江街道\东风路街道\渡头桥镇\高崇山镇\火车站乡\龙须塘街道\汽车站街道\桥头街道\石桥街道\小江湖街道\兴隆街道</w:t>
            </w:r>
          </w:p>
        </w:tc>
        <w:tc>
          <w:tcPr>
            <w:tcW w:w="436" w:type="pct"/>
            <w:vAlign w:val="center"/>
          </w:tcPr>
          <w:p>
            <w:pPr>
              <w:spacing w:line="400" w:lineRule="exact"/>
              <w:jc w:val="center"/>
              <w:rPr>
                <w:color w:val="000000"/>
                <w:kern w:val="0"/>
                <w:szCs w:val="21"/>
              </w:rPr>
            </w:pPr>
            <w:r>
              <w:rPr>
                <w:b/>
                <w:bCs/>
                <w:color w:val="000000"/>
                <w:kern w:val="0"/>
                <w:szCs w:val="21"/>
              </w:rPr>
              <w:t>爱莲街道、滨江街道、东风路街道、渡头桥镇、高崇山镇、火车站乡、龙须塘街、石桥街道、小江湖街道、兴隆街道：</w:t>
            </w:r>
            <w:r>
              <w:rPr>
                <w:color w:val="000000"/>
                <w:kern w:val="0"/>
                <w:szCs w:val="21"/>
              </w:rPr>
              <w:t>城市化地区；</w:t>
            </w:r>
          </w:p>
          <w:p>
            <w:pPr>
              <w:spacing w:line="400" w:lineRule="exact"/>
              <w:jc w:val="center"/>
              <w:rPr>
                <w:color w:val="000000"/>
                <w:kern w:val="0"/>
                <w:szCs w:val="21"/>
              </w:rPr>
            </w:pPr>
            <w:r>
              <w:rPr>
                <w:b/>
                <w:bCs/>
                <w:color w:val="000000"/>
                <w:kern w:val="0"/>
                <w:szCs w:val="21"/>
              </w:rPr>
              <w:t>汽车站街道、桥头街道：</w:t>
            </w:r>
            <w:r>
              <w:rPr>
                <w:color w:val="000000"/>
                <w:kern w:val="0"/>
                <w:szCs w:val="21"/>
              </w:rPr>
              <w:t>城市化地区/历史文化资源富集区</w:t>
            </w:r>
          </w:p>
        </w:tc>
        <w:tc>
          <w:tcPr>
            <w:tcW w:w="1191" w:type="pct"/>
            <w:gridSpan w:val="2"/>
            <w:vAlign w:val="center"/>
          </w:tcPr>
          <w:p>
            <w:pPr>
              <w:widowControl/>
              <w:spacing w:line="400" w:lineRule="exact"/>
              <w:rPr>
                <w:color w:val="000000"/>
                <w:kern w:val="0"/>
                <w:szCs w:val="21"/>
              </w:rPr>
            </w:pPr>
            <w:r>
              <w:rPr>
                <w:b/>
                <w:bCs/>
                <w:color w:val="000000"/>
                <w:kern w:val="0"/>
                <w:szCs w:val="21"/>
              </w:rPr>
              <w:t>爱莲街道</w:t>
            </w:r>
            <w:r>
              <w:rPr>
                <w:color w:val="000000"/>
                <w:kern w:val="0"/>
                <w:szCs w:val="21"/>
              </w:rPr>
              <w:t>：农业种植、畜禽养殖、机械加工、食品加工、农副产品加工、造纸厂、印刷业、烟花爆竹经营；</w:t>
            </w:r>
          </w:p>
          <w:p>
            <w:pPr>
              <w:widowControl/>
              <w:spacing w:line="400" w:lineRule="exact"/>
              <w:rPr>
                <w:color w:val="000000"/>
                <w:kern w:val="0"/>
                <w:szCs w:val="21"/>
              </w:rPr>
            </w:pPr>
            <w:r>
              <w:rPr>
                <w:b/>
                <w:bCs/>
                <w:color w:val="000000"/>
                <w:kern w:val="0"/>
                <w:szCs w:val="21"/>
              </w:rPr>
              <w:t>滨江街道</w:t>
            </w:r>
            <w:r>
              <w:rPr>
                <w:color w:val="000000"/>
                <w:kern w:val="0"/>
                <w:szCs w:val="21"/>
              </w:rPr>
              <w:t>：农业种植、畜禽养殖、机械加工、纺织加工、食品加工、化工、药业、制革、玻璃、仓储物流、餐饮、家具加工、砂石场；</w:t>
            </w:r>
          </w:p>
          <w:p>
            <w:pPr>
              <w:widowControl/>
              <w:spacing w:line="400" w:lineRule="exact"/>
              <w:rPr>
                <w:color w:val="000000"/>
                <w:kern w:val="0"/>
                <w:szCs w:val="21"/>
              </w:rPr>
            </w:pPr>
            <w:r>
              <w:rPr>
                <w:b/>
                <w:bCs/>
                <w:color w:val="000000"/>
                <w:kern w:val="0"/>
                <w:szCs w:val="21"/>
              </w:rPr>
              <w:t>渡头桥镇</w:t>
            </w:r>
            <w:r>
              <w:rPr>
                <w:color w:val="000000"/>
                <w:kern w:val="0"/>
                <w:szCs w:val="21"/>
              </w:rPr>
              <w:t>：农业种植、休闲农业、畜禽养殖、机械加工、食品加工、农副产品加工；</w:t>
            </w:r>
          </w:p>
          <w:p>
            <w:pPr>
              <w:widowControl/>
              <w:spacing w:line="400" w:lineRule="exact"/>
              <w:rPr>
                <w:color w:val="000000"/>
                <w:kern w:val="0"/>
                <w:szCs w:val="21"/>
              </w:rPr>
            </w:pPr>
            <w:r>
              <w:rPr>
                <w:b/>
                <w:bCs/>
                <w:color w:val="000000"/>
                <w:kern w:val="0"/>
                <w:szCs w:val="21"/>
              </w:rPr>
              <w:t>高崇山镇</w:t>
            </w:r>
            <w:r>
              <w:rPr>
                <w:color w:val="000000"/>
                <w:kern w:val="0"/>
                <w:szCs w:val="21"/>
              </w:rPr>
              <w:t>：农业种植、畜禽养殖、服务业、餐饮、玻璃加工、机械、食品加工、仓储物流、服装、商品零售批发；</w:t>
            </w:r>
          </w:p>
          <w:p>
            <w:pPr>
              <w:widowControl/>
              <w:spacing w:line="400" w:lineRule="exact"/>
              <w:rPr>
                <w:color w:val="000000"/>
                <w:kern w:val="0"/>
                <w:szCs w:val="21"/>
              </w:rPr>
            </w:pPr>
            <w:r>
              <w:rPr>
                <w:b/>
                <w:bCs/>
                <w:color w:val="000000"/>
                <w:kern w:val="0"/>
                <w:szCs w:val="21"/>
              </w:rPr>
              <w:t>火车站乡：</w:t>
            </w:r>
            <w:r>
              <w:rPr>
                <w:color w:val="000000"/>
                <w:kern w:val="0"/>
                <w:szCs w:val="21"/>
              </w:rPr>
              <w:t>农业种植、休闲农业、畜禽养殖、机械加工、食品加工、农副产品加工、仓储物流、商品零售批发、旅游、餐饮、服务业等；</w:t>
            </w:r>
          </w:p>
          <w:p>
            <w:pPr>
              <w:widowControl/>
              <w:spacing w:line="400" w:lineRule="exact"/>
              <w:rPr>
                <w:color w:val="000000"/>
                <w:kern w:val="0"/>
                <w:szCs w:val="21"/>
              </w:rPr>
            </w:pPr>
            <w:r>
              <w:rPr>
                <w:b/>
                <w:bCs/>
                <w:color w:val="000000"/>
                <w:kern w:val="0"/>
                <w:szCs w:val="21"/>
              </w:rPr>
              <w:t>龙须塘街道</w:t>
            </w:r>
            <w:r>
              <w:rPr>
                <w:color w:val="000000"/>
                <w:kern w:val="0"/>
                <w:szCs w:val="21"/>
              </w:rPr>
              <w:t>：仓储物流、商品零售批发、餐饮、服务业；</w:t>
            </w:r>
          </w:p>
          <w:p>
            <w:pPr>
              <w:widowControl/>
              <w:spacing w:line="400" w:lineRule="exact"/>
              <w:rPr>
                <w:color w:val="000000"/>
                <w:kern w:val="0"/>
                <w:szCs w:val="21"/>
              </w:rPr>
            </w:pPr>
            <w:r>
              <w:rPr>
                <w:b/>
                <w:bCs/>
                <w:color w:val="000000"/>
                <w:kern w:val="0"/>
                <w:szCs w:val="21"/>
              </w:rPr>
              <w:t>石桥街道</w:t>
            </w:r>
            <w:r>
              <w:rPr>
                <w:color w:val="000000"/>
                <w:kern w:val="0"/>
                <w:szCs w:val="21"/>
              </w:rPr>
              <w:t>：农业种植、机械制造、机械加工、食品加工、家具加工、砂石场；</w:t>
            </w:r>
          </w:p>
          <w:p>
            <w:pPr>
              <w:widowControl/>
              <w:spacing w:line="400" w:lineRule="exact"/>
              <w:rPr>
                <w:color w:val="000000"/>
                <w:kern w:val="0"/>
                <w:szCs w:val="21"/>
              </w:rPr>
            </w:pPr>
            <w:r>
              <w:rPr>
                <w:b/>
                <w:bCs/>
                <w:color w:val="000000"/>
                <w:kern w:val="0"/>
                <w:szCs w:val="21"/>
              </w:rPr>
              <w:t>兴隆街道</w:t>
            </w:r>
            <w:r>
              <w:rPr>
                <w:color w:val="000000"/>
                <w:kern w:val="0"/>
                <w:szCs w:val="21"/>
              </w:rPr>
              <w:t>：仓储物流、商品零售批发、餐饮、服务业；</w:t>
            </w:r>
          </w:p>
          <w:p>
            <w:pPr>
              <w:widowControl/>
              <w:spacing w:line="400" w:lineRule="exact"/>
              <w:rPr>
                <w:color w:val="000000"/>
                <w:kern w:val="0"/>
                <w:szCs w:val="21"/>
              </w:rPr>
            </w:pPr>
            <w:r>
              <w:rPr>
                <w:b/>
                <w:bCs/>
                <w:color w:val="000000"/>
                <w:kern w:val="0"/>
                <w:szCs w:val="21"/>
              </w:rPr>
              <w:t>小江湖街道</w:t>
            </w:r>
            <w:r>
              <w:rPr>
                <w:color w:val="000000"/>
                <w:kern w:val="0"/>
                <w:szCs w:val="21"/>
              </w:rPr>
              <w:t>：机械加工、造纸、仓储物流、餐饮；</w:t>
            </w:r>
          </w:p>
          <w:p>
            <w:pPr>
              <w:widowControl/>
              <w:spacing w:line="400" w:lineRule="exact"/>
              <w:rPr>
                <w:color w:val="000000"/>
                <w:kern w:val="0"/>
                <w:szCs w:val="21"/>
              </w:rPr>
            </w:pPr>
            <w:r>
              <w:rPr>
                <w:b/>
                <w:bCs/>
                <w:color w:val="000000"/>
                <w:kern w:val="0"/>
                <w:szCs w:val="21"/>
              </w:rPr>
              <w:t>汽车站街道</w:t>
            </w:r>
            <w:r>
              <w:rPr>
                <w:color w:val="000000"/>
                <w:kern w:val="0"/>
                <w:szCs w:val="21"/>
              </w:rPr>
              <w:t>：商品零售批发、餐饮、服务业；</w:t>
            </w:r>
          </w:p>
          <w:p>
            <w:pPr>
              <w:widowControl/>
              <w:spacing w:line="400" w:lineRule="exact"/>
              <w:rPr>
                <w:color w:val="000000"/>
                <w:kern w:val="0"/>
                <w:szCs w:val="21"/>
              </w:rPr>
            </w:pPr>
            <w:r>
              <w:rPr>
                <w:b/>
                <w:bCs/>
                <w:color w:val="000000"/>
                <w:kern w:val="0"/>
                <w:szCs w:val="21"/>
              </w:rPr>
              <w:t>桥头街道：</w:t>
            </w:r>
            <w:r>
              <w:rPr>
                <w:color w:val="000000"/>
                <w:kern w:val="0"/>
                <w:szCs w:val="21"/>
              </w:rPr>
              <w:t>商品零售批发、餐饮。</w:t>
            </w:r>
          </w:p>
        </w:tc>
        <w:tc>
          <w:tcPr>
            <w:tcW w:w="859" w:type="pct"/>
            <w:vAlign w:val="center"/>
          </w:tcPr>
          <w:p>
            <w:pPr>
              <w:widowControl/>
              <w:spacing w:line="360" w:lineRule="exact"/>
              <w:rPr>
                <w:b/>
                <w:bCs/>
                <w:color w:val="000000"/>
                <w:kern w:val="0"/>
                <w:szCs w:val="21"/>
              </w:rPr>
            </w:pPr>
            <w:r>
              <w:rPr>
                <w:b/>
                <w:bCs/>
                <w:color w:val="000000"/>
                <w:kern w:val="0"/>
                <w:szCs w:val="21"/>
              </w:rPr>
              <w:t>主要环境问题：</w:t>
            </w:r>
          </w:p>
          <w:p>
            <w:pPr>
              <w:widowControl/>
              <w:spacing w:line="360" w:lineRule="exact"/>
              <w:rPr>
                <w:color w:val="000000"/>
                <w:kern w:val="0"/>
                <w:szCs w:val="21"/>
              </w:rPr>
            </w:pPr>
            <w:r>
              <w:rPr>
                <w:b/>
                <w:bCs/>
                <w:color w:val="000000"/>
                <w:kern w:val="0"/>
                <w:szCs w:val="21"/>
              </w:rPr>
              <w:t>兴隆街道、龙须塘街道：</w:t>
            </w:r>
            <w:r>
              <w:rPr>
                <w:color w:val="000000"/>
                <w:kern w:val="0"/>
                <w:szCs w:val="21"/>
              </w:rPr>
              <w:t>属老工业聚集区，部分企业地块土壤污染。</w:t>
            </w:r>
          </w:p>
          <w:p>
            <w:pPr>
              <w:widowControl/>
              <w:spacing w:line="360" w:lineRule="exact"/>
              <w:rPr>
                <w:color w:val="000000"/>
                <w:kern w:val="0"/>
                <w:szCs w:val="21"/>
              </w:rPr>
            </w:pPr>
            <w:r>
              <w:rPr>
                <w:b/>
                <w:bCs/>
                <w:color w:val="000000"/>
                <w:kern w:val="0"/>
                <w:szCs w:val="21"/>
              </w:rPr>
              <w:t>汽车站街道、小江湖街道、桥头街道：</w:t>
            </w:r>
            <w:r>
              <w:rPr>
                <w:color w:val="000000"/>
                <w:kern w:val="0"/>
                <w:szCs w:val="21"/>
              </w:rPr>
              <w:t>城市建成区存在餐饮油烟污染的问题，城市生活污染物排放量较大，现还有部分生活污水未接入城市污水管网。</w:t>
            </w:r>
          </w:p>
          <w:p>
            <w:pPr>
              <w:widowControl/>
              <w:spacing w:line="360" w:lineRule="exact"/>
              <w:rPr>
                <w:color w:val="000000"/>
                <w:kern w:val="0"/>
                <w:szCs w:val="21"/>
              </w:rPr>
            </w:pPr>
            <w:r>
              <w:rPr>
                <w:b/>
                <w:bCs/>
                <w:color w:val="000000"/>
                <w:kern w:val="0"/>
                <w:szCs w:val="21"/>
              </w:rPr>
              <w:t>火车站乡：</w:t>
            </w:r>
            <w:r>
              <w:rPr>
                <w:color w:val="000000"/>
                <w:kern w:val="0"/>
                <w:szCs w:val="21"/>
              </w:rPr>
              <w:t>存在露天焚烧现象，还有部分生活污水未接入污水管网。</w:t>
            </w:r>
          </w:p>
          <w:p>
            <w:pPr>
              <w:widowControl/>
              <w:spacing w:line="360" w:lineRule="exact"/>
              <w:rPr>
                <w:color w:val="000000"/>
                <w:kern w:val="0"/>
                <w:szCs w:val="21"/>
              </w:rPr>
            </w:pPr>
            <w:r>
              <w:rPr>
                <w:b/>
                <w:bCs/>
                <w:color w:val="000000"/>
                <w:kern w:val="0"/>
                <w:szCs w:val="21"/>
              </w:rPr>
              <w:t>高崇山镇</w:t>
            </w:r>
            <w:r>
              <w:rPr>
                <w:color w:val="000000"/>
                <w:kern w:val="0"/>
                <w:szCs w:val="21"/>
              </w:rPr>
              <w:t>：镇区生活污水未接入污水管网，部分地块土壤污染。</w:t>
            </w:r>
          </w:p>
          <w:p>
            <w:pPr>
              <w:widowControl/>
              <w:spacing w:line="360" w:lineRule="exact"/>
              <w:rPr>
                <w:color w:val="000000"/>
                <w:kern w:val="0"/>
                <w:szCs w:val="21"/>
              </w:rPr>
            </w:pPr>
            <w:r>
              <w:rPr>
                <w:b/>
                <w:bCs/>
                <w:color w:val="000000"/>
                <w:kern w:val="0"/>
                <w:szCs w:val="21"/>
              </w:rPr>
              <w:t>龙须塘街道</w:t>
            </w:r>
            <w:r>
              <w:rPr>
                <w:color w:val="000000"/>
                <w:kern w:val="0"/>
                <w:szCs w:val="21"/>
              </w:rPr>
              <w:t>：砂石煤站扬尘问题、餐饮油烟污染问题、部分生活污水未接入城市污水管网。</w:t>
            </w:r>
          </w:p>
          <w:p>
            <w:pPr>
              <w:widowControl/>
              <w:spacing w:line="360" w:lineRule="exact"/>
              <w:rPr>
                <w:color w:val="000000"/>
                <w:kern w:val="0"/>
                <w:szCs w:val="21"/>
              </w:rPr>
            </w:pPr>
            <w:r>
              <w:rPr>
                <w:b/>
                <w:bCs/>
                <w:color w:val="000000"/>
                <w:kern w:val="0"/>
                <w:szCs w:val="21"/>
              </w:rPr>
              <w:t>石桥街道：</w:t>
            </w:r>
            <w:r>
              <w:rPr>
                <w:color w:val="000000"/>
                <w:kern w:val="0"/>
                <w:szCs w:val="21"/>
              </w:rPr>
              <w:t>砂石场集中，产生扬尘多，影响空气质量，油烟污染问题。</w:t>
            </w:r>
          </w:p>
          <w:p>
            <w:pPr>
              <w:widowControl/>
              <w:spacing w:line="360" w:lineRule="exact"/>
              <w:rPr>
                <w:color w:val="000000"/>
                <w:kern w:val="0"/>
                <w:szCs w:val="21"/>
              </w:rPr>
            </w:pPr>
            <w:r>
              <w:rPr>
                <w:b/>
                <w:bCs/>
                <w:color w:val="000000"/>
                <w:kern w:val="0"/>
                <w:szCs w:val="21"/>
              </w:rPr>
              <w:t>小江湖街道：</w:t>
            </w:r>
            <w:r>
              <w:rPr>
                <w:color w:val="000000"/>
                <w:kern w:val="0"/>
                <w:szCs w:val="21"/>
              </w:rPr>
              <w:t>餐饮油烟排放量大。</w:t>
            </w:r>
            <w:r>
              <w:rPr>
                <w:rFonts w:hint="eastAsia"/>
                <w:color w:val="000000"/>
                <w:kern w:val="0"/>
                <w:szCs w:val="21"/>
              </w:rPr>
              <w:t>生活污水</w:t>
            </w:r>
            <w:r>
              <w:rPr>
                <w:color w:val="000000"/>
                <w:kern w:val="0"/>
                <w:szCs w:val="21"/>
              </w:rPr>
              <w:t>排放管道较多且有直排及下雨外溢现象。</w:t>
            </w:r>
          </w:p>
          <w:p>
            <w:pPr>
              <w:widowControl/>
              <w:spacing w:line="360" w:lineRule="exact"/>
              <w:rPr>
                <w:color w:val="000000"/>
                <w:kern w:val="0"/>
                <w:szCs w:val="21"/>
              </w:rPr>
            </w:pPr>
            <w:r>
              <w:rPr>
                <w:b/>
                <w:bCs/>
                <w:color w:val="000000"/>
                <w:kern w:val="0"/>
                <w:szCs w:val="21"/>
              </w:rPr>
              <w:t>汽车站街道产业</w:t>
            </w:r>
            <w:r>
              <w:rPr>
                <w:color w:val="000000"/>
                <w:kern w:val="0"/>
                <w:szCs w:val="21"/>
              </w:rPr>
              <w:t>、</w:t>
            </w:r>
            <w:r>
              <w:rPr>
                <w:b/>
                <w:bCs/>
                <w:color w:val="000000"/>
                <w:kern w:val="0"/>
                <w:szCs w:val="21"/>
              </w:rPr>
              <w:t>兴隆街道</w:t>
            </w:r>
            <w:r>
              <w:rPr>
                <w:color w:val="000000"/>
                <w:kern w:val="0"/>
                <w:szCs w:val="21"/>
              </w:rPr>
              <w:t>、</w:t>
            </w:r>
            <w:r>
              <w:rPr>
                <w:b/>
                <w:bCs/>
                <w:color w:val="000000"/>
                <w:kern w:val="0"/>
                <w:szCs w:val="21"/>
              </w:rPr>
              <w:t>桥头街道：</w:t>
            </w:r>
            <w:r>
              <w:rPr>
                <w:color w:val="000000"/>
                <w:kern w:val="0"/>
                <w:szCs w:val="21"/>
              </w:rPr>
              <w:t>存在餐饮油烟污染。</w:t>
            </w:r>
          </w:p>
          <w:p>
            <w:pPr>
              <w:widowControl/>
              <w:spacing w:line="360" w:lineRule="exact"/>
              <w:rPr>
                <w:color w:val="000000"/>
                <w:kern w:val="0"/>
                <w:szCs w:val="21"/>
              </w:rPr>
            </w:pPr>
            <w:r>
              <w:rPr>
                <w:b/>
                <w:kern w:val="0"/>
                <w:szCs w:val="21"/>
              </w:rPr>
              <w:t>重要敏感目标：</w:t>
            </w:r>
            <w:r>
              <w:rPr>
                <w:bCs/>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widowControl/>
              <w:spacing w:line="400" w:lineRule="exact"/>
              <w:jc w:val="center"/>
              <w:rPr>
                <w:b/>
                <w:color w:val="000000"/>
                <w:kern w:val="0"/>
                <w:szCs w:val="21"/>
              </w:rPr>
            </w:pPr>
            <w:r>
              <w:rPr>
                <w:b/>
                <w:color w:val="000000"/>
                <w:kern w:val="0"/>
                <w:szCs w:val="21"/>
              </w:rPr>
              <w:t>主要属性</w:t>
            </w:r>
          </w:p>
        </w:tc>
        <w:tc>
          <w:tcPr>
            <w:tcW w:w="4412" w:type="pct"/>
            <w:gridSpan w:val="11"/>
            <w:vAlign w:val="center"/>
          </w:tcPr>
          <w:p>
            <w:pPr>
              <w:spacing w:line="400" w:lineRule="exact"/>
              <w:jc w:val="left"/>
              <w:rPr>
                <w:b/>
                <w:bCs/>
                <w:color w:val="000000"/>
                <w:kern w:val="0"/>
                <w:szCs w:val="21"/>
              </w:rPr>
            </w:pPr>
            <w:r>
              <w:rPr>
                <w:b/>
                <w:bCs/>
                <w:color w:val="000000"/>
                <w:kern w:val="0"/>
                <w:szCs w:val="21"/>
              </w:rPr>
              <w:t>爱莲街道：</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工业园重点管控区/水环境一般管控区;工业园区;邵阳经济开发区;大气环境高排放重点管控区/大气环境受体敏感重点管控区/大气环境布局敏感重点管控区;邵阳经济开发区/邵阳市经济开发区;农用地优先保护区/建设用地重点管控区/一般管控区;重点行业企业重点区域;邵阳经济开发区;城市化地区;高污染燃料禁燃区</w:t>
            </w:r>
          </w:p>
          <w:p>
            <w:pPr>
              <w:spacing w:line="400" w:lineRule="exact"/>
              <w:jc w:val="left"/>
              <w:rPr>
                <w:color w:val="000000"/>
                <w:kern w:val="0"/>
                <w:szCs w:val="21"/>
              </w:rPr>
            </w:pPr>
            <w:r>
              <w:rPr>
                <w:b/>
                <w:bCs/>
                <w:color w:val="000000"/>
                <w:kern w:val="0"/>
                <w:szCs w:val="21"/>
              </w:rPr>
              <w:t>滨江街道</w:t>
            </w:r>
            <w:r>
              <w:rPr>
                <w:color w:val="000000"/>
                <w:kern w:val="0"/>
                <w:szCs w:val="21"/>
              </w:rPr>
              <w:t>：</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城镇生活污染重点管控区;污水处理厂;邵阳市洋溪桥污水处理厂;大气环境受体敏感重点管控区/大气环境布局敏感重点管控区;建设用地重点管控区;中高风险企业用地/重点行业企业重点区域;城市化地区;高污染燃料禁燃区</w:t>
            </w:r>
          </w:p>
          <w:p>
            <w:pPr>
              <w:spacing w:line="400" w:lineRule="exact"/>
              <w:jc w:val="left"/>
              <w:rPr>
                <w:b/>
                <w:bCs/>
                <w:color w:val="000000"/>
                <w:kern w:val="0"/>
                <w:szCs w:val="21"/>
              </w:rPr>
            </w:pPr>
            <w:r>
              <w:rPr>
                <w:b/>
                <w:bCs/>
                <w:color w:val="000000"/>
                <w:kern w:val="0"/>
                <w:szCs w:val="21"/>
              </w:rPr>
              <w:t>东风路街道：</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优先保护区/水环境城镇生活污染重点管控区;水源地（县级及以上）/污水处理厂;邵阳市主城区资江工业街水厂饮用水水源保护区/邵阳市洋溪桥污水处理厂（汇水）;大气环境高排放重点管控区/大气环境受体敏感重点管控区;建设用地重点管控区;中高风险企业用地/重点行业企业重点区域;城市化地区;高污染燃料禁燃区</w:t>
            </w:r>
          </w:p>
          <w:p>
            <w:pPr>
              <w:spacing w:line="400" w:lineRule="exact"/>
              <w:jc w:val="left"/>
              <w:rPr>
                <w:b/>
                <w:bCs/>
                <w:color w:val="000000"/>
                <w:kern w:val="0"/>
                <w:szCs w:val="21"/>
              </w:rPr>
            </w:pPr>
            <w:r>
              <w:rPr>
                <w:b/>
                <w:bCs/>
                <w:color w:val="000000"/>
                <w:kern w:val="0"/>
                <w:szCs w:val="21"/>
              </w:rPr>
              <w:t>渡头桥镇：</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工业园重点管控区/水环境一般管控区;工业园区;邵阳经济开发区;大气环境高排放重点管控区/大气环境受体敏感重点管控区/大气环境布局敏感重点管控区;邵阳经济开发区/邵阳市经济开发区;农用地优先保护区/农用地重点管控区/建设用地重点管控区/一般管控区;重点行业企业重点区域;邵阳经济开发区;城市化地区</w:t>
            </w:r>
          </w:p>
          <w:p>
            <w:pPr>
              <w:spacing w:line="400" w:lineRule="exact"/>
              <w:jc w:val="left"/>
              <w:rPr>
                <w:b/>
                <w:bCs/>
                <w:color w:val="000000"/>
                <w:kern w:val="0"/>
                <w:szCs w:val="21"/>
              </w:rPr>
            </w:pPr>
            <w:r>
              <w:rPr>
                <w:b/>
                <w:bCs/>
                <w:color w:val="000000"/>
                <w:kern w:val="0"/>
                <w:szCs w:val="21"/>
              </w:rPr>
              <w:t>高崇山镇：</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工业园重点管控区;工业园区;邵阳经济开发区;大气环境高排放重点管控区/大气环境受体敏感重点管控区/大气环境布局敏感重点管控区;邵阳经济开发区/邵阳市经济开发区;农用地优先保护区/建设用地重点管控区/其他重点管控区/一般管控区;矿区/重点行业企业重点区域;邵阳经济开发区;城市化地区;高污染燃料禁燃区</w:t>
            </w:r>
          </w:p>
          <w:p>
            <w:pPr>
              <w:spacing w:line="400" w:lineRule="exact"/>
              <w:jc w:val="left"/>
              <w:rPr>
                <w:b/>
                <w:bCs/>
                <w:color w:val="000000"/>
                <w:kern w:val="0"/>
                <w:szCs w:val="21"/>
              </w:rPr>
            </w:pPr>
            <w:r>
              <w:rPr>
                <w:b/>
                <w:bCs/>
                <w:color w:val="000000"/>
                <w:kern w:val="0"/>
                <w:szCs w:val="21"/>
              </w:rPr>
              <w:t>火车站乡：</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工业园重点管控区/水环境城镇生活污染重点管控区;工业园区/污水处理厂;邵阳经济开发区/邵阳市洋溪桥污水处理厂（汇水）;大气环境高排放重点管控区/大气环境受体敏感重点管控区/大气环境布局敏感重点管控区;邵阳经济开发区/邵阳市经济开发区/邵阳雀塘再生资源工业园;农用地优先保护区/建设用地重点管控区/其他重点管控区/一般管控区;矿区/中高风险企业用地/重点行业企业重点区域;邵阳经济开发区;城市化地区;高污染燃料禁燃区</w:t>
            </w:r>
          </w:p>
          <w:p>
            <w:pPr>
              <w:spacing w:line="400" w:lineRule="exact"/>
              <w:jc w:val="left"/>
              <w:rPr>
                <w:b/>
                <w:bCs/>
                <w:color w:val="000000"/>
                <w:kern w:val="0"/>
                <w:szCs w:val="21"/>
              </w:rPr>
            </w:pPr>
            <w:r>
              <w:rPr>
                <w:b/>
                <w:bCs/>
                <w:color w:val="000000"/>
                <w:kern w:val="0"/>
                <w:szCs w:val="21"/>
              </w:rPr>
              <w:t>龙须塘街道：</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：水环境城镇生活污染重点管控区;污水处理厂;邵阳市洋溪桥污水处理厂（汇水）;大气环境受体敏感重点管控区;建设用地重点管控区;中高风险企业用地/重点行业企业重点区域;城市化地区;高污染燃料禁燃区</w:t>
            </w:r>
          </w:p>
          <w:p>
            <w:pPr>
              <w:spacing w:line="400" w:lineRule="exact"/>
              <w:jc w:val="left"/>
              <w:rPr>
                <w:b/>
                <w:bCs/>
                <w:color w:val="000000"/>
                <w:kern w:val="0"/>
                <w:szCs w:val="21"/>
              </w:rPr>
            </w:pPr>
            <w:r>
              <w:rPr>
                <w:b/>
                <w:bCs/>
                <w:color w:val="000000"/>
                <w:kern w:val="0"/>
                <w:szCs w:val="21"/>
              </w:rPr>
              <w:t>汽车站街道：</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：水环境城镇生活污染重点管控区;污水处理厂;邵阳市洋溪桥污水处理厂（汇水）;大气环境受体敏感重点管控区;建设用地重点管控区;重点行业企业重点区域;城市化地区/历史文化资源富集区;高污染燃料禁燃区</w:t>
            </w:r>
          </w:p>
          <w:p>
            <w:pPr>
              <w:spacing w:line="400" w:lineRule="exact"/>
              <w:jc w:val="left"/>
              <w:rPr>
                <w:b/>
                <w:bCs/>
                <w:color w:val="000000"/>
                <w:kern w:val="0"/>
                <w:szCs w:val="21"/>
              </w:rPr>
            </w:pPr>
            <w:r>
              <w:rPr>
                <w:b/>
                <w:bCs/>
                <w:color w:val="000000"/>
                <w:kern w:val="0"/>
                <w:szCs w:val="21"/>
              </w:rPr>
              <w:t>桥头街道：</w:t>
            </w:r>
          </w:p>
          <w:p>
            <w:pPr>
              <w:spacing w:line="400" w:lineRule="exact"/>
              <w:jc w:val="left"/>
            </w:pPr>
            <w:r>
              <w:rPr>
                <w:b/>
                <w:bCs/>
              </w:rPr>
              <w:t>生态红线</w:t>
            </w:r>
            <w:r>
              <w:t>:红线;三区三线生态红线</w:t>
            </w:r>
          </w:p>
          <w:p>
            <w:pPr>
              <w:spacing w:line="400" w:lineRule="exact"/>
              <w:rPr>
                <w:color w:val="000000"/>
                <w:kern w:val="0"/>
                <w:szCs w:val="21"/>
              </w:rPr>
            </w:pPr>
            <w:r>
              <w:rPr>
                <w:b/>
                <w:bCs/>
              </w:rPr>
              <w:t>环境质量底线</w:t>
            </w:r>
            <w:r>
              <w:t>：水环境优先保护区/水环境城镇生活污染重点管控区;水源地（县级及以上）/污水处理厂;邵阳市主城区资江工业街水厂饮用水水源保护区/邵阳市洋溪桥污水处理厂（汇水）;大气环境受体敏感重点管控区;建设用地重点管控区;重点行业企业重点区域;城市化地区/历史文化资源富集区;高污染燃料禁燃区</w:t>
            </w:r>
          </w:p>
          <w:p>
            <w:pPr>
              <w:spacing w:line="400" w:lineRule="exact"/>
              <w:jc w:val="left"/>
              <w:rPr>
                <w:b/>
                <w:bCs/>
                <w:color w:val="000000"/>
                <w:kern w:val="0"/>
                <w:szCs w:val="21"/>
              </w:rPr>
            </w:pPr>
            <w:r>
              <w:rPr>
                <w:b/>
                <w:bCs/>
                <w:color w:val="000000"/>
                <w:kern w:val="0"/>
                <w:szCs w:val="21"/>
              </w:rPr>
              <w:t>石桥街道：</w:t>
            </w:r>
          </w:p>
          <w:p>
            <w:pPr>
              <w:spacing w:line="400" w:lineRule="exact"/>
              <w:jc w:val="left"/>
            </w:pPr>
            <w:r>
              <w:rPr>
                <w:b/>
                <w:bCs/>
              </w:rPr>
              <w:t>生态红线</w:t>
            </w:r>
            <w:r>
              <w:t>:</w:t>
            </w:r>
          </w:p>
          <w:p>
            <w:pPr>
              <w:spacing w:line="400" w:lineRule="exact"/>
              <w:rPr>
                <w:color w:val="000000"/>
                <w:kern w:val="0"/>
                <w:szCs w:val="21"/>
              </w:rPr>
            </w:pPr>
            <w:r>
              <w:rPr>
                <w:b/>
                <w:bCs/>
              </w:rPr>
              <w:t>环境质量底线</w:t>
            </w:r>
            <w:r>
              <w:t>：水环境优先保护区/水环境城镇生活污染重点管控区/水环境一般管控区;水源地（县级及以上）/污水处理厂;邵阳市主城区资江工业街水厂饮用水水源保护区/邵阳市洋溪桥污水处理厂（汇水）;大气环境受体敏感重点管控区;农用地优先保护区/建设用地重点管控区/一般管控区;中高风险企业用地/重点行业企业重点区域;城市化地区;高污染燃料禁燃区</w:t>
            </w:r>
          </w:p>
          <w:p>
            <w:pPr>
              <w:spacing w:line="400" w:lineRule="exact"/>
              <w:jc w:val="left"/>
              <w:rPr>
                <w:b/>
                <w:bCs/>
                <w:color w:val="000000"/>
                <w:kern w:val="0"/>
                <w:szCs w:val="21"/>
              </w:rPr>
            </w:pPr>
            <w:r>
              <w:rPr>
                <w:b/>
                <w:bCs/>
                <w:color w:val="000000"/>
                <w:kern w:val="0"/>
                <w:szCs w:val="21"/>
              </w:rPr>
              <w:t>小江湖街道：</w:t>
            </w:r>
          </w:p>
          <w:p>
            <w:pPr>
              <w:spacing w:line="400" w:lineRule="exact"/>
              <w:jc w:val="left"/>
            </w:pPr>
            <w:r>
              <w:rPr>
                <w:b/>
                <w:bCs/>
              </w:rPr>
              <w:t>生态红线</w:t>
            </w:r>
            <w:r>
              <w:t>:红线/一般生态空间;生物多样性保护功能重要区\三区三线生态红线\水源涵养重要区</w:t>
            </w:r>
          </w:p>
          <w:p>
            <w:pPr>
              <w:spacing w:line="400" w:lineRule="exact"/>
              <w:rPr>
                <w:color w:val="000000"/>
                <w:kern w:val="0"/>
                <w:szCs w:val="21"/>
              </w:rPr>
            </w:pPr>
            <w:r>
              <w:rPr>
                <w:b/>
                <w:bCs/>
              </w:rPr>
              <w:t>环境质量底线</w:t>
            </w:r>
            <w:r>
              <w:t>：水环境优先保护区/水环境城镇生活污染重点管控区;水源地（县级及以上）/污水处理厂;邵阳市主城区资江工业街水厂饮用水水源保护区/邵阳市洋溪桥污水处理厂（汇水）;大气环境受体敏感重点管控区;建设用地重点管控区;中高风险企业用地/重点行业企业重点区域;城市化地区;高污染燃料禁燃区</w:t>
            </w:r>
          </w:p>
          <w:p>
            <w:pPr>
              <w:spacing w:line="400" w:lineRule="exact"/>
              <w:jc w:val="left"/>
              <w:rPr>
                <w:b/>
                <w:bCs/>
                <w:color w:val="000000"/>
                <w:kern w:val="0"/>
                <w:szCs w:val="21"/>
              </w:rPr>
            </w:pPr>
            <w:r>
              <w:rPr>
                <w:b/>
                <w:bCs/>
                <w:color w:val="000000"/>
                <w:kern w:val="0"/>
                <w:szCs w:val="21"/>
              </w:rPr>
              <w:t>兴隆街道：</w:t>
            </w:r>
          </w:p>
          <w:p>
            <w:pPr>
              <w:spacing w:line="400" w:lineRule="exact"/>
              <w:jc w:val="left"/>
            </w:pPr>
            <w:r>
              <w:rPr>
                <w:b/>
                <w:bCs/>
              </w:rPr>
              <w:t>生态红线</w:t>
            </w:r>
            <w:r>
              <w:t>:</w:t>
            </w:r>
          </w:p>
          <w:p>
            <w:pPr>
              <w:spacing w:line="400" w:lineRule="exact"/>
              <w:rPr>
                <w:color w:val="000000"/>
                <w:szCs w:val="21"/>
              </w:rPr>
            </w:pPr>
            <w:r>
              <w:rPr>
                <w:b/>
                <w:bCs/>
              </w:rPr>
              <w:t>环境质量底线</w:t>
            </w:r>
            <w:r>
              <w:t>：水环境工业园重点管控区/水环境城镇生活污染重点管控区;工业园区/污水处理厂;邵阳经济开发区（汇水）/邵阳市洋溪桥污水处理厂（汇水）;大气环境优先保护区/大气环境高排放重点管控区/大气环境受体敏感重点管控区;邵阳经济开发区/邵阳市经济开发区;建设用地重点管控区;中高风险企业用地/重点行业企业重点区域;邵阳经济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widowControl/>
              <w:spacing w:line="400" w:lineRule="exact"/>
              <w:jc w:val="center"/>
              <w:rPr>
                <w:b/>
                <w:color w:val="000000"/>
                <w:szCs w:val="21"/>
              </w:rPr>
            </w:pPr>
            <w:r>
              <w:rPr>
                <w:b/>
                <w:color w:val="000000"/>
                <w:szCs w:val="21"/>
              </w:rPr>
              <w:t>管控维度</w:t>
            </w:r>
          </w:p>
        </w:tc>
        <w:tc>
          <w:tcPr>
            <w:tcW w:w="3192" w:type="pct"/>
            <w:gridSpan w:val="9"/>
            <w:vAlign w:val="center"/>
          </w:tcPr>
          <w:p>
            <w:pPr>
              <w:spacing w:line="400" w:lineRule="exact"/>
              <w:jc w:val="center"/>
              <w:rPr>
                <w:b/>
                <w:color w:val="000000"/>
                <w:szCs w:val="21"/>
              </w:rPr>
            </w:pPr>
            <w:r>
              <w:rPr>
                <w:b/>
                <w:color w:val="000000"/>
                <w:kern w:val="0"/>
                <w:szCs w:val="21"/>
              </w:rPr>
              <w:t>管控要求</w:t>
            </w:r>
          </w:p>
        </w:tc>
        <w:tc>
          <w:tcPr>
            <w:tcW w:w="1220"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widowControl/>
              <w:spacing w:line="400" w:lineRule="exact"/>
              <w:jc w:val="center"/>
              <w:rPr>
                <w:color w:val="000000"/>
                <w:szCs w:val="21"/>
              </w:rPr>
            </w:pPr>
            <w:r>
              <w:rPr>
                <w:color w:val="000000"/>
                <w:szCs w:val="21"/>
              </w:rPr>
              <w:t>空间布局约束</w:t>
            </w:r>
          </w:p>
        </w:tc>
        <w:tc>
          <w:tcPr>
            <w:tcW w:w="3192" w:type="pct"/>
            <w:gridSpan w:val="9"/>
            <w:vAlign w:val="center"/>
          </w:tcPr>
          <w:p>
            <w:pPr>
              <w:shd w:val="clear" w:color="auto" w:fill="FFFFFF"/>
              <w:spacing w:line="400" w:lineRule="exact"/>
              <w:rPr>
                <w:color w:val="000000"/>
                <w:szCs w:val="21"/>
              </w:rPr>
            </w:pPr>
            <w:r>
              <w:rPr>
                <w:color w:val="000000"/>
                <w:szCs w:val="21"/>
              </w:rPr>
              <w:t>（1.1）原则上不再新建、扩建各类畜禽养殖场，年存栏牲畜100头、禽类1000只以下的小型养殖场，每平方公里不得超过5个，鼓励现有的畜禽养殖场关停、转型或搬迁。严禁新建、扩建、改建各类畜禽养殖场，禁养区内现有的畜禽养殖场建设手续不全的，不再补办手续，由乡镇、街道牵头组织相关职能部门依法拆除。建设手续齐全的，其污染物的排放必须符合《畜禽养殖业污染物排放标准》的要求，并督促其限期实施关停、转型或搬迁。逾期不搬迁或拆除的，按有关法律法规进行处罚，直至追究刑事责任。</w:t>
            </w:r>
          </w:p>
          <w:p>
            <w:pPr>
              <w:shd w:val="clear" w:color="auto" w:fill="FFFFFF"/>
              <w:spacing w:line="400" w:lineRule="exact"/>
              <w:rPr>
                <w:color w:val="000000"/>
                <w:szCs w:val="21"/>
              </w:rPr>
            </w:pPr>
            <w:r>
              <w:rPr>
                <w:color w:val="000000"/>
                <w:szCs w:val="21"/>
              </w:rPr>
              <w:t>（1.2）禁止侵占自然湿地等水源涵养空间，已侵占的限期予以恢复；强化水源涵养林建设与保护，积极推进退耕还林还草还湿、天然林资源保护、河湖与湿地保护恢复、长江防护林、生态廊道、矿山生态修复、水土流失和石漠化综合治理等生态保护修复工程；因地制宜实施排污口下游、主要入河（库）口等区域人工湿地水质净化工程，加强滨河（库）带生态建设，在河道两侧建设植被缓冲带和隔离带。</w:t>
            </w:r>
          </w:p>
          <w:p>
            <w:pPr>
              <w:shd w:val="clear" w:color="auto" w:fill="FFFFFF"/>
              <w:spacing w:line="400" w:lineRule="exact"/>
              <w:rPr>
                <w:color w:val="000000"/>
                <w:szCs w:val="21"/>
              </w:rPr>
            </w:pPr>
            <w:r>
              <w:rPr>
                <w:color w:val="000000"/>
                <w:szCs w:val="21"/>
              </w:rPr>
              <w:t>（1.3）要严格限制工业涂装、包装印刷、家具制造、制药等高VOCs排放建设项目，新建涉VOCs排放的企业尽量入园区。</w:t>
            </w:r>
          </w:p>
        </w:tc>
        <w:tc>
          <w:tcPr>
            <w:tcW w:w="1220" w:type="pct"/>
            <w:gridSpan w:val="2"/>
            <w:vMerge w:val="restart"/>
          </w:tcPr>
          <w:p>
            <w:pPr>
              <w:shd w:val="clear" w:color="auto" w:fill="FFFFFF"/>
              <w:spacing w:line="400" w:lineRule="exact"/>
              <w:rPr>
                <w:color w:val="000000"/>
                <w:szCs w:val="21"/>
              </w:rPr>
            </w:pPr>
            <w:r>
              <w:rPr>
                <w:color w:val="000000"/>
                <w:szCs w:val="21"/>
              </w:rPr>
              <w:t>（1.1）《双清区畜禽规模养殖禁养区、限养区和适养区划定方案》</w:t>
            </w:r>
          </w:p>
          <w:p>
            <w:pPr>
              <w:spacing w:line="400" w:lineRule="exact"/>
              <w:rPr>
                <w:color w:val="000000"/>
                <w:szCs w:val="21"/>
              </w:rPr>
            </w:pPr>
            <w:r>
              <w:rPr>
                <w:color w:val="000000"/>
                <w:szCs w:val="21"/>
              </w:rPr>
              <w:t>（1.2）（1.3）（2.1.3）（2.3.1）（2.3.2）（3.1）（3.2）（3.3）（3.4）（3.5）《双清区“十四五”生态环境保护规划》</w:t>
            </w:r>
          </w:p>
          <w:p>
            <w:pPr>
              <w:spacing w:line="400" w:lineRule="exact"/>
              <w:rPr>
                <w:color w:val="000000"/>
                <w:szCs w:val="21"/>
              </w:rPr>
            </w:pPr>
            <w:r>
              <w:rPr>
                <w:color w:val="000000"/>
                <w:szCs w:val="21"/>
              </w:rPr>
              <w:t>（2.1.1）</w:t>
            </w:r>
            <w:r>
              <w:rPr>
                <w:szCs w:val="21"/>
              </w:rPr>
              <w:t>（2.2）</w:t>
            </w:r>
            <w:r>
              <w:rPr>
                <w:color w:val="000000"/>
                <w:szCs w:val="21"/>
              </w:rPr>
              <w:t>（4.1.1）（4.1.2）《邵阳市双清区国民经济和社会发展第十四个五年规划和二○三五年远景目标纲要》</w:t>
            </w:r>
          </w:p>
          <w:p>
            <w:pPr>
              <w:spacing w:line="400" w:lineRule="exact"/>
              <w:rPr>
                <w:szCs w:val="21"/>
              </w:rPr>
            </w:pPr>
            <w:r>
              <w:rPr>
                <w:szCs w:val="21"/>
              </w:rPr>
              <w:t>（2.1.2）（4.2.1）《双清区“十四五”水安全保障规划》</w:t>
            </w:r>
          </w:p>
          <w:p>
            <w:pPr>
              <w:spacing w:line="400" w:lineRule="exact"/>
              <w:rPr>
                <w:color w:val="000000"/>
                <w:szCs w:val="21"/>
              </w:rPr>
            </w:pPr>
            <w:r>
              <w:rPr>
                <w:color w:val="000000"/>
                <w:szCs w:val="21"/>
              </w:rPr>
              <w:t>（4.2.2）</w:t>
            </w:r>
            <w:r>
              <w:t>《邵阳市水利局邵阳市发展和改革委员会关于印发“十四五”用水量和强度双控目标的通知》</w:t>
            </w:r>
          </w:p>
          <w:p>
            <w:pPr>
              <w:tabs>
                <w:tab w:val="left" w:pos="1021"/>
              </w:tabs>
              <w:spacing w:line="400" w:lineRule="exact"/>
              <w:rPr>
                <w:color w:val="000000"/>
                <w:szCs w:val="21"/>
              </w:rPr>
            </w:pPr>
            <w:r>
              <w:rPr>
                <w:color w:val="000000"/>
                <w:szCs w:val="21"/>
              </w:rPr>
              <w:t>（4.3）《邵阳市国民经济和社会发展第十四个五年规划和二〇三五年远景目标纲要》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pct"/>
            <w:vAlign w:val="center"/>
          </w:tcPr>
          <w:p>
            <w:pPr>
              <w:widowControl/>
              <w:spacing w:line="400" w:lineRule="exact"/>
              <w:jc w:val="center"/>
              <w:rPr>
                <w:color w:val="000000"/>
                <w:szCs w:val="21"/>
              </w:rPr>
            </w:pPr>
            <w:r>
              <w:rPr>
                <w:color w:val="000000"/>
                <w:szCs w:val="21"/>
              </w:rPr>
              <w:t>污染物排放管控</w:t>
            </w:r>
          </w:p>
        </w:tc>
        <w:tc>
          <w:tcPr>
            <w:tcW w:w="3192" w:type="pct"/>
            <w:gridSpan w:val="9"/>
            <w:vAlign w:val="center"/>
          </w:tcPr>
          <w:p>
            <w:pPr>
              <w:tabs>
                <w:tab w:val="left" w:pos="1021"/>
              </w:tabs>
              <w:spacing w:line="400" w:lineRule="exact"/>
              <w:rPr>
                <w:szCs w:val="21"/>
              </w:rPr>
            </w:pPr>
            <w:r>
              <w:rPr>
                <w:szCs w:val="21"/>
              </w:rPr>
              <w:t>（2.1）废水</w:t>
            </w:r>
          </w:p>
          <w:p>
            <w:pPr>
              <w:spacing w:line="400" w:lineRule="exact"/>
              <w:ind w:firstLine="420" w:firstLineChars="200"/>
              <w:rPr>
                <w:color w:val="000000"/>
                <w:szCs w:val="21"/>
              </w:rPr>
            </w:pPr>
            <w:r>
              <w:rPr>
                <w:color w:val="000000"/>
                <w:szCs w:val="21"/>
              </w:rPr>
              <w:t>（2.1.1）加强城乡生活污水和黑臭水体治理，完成渡头桥镇污水处理厂建设工程，加快补齐城区污水收集和处理设施短板，积极推进雨污分流、老旧污水管网改造，在行政村建设小型生活污水处理工程。</w:t>
            </w:r>
          </w:p>
          <w:p>
            <w:pPr>
              <w:tabs>
                <w:tab w:val="left" w:pos="1021"/>
              </w:tabs>
              <w:spacing w:line="400" w:lineRule="exact"/>
              <w:ind w:firstLine="420" w:firstLineChars="200"/>
              <w:rPr>
                <w:color w:val="000000"/>
                <w:szCs w:val="21"/>
              </w:rPr>
            </w:pPr>
            <w:r>
              <w:rPr>
                <w:color w:val="000000"/>
                <w:szCs w:val="21"/>
              </w:rPr>
              <w:t>（2.1.2）</w:t>
            </w:r>
            <w:r>
              <w:rPr>
                <w:szCs w:val="21"/>
              </w:rPr>
              <w:t>饮水安全立足“供好水、缩差距”，水源地保护力度进一步加大，城乡供水一体化覆盖率显著提升。到2025年，农村自来水普及率达到98%。</w:t>
            </w:r>
          </w:p>
          <w:p>
            <w:pPr>
              <w:tabs>
                <w:tab w:val="left" w:pos="1021"/>
              </w:tabs>
              <w:spacing w:line="400" w:lineRule="exact"/>
              <w:ind w:firstLine="420" w:firstLineChars="200"/>
              <w:rPr>
                <w:color w:val="000000"/>
                <w:szCs w:val="21"/>
              </w:rPr>
            </w:pPr>
            <w:r>
              <w:rPr>
                <w:color w:val="000000"/>
                <w:szCs w:val="21"/>
              </w:rPr>
              <w:t>（2.1.3）加快补齐县级污水收集和处理设施短板，积极推进雨污分流、老旧污水管网改造和破损修复等，加快消除城中村、老旧城区和城乡结合部生活污水收集处理设施空白区，显著提升城镇生活污水集中收集效能，县级污水处理率分别达到85%，重点镇实现污水处理设施全覆盖。</w:t>
            </w:r>
          </w:p>
          <w:p>
            <w:pPr>
              <w:tabs>
                <w:tab w:val="left" w:pos="1021"/>
              </w:tabs>
              <w:spacing w:line="400" w:lineRule="exact"/>
              <w:rPr>
                <w:color w:val="000000"/>
                <w:szCs w:val="21"/>
              </w:rPr>
            </w:pPr>
            <w:r>
              <w:rPr>
                <w:szCs w:val="21"/>
              </w:rPr>
              <w:t>（2.2）废气：</w:t>
            </w:r>
            <w:r>
              <w:rPr>
                <w:color w:val="000000"/>
                <w:szCs w:val="21"/>
              </w:rPr>
              <w:t>加强道路扬尘、工地扬尘管理，严格落实建筑工地“七个100%”，严禁露天焚烧垃圾、秸秆等行为，到2025年，城区空气质量优良天数比例保持在90%以上。</w:t>
            </w:r>
          </w:p>
          <w:p>
            <w:pPr>
              <w:spacing w:line="400" w:lineRule="exact"/>
              <w:rPr>
                <w:color w:val="000000"/>
                <w:szCs w:val="21"/>
              </w:rPr>
            </w:pPr>
            <w:r>
              <w:rPr>
                <w:szCs w:val="21"/>
              </w:rPr>
              <w:t>（2.3</w:t>
            </w:r>
            <w:r>
              <w:rPr>
                <w:color w:val="000000"/>
                <w:szCs w:val="21"/>
              </w:rPr>
              <w:t>）固体废物：</w:t>
            </w:r>
          </w:p>
          <w:p>
            <w:pPr>
              <w:spacing w:line="400" w:lineRule="exact"/>
              <w:ind w:firstLine="420" w:firstLineChars="200"/>
              <w:rPr>
                <w:color w:val="000000"/>
                <w:szCs w:val="21"/>
              </w:rPr>
            </w:pPr>
            <w:r>
              <w:rPr>
                <w:color w:val="000000"/>
                <w:szCs w:val="21"/>
              </w:rPr>
              <w:t>（2.3.1）建立农村清洁工程制度，推进农村生活垃圾治理工程；整治非正规垃圾填埋场，全面开展农村清洁工程，努力实现生活垃圾的减量化、资源化。</w:t>
            </w:r>
          </w:p>
          <w:p>
            <w:pPr>
              <w:spacing w:line="400" w:lineRule="exact"/>
              <w:ind w:firstLine="420" w:firstLineChars="200"/>
              <w:rPr>
                <w:szCs w:val="21"/>
              </w:rPr>
            </w:pPr>
            <w:r>
              <w:rPr>
                <w:color w:val="000000"/>
                <w:szCs w:val="21"/>
              </w:rPr>
              <w:t>（2.3.2）加快污泥处理处置设施建设，污水处理设施产生的污泥应进行稳定化、资源化和无害化处置。</w:t>
            </w:r>
          </w:p>
        </w:tc>
        <w:tc>
          <w:tcPr>
            <w:tcW w:w="1220"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587" w:type="pct"/>
            <w:vAlign w:val="center"/>
          </w:tcPr>
          <w:p>
            <w:pPr>
              <w:widowControl/>
              <w:spacing w:line="400" w:lineRule="exact"/>
              <w:jc w:val="center"/>
              <w:rPr>
                <w:color w:val="000000"/>
                <w:szCs w:val="21"/>
              </w:rPr>
            </w:pPr>
            <w:r>
              <w:rPr>
                <w:color w:val="000000"/>
                <w:szCs w:val="21"/>
              </w:rPr>
              <w:t>环境风险防控</w:t>
            </w:r>
          </w:p>
        </w:tc>
        <w:tc>
          <w:tcPr>
            <w:tcW w:w="3192" w:type="pct"/>
            <w:gridSpan w:val="9"/>
            <w:vAlign w:val="center"/>
          </w:tcPr>
          <w:p>
            <w:pPr>
              <w:spacing w:line="400" w:lineRule="exact"/>
              <w:rPr>
                <w:color w:val="000000"/>
                <w:szCs w:val="21"/>
              </w:rPr>
            </w:pPr>
            <w:r>
              <w:rPr>
                <w:color w:val="000000"/>
                <w:szCs w:val="21"/>
              </w:rPr>
              <w:t>（3.1）开展化学品生产、使用情况的调查，掌握化学品生产、使用和存储的种类、数量、行业、分布等信息。</w:t>
            </w:r>
          </w:p>
          <w:p>
            <w:pPr>
              <w:spacing w:line="400" w:lineRule="exact"/>
              <w:rPr>
                <w:color w:val="000000"/>
                <w:szCs w:val="21"/>
              </w:rPr>
            </w:pPr>
            <w:r>
              <w:rPr>
                <w:color w:val="000000"/>
                <w:szCs w:val="21"/>
              </w:rPr>
              <w:t>（3.2）严格控制涉及高污染、高风险化学品企业的生产规模，定期开展化学品生产、储存、使用、经营、运输和废弃物处理处置领域的风险防控执法检查。</w:t>
            </w:r>
          </w:p>
          <w:p>
            <w:pPr>
              <w:spacing w:line="400" w:lineRule="exact"/>
              <w:rPr>
                <w:color w:val="000000"/>
                <w:szCs w:val="21"/>
              </w:rPr>
            </w:pPr>
            <w:r>
              <w:rPr>
                <w:color w:val="000000"/>
                <w:szCs w:val="21"/>
              </w:rPr>
              <w:t>（3.3）加强化学品生产、储运过程的风险监管，减少消费和使用过程中的化学品环境风险。</w:t>
            </w:r>
          </w:p>
          <w:p>
            <w:pPr>
              <w:spacing w:line="400" w:lineRule="exact"/>
              <w:rPr>
                <w:color w:val="000000"/>
                <w:szCs w:val="21"/>
              </w:rPr>
            </w:pPr>
            <w:r>
              <w:rPr>
                <w:color w:val="000000"/>
                <w:szCs w:val="21"/>
              </w:rPr>
              <w:t>（3.4）完善危险化学品储存和运输过程中的环境安全管理制度，推行重点环境管理类化工有毒污染物排放、转移登记(PRTR)制度，降低危险化学品运输过程环境风险。</w:t>
            </w:r>
          </w:p>
          <w:p>
            <w:pPr>
              <w:spacing w:line="400" w:lineRule="exact"/>
              <w:rPr>
                <w:color w:val="000000"/>
                <w:szCs w:val="21"/>
              </w:rPr>
            </w:pPr>
            <w:r>
              <w:rPr>
                <w:color w:val="000000"/>
                <w:szCs w:val="21"/>
              </w:rPr>
              <w:t>（3.5）严格控制化工有毒污染物排放，强化重点环境管理类化学品废弃物和污染场地的管理与处置。</w:t>
            </w:r>
          </w:p>
        </w:tc>
        <w:tc>
          <w:tcPr>
            <w:tcW w:w="1220" w:type="pct"/>
            <w:gridSpan w:val="2"/>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widowControl/>
              <w:spacing w:line="400" w:lineRule="exact"/>
              <w:jc w:val="center"/>
              <w:rPr>
                <w:color w:val="000000"/>
                <w:szCs w:val="21"/>
              </w:rPr>
            </w:pPr>
            <w:r>
              <w:rPr>
                <w:color w:val="000000"/>
                <w:szCs w:val="21"/>
              </w:rPr>
              <w:t>资源开发效率要求</w:t>
            </w:r>
          </w:p>
        </w:tc>
        <w:tc>
          <w:tcPr>
            <w:tcW w:w="3192" w:type="pct"/>
            <w:gridSpan w:val="9"/>
            <w:vAlign w:val="center"/>
          </w:tcPr>
          <w:p>
            <w:pPr>
              <w:tabs>
                <w:tab w:val="left" w:pos="1021"/>
              </w:tabs>
              <w:spacing w:line="400" w:lineRule="exact"/>
              <w:rPr>
                <w:color w:val="000000"/>
                <w:szCs w:val="21"/>
              </w:rPr>
            </w:pPr>
            <w:r>
              <w:rPr>
                <w:color w:val="000000"/>
                <w:szCs w:val="21"/>
              </w:rPr>
              <w:t>（4.1）能源：</w:t>
            </w:r>
          </w:p>
          <w:p>
            <w:pPr>
              <w:spacing w:line="400" w:lineRule="exact"/>
              <w:ind w:firstLine="420" w:firstLineChars="200"/>
              <w:rPr>
                <w:color w:val="000000"/>
                <w:szCs w:val="21"/>
              </w:rPr>
            </w:pPr>
            <w:r>
              <w:rPr>
                <w:color w:val="000000"/>
                <w:szCs w:val="21"/>
              </w:rPr>
              <w:t>（4.1.1）在农村大力发展太阳能，建设分布式清洁能源网络，推进农村道路“亮化工程”。推动有条件的农村实现管道天然气入户。</w:t>
            </w:r>
          </w:p>
          <w:p>
            <w:pPr>
              <w:tabs>
                <w:tab w:val="left" w:pos="1021"/>
              </w:tabs>
              <w:spacing w:line="400" w:lineRule="exact"/>
              <w:ind w:firstLine="420" w:firstLineChars="200"/>
              <w:rPr>
                <w:color w:val="000000"/>
                <w:szCs w:val="21"/>
              </w:rPr>
            </w:pPr>
            <w:r>
              <w:rPr>
                <w:color w:val="000000"/>
                <w:szCs w:val="21"/>
              </w:rPr>
              <w:t>（4.1.2）启动新一轮电网建设三年行动计划，新建邵石110KV变电站工程，积极推进智能电网建设。加快充电站、充电桩配套建设，力争在公共机构、公共场所和公共停车场实现较高比例的充电桩配置。鼓励使用太阳能</w:t>
            </w:r>
            <w:r>
              <w:rPr>
                <w:rFonts w:hint="eastAsia"/>
                <w:color w:val="000000"/>
                <w:szCs w:val="21"/>
              </w:rPr>
              <w:t>。</w:t>
            </w:r>
          </w:p>
          <w:p>
            <w:pPr>
              <w:spacing w:line="400" w:lineRule="exact"/>
              <w:rPr>
                <w:color w:val="000000"/>
                <w:szCs w:val="21"/>
              </w:rPr>
            </w:pPr>
            <w:r>
              <w:rPr>
                <w:color w:val="000000"/>
                <w:szCs w:val="21"/>
              </w:rPr>
              <w:t>（4.2）水资源：</w:t>
            </w:r>
          </w:p>
          <w:p>
            <w:pPr>
              <w:spacing w:line="400" w:lineRule="exact"/>
              <w:ind w:firstLine="420" w:firstLineChars="200"/>
              <w:rPr>
                <w:color w:val="000000"/>
                <w:szCs w:val="21"/>
              </w:rPr>
            </w:pPr>
            <w:r>
              <w:rPr>
                <w:color w:val="000000"/>
                <w:szCs w:val="21"/>
              </w:rPr>
              <w:t>（4.2.1）用水安全立足“推节水、构骨干”，节水型社会建设加快推进，供水保障能力和水资源调济互补能力逐步提升，灌区现代化水平显著提高，双清区农业用水总量控制在0.20亿立方米以内，万元GDP用水量下降15%，万元工业增加值用水量降低至36m</w:t>
            </w:r>
            <w:r>
              <w:rPr>
                <w:color w:val="000000"/>
                <w:szCs w:val="21"/>
                <w:vertAlign w:val="superscript"/>
              </w:rPr>
              <w:t>3</w:t>
            </w:r>
            <w:r>
              <w:rPr>
                <w:color w:val="000000"/>
                <w:szCs w:val="21"/>
              </w:rPr>
              <w:t>，农田灌溉水有效利用系数达到0.57。</w:t>
            </w:r>
          </w:p>
          <w:p>
            <w:pPr>
              <w:spacing w:line="400" w:lineRule="exact"/>
              <w:ind w:firstLine="420" w:firstLineChars="200"/>
              <w:rPr>
                <w:color w:val="000000"/>
                <w:szCs w:val="21"/>
              </w:rPr>
            </w:pPr>
            <w:r>
              <w:rPr>
                <w:color w:val="000000"/>
                <w:szCs w:val="21"/>
              </w:rPr>
              <w:t>（4.2.2）</w:t>
            </w:r>
            <w:r>
              <w:t>到2025年，双清区用水总量控制在0.765亿立方米，万元地区生产总值用水量比2020年下降22.56%，万元工业增加值用水量比2020年下降14.96%，农田灌溉水有效利用系数为0.57。</w:t>
            </w:r>
          </w:p>
          <w:p>
            <w:pPr>
              <w:tabs>
                <w:tab w:val="left" w:pos="1021"/>
              </w:tabs>
              <w:spacing w:line="400" w:lineRule="exact"/>
              <w:rPr>
                <w:color w:val="000000"/>
                <w:szCs w:val="21"/>
              </w:rPr>
            </w:pPr>
            <w:r>
              <w:rPr>
                <w:color w:val="000000"/>
                <w:szCs w:val="21"/>
              </w:rPr>
              <w:t>（4.3）土地资源：确保全市耕地保有量不低于39.5万公顷，永久基本农田保护面积不低于34.3万公顷。</w:t>
            </w:r>
          </w:p>
        </w:tc>
        <w:tc>
          <w:tcPr>
            <w:tcW w:w="1220" w:type="pct"/>
            <w:gridSpan w:val="2"/>
            <w:vAlign w:val="center"/>
          </w:tcPr>
          <w:p>
            <w:pPr>
              <w:spacing w:line="400" w:lineRule="exact"/>
            </w:pPr>
          </w:p>
        </w:tc>
      </w:tr>
      <w:bookmarkEnd w:id="28"/>
    </w:tbl>
    <w:p>
      <w:r>
        <w:br w:type="page"/>
      </w:r>
    </w:p>
    <w:p>
      <w:pPr>
        <w:pStyle w:val="2"/>
        <w:rPr>
          <w:rFonts w:ascii="Times New Roman" w:hAnsi="Times New Roman" w:cs="Times New Roman"/>
        </w:rPr>
      </w:pPr>
      <w:bookmarkStart w:id="29" w:name="_Toc6665"/>
      <w:bookmarkStart w:id="30" w:name="_Toc57836519"/>
      <w:r>
        <w:rPr>
          <w:rFonts w:ascii="Times New Roman" w:hAnsi="Times New Roman" w:cs="Times New Roman"/>
        </w:rPr>
        <w:t>2-2大祥区</w:t>
      </w:r>
      <w:bookmarkEnd w:id="29"/>
    </w:p>
    <w:tbl>
      <w:tblPr>
        <w:tblStyle w:val="10"/>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115"/>
        <w:gridCol w:w="431"/>
        <w:gridCol w:w="431"/>
        <w:gridCol w:w="437"/>
        <w:gridCol w:w="434"/>
        <w:gridCol w:w="722"/>
        <w:gridCol w:w="1741"/>
        <w:gridCol w:w="1872"/>
        <w:gridCol w:w="1421"/>
        <w:gridCol w:w="619"/>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restart"/>
            <w:vAlign w:val="center"/>
          </w:tcPr>
          <w:p>
            <w:pPr>
              <w:widowControl/>
              <w:spacing w:line="400" w:lineRule="exact"/>
              <w:jc w:val="center"/>
              <w:rPr>
                <w:b/>
                <w:color w:val="000000"/>
                <w:kern w:val="0"/>
                <w:szCs w:val="21"/>
              </w:rPr>
            </w:pPr>
            <w:r>
              <w:rPr>
                <w:b/>
                <w:color w:val="000000"/>
                <w:kern w:val="0"/>
                <w:szCs w:val="21"/>
              </w:rPr>
              <w:t>环境管控单元编码</w:t>
            </w:r>
          </w:p>
        </w:tc>
        <w:tc>
          <w:tcPr>
            <w:tcW w:w="741" w:type="pct"/>
            <w:vMerge w:val="restart"/>
            <w:vAlign w:val="center"/>
          </w:tcPr>
          <w:p>
            <w:pPr>
              <w:widowControl/>
              <w:spacing w:line="400" w:lineRule="exact"/>
              <w:jc w:val="center"/>
              <w:rPr>
                <w:b/>
                <w:color w:val="000000"/>
                <w:kern w:val="0"/>
                <w:szCs w:val="21"/>
              </w:rPr>
            </w:pPr>
            <w:r>
              <w:rPr>
                <w:b/>
                <w:color w:val="000000"/>
                <w:kern w:val="0"/>
                <w:szCs w:val="21"/>
              </w:rPr>
              <w:t>单元名称</w:t>
            </w:r>
          </w:p>
        </w:tc>
        <w:tc>
          <w:tcPr>
            <w:tcW w:w="455" w:type="pct"/>
            <w:gridSpan w:val="3"/>
            <w:vAlign w:val="center"/>
          </w:tcPr>
          <w:p>
            <w:pPr>
              <w:widowControl/>
              <w:spacing w:line="400" w:lineRule="exact"/>
              <w:jc w:val="center"/>
              <w:rPr>
                <w:b/>
                <w:color w:val="000000"/>
                <w:kern w:val="0"/>
                <w:szCs w:val="21"/>
              </w:rPr>
            </w:pPr>
            <w:r>
              <w:rPr>
                <w:b/>
                <w:color w:val="000000"/>
                <w:kern w:val="0"/>
                <w:szCs w:val="21"/>
              </w:rPr>
              <w:t>行政区划</w:t>
            </w:r>
          </w:p>
        </w:tc>
        <w:tc>
          <w:tcPr>
            <w:tcW w:w="152" w:type="pct"/>
            <w:vMerge w:val="restart"/>
            <w:vAlign w:val="center"/>
          </w:tcPr>
          <w:p>
            <w:pPr>
              <w:widowControl/>
              <w:spacing w:line="400" w:lineRule="exact"/>
              <w:jc w:val="center"/>
              <w:rPr>
                <w:b/>
                <w:color w:val="000000"/>
                <w:kern w:val="0"/>
                <w:szCs w:val="21"/>
              </w:rPr>
            </w:pPr>
            <w:r>
              <w:rPr>
                <w:b/>
                <w:color w:val="000000"/>
                <w:kern w:val="0"/>
                <w:szCs w:val="21"/>
              </w:rPr>
              <w:t>单元分类</w:t>
            </w:r>
          </w:p>
        </w:tc>
        <w:tc>
          <w:tcPr>
            <w:tcW w:w="253" w:type="pct"/>
            <w:vMerge w:val="restart"/>
            <w:vAlign w:val="center"/>
          </w:tcPr>
          <w:p>
            <w:pPr>
              <w:spacing w:line="400" w:lineRule="exact"/>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610" w:type="pct"/>
            <w:vMerge w:val="restart"/>
            <w:vAlign w:val="center"/>
          </w:tcPr>
          <w:p>
            <w:pPr>
              <w:spacing w:line="400" w:lineRule="exact"/>
              <w:jc w:val="center"/>
              <w:rPr>
                <w:b/>
                <w:color w:val="000000"/>
                <w:kern w:val="0"/>
                <w:szCs w:val="21"/>
              </w:rPr>
            </w:pPr>
            <w:r>
              <w:rPr>
                <w:b/>
                <w:color w:val="000000"/>
                <w:kern w:val="0"/>
                <w:szCs w:val="21"/>
              </w:rPr>
              <w:t>涉及乡镇(街道)</w:t>
            </w:r>
          </w:p>
        </w:tc>
        <w:tc>
          <w:tcPr>
            <w:tcW w:w="656" w:type="pct"/>
            <w:vMerge w:val="restart"/>
            <w:vAlign w:val="center"/>
          </w:tcPr>
          <w:p>
            <w:pPr>
              <w:spacing w:line="400" w:lineRule="exact"/>
              <w:jc w:val="center"/>
              <w:rPr>
                <w:b/>
                <w:color w:val="000000"/>
                <w:kern w:val="0"/>
                <w:szCs w:val="21"/>
              </w:rPr>
            </w:pPr>
            <w:r>
              <w:rPr>
                <w:b/>
                <w:color w:val="000000"/>
                <w:kern w:val="0"/>
                <w:szCs w:val="21"/>
              </w:rPr>
              <w:t>主体功能定位</w:t>
            </w:r>
          </w:p>
        </w:tc>
        <w:tc>
          <w:tcPr>
            <w:tcW w:w="715" w:type="pct"/>
            <w:gridSpan w:val="2"/>
            <w:vMerge w:val="restart"/>
            <w:vAlign w:val="center"/>
          </w:tcPr>
          <w:p>
            <w:pPr>
              <w:spacing w:line="400" w:lineRule="exact"/>
              <w:jc w:val="center"/>
              <w:rPr>
                <w:b/>
                <w:color w:val="000000"/>
                <w:kern w:val="0"/>
                <w:szCs w:val="21"/>
              </w:rPr>
            </w:pPr>
            <w:r>
              <w:rPr>
                <w:b/>
                <w:color w:val="000000"/>
                <w:kern w:val="0"/>
                <w:szCs w:val="21"/>
              </w:rPr>
              <w:t>经济产业布局</w:t>
            </w:r>
          </w:p>
        </w:tc>
        <w:tc>
          <w:tcPr>
            <w:tcW w:w="779" w:type="pct"/>
            <w:vMerge w:val="restart"/>
            <w:vAlign w:val="center"/>
          </w:tcPr>
          <w:p>
            <w:pPr>
              <w:spacing w:line="400" w:lineRule="exact"/>
              <w:jc w:val="center"/>
              <w:rPr>
                <w:b/>
                <w:color w:val="000000"/>
                <w:kern w:val="0"/>
                <w:szCs w:val="21"/>
              </w:rPr>
            </w:pPr>
            <w:r>
              <w:rPr>
                <w:b/>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7" w:type="pct"/>
            <w:vMerge w:val="continue"/>
            <w:vAlign w:val="center"/>
          </w:tcPr>
          <w:p>
            <w:pPr>
              <w:spacing w:line="400" w:lineRule="exact"/>
            </w:pPr>
          </w:p>
        </w:tc>
        <w:tc>
          <w:tcPr>
            <w:tcW w:w="741" w:type="pct"/>
            <w:vMerge w:val="continue"/>
            <w:vAlign w:val="center"/>
          </w:tcPr>
          <w:p>
            <w:pPr>
              <w:spacing w:line="400" w:lineRule="exact"/>
            </w:pPr>
          </w:p>
        </w:tc>
        <w:tc>
          <w:tcPr>
            <w:tcW w:w="151" w:type="pct"/>
            <w:vAlign w:val="center"/>
          </w:tcPr>
          <w:p>
            <w:pPr>
              <w:spacing w:line="400" w:lineRule="exact"/>
              <w:jc w:val="center"/>
              <w:rPr>
                <w:b/>
                <w:color w:val="000000"/>
                <w:szCs w:val="21"/>
              </w:rPr>
            </w:pPr>
            <w:r>
              <w:rPr>
                <w:b/>
                <w:color w:val="000000"/>
                <w:szCs w:val="21"/>
              </w:rPr>
              <w:t>省</w:t>
            </w:r>
          </w:p>
        </w:tc>
        <w:tc>
          <w:tcPr>
            <w:tcW w:w="151" w:type="pct"/>
            <w:vAlign w:val="center"/>
          </w:tcPr>
          <w:p>
            <w:pPr>
              <w:spacing w:line="400" w:lineRule="exact"/>
              <w:jc w:val="center"/>
              <w:rPr>
                <w:b/>
                <w:color w:val="000000"/>
                <w:szCs w:val="21"/>
              </w:rPr>
            </w:pPr>
            <w:r>
              <w:rPr>
                <w:b/>
                <w:color w:val="000000"/>
                <w:szCs w:val="21"/>
              </w:rPr>
              <w:t>市</w:t>
            </w:r>
          </w:p>
        </w:tc>
        <w:tc>
          <w:tcPr>
            <w:tcW w:w="153" w:type="pct"/>
            <w:vAlign w:val="center"/>
          </w:tcPr>
          <w:p>
            <w:pPr>
              <w:spacing w:line="400" w:lineRule="exact"/>
              <w:jc w:val="center"/>
              <w:rPr>
                <w:b/>
                <w:color w:val="000000"/>
                <w:szCs w:val="21"/>
              </w:rPr>
            </w:pPr>
            <w:r>
              <w:rPr>
                <w:b/>
                <w:color w:val="000000"/>
                <w:szCs w:val="21"/>
              </w:rPr>
              <w:t>县</w:t>
            </w:r>
          </w:p>
        </w:tc>
        <w:tc>
          <w:tcPr>
            <w:tcW w:w="152" w:type="pct"/>
            <w:vMerge w:val="continue"/>
            <w:vAlign w:val="center"/>
          </w:tcPr>
          <w:p>
            <w:pPr>
              <w:spacing w:line="400" w:lineRule="exact"/>
            </w:pPr>
          </w:p>
        </w:tc>
        <w:tc>
          <w:tcPr>
            <w:tcW w:w="253" w:type="pct"/>
            <w:vMerge w:val="continue"/>
            <w:vAlign w:val="center"/>
          </w:tcPr>
          <w:p>
            <w:pPr>
              <w:spacing w:line="400" w:lineRule="exact"/>
            </w:pPr>
          </w:p>
        </w:tc>
        <w:tc>
          <w:tcPr>
            <w:tcW w:w="610" w:type="pct"/>
            <w:vMerge w:val="continue"/>
            <w:vAlign w:val="center"/>
          </w:tcPr>
          <w:p>
            <w:pPr>
              <w:spacing w:line="400" w:lineRule="exact"/>
            </w:pPr>
          </w:p>
        </w:tc>
        <w:tc>
          <w:tcPr>
            <w:tcW w:w="656" w:type="pct"/>
            <w:vMerge w:val="continue"/>
            <w:vAlign w:val="center"/>
          </w:tcPr>
          <w:p>
            <w:pPr>
              <w:spacing w:line="400" w:lineRule="exact"/>
            </w:pPr>
          </w:p>
        </w:tc>
        <w:tc>
          <w:tcPr>
            <w:tcW w:w="715" w:type="pct"/>
            <w:gridSpan w:val="2"/>
            <w:vMerge w:val="continue"/>
            <w:vAlign w:val="center"/>
          </w:tcPr>
          <w:p>
            <w:pPr>
              <w:spacing w:line="400" w:lineRule="exact"/>
            </w:pPr>
          </w:p>
        </w:tc>
        <w:tc>
          <w:tcPr>
            <w:tcW w:w="779" w:type="pct"/>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atLeast"/>
          <w:jc w:val="center"/>
        </w:trPr>
        <w:tc>
          <w:tcPr>
            <w:tcW w:w="637" w:type="pct"/>
            <w:vAlign w:val="center"/>
          </w:tcPr>
          <w:p>
            <w:pPr>
              <w:widowControl/>
              <w:spacing w:line="400" w:lineRule="exact"/>
              <w:jc w:val="center"/>
              <w:rPr>
                <w:color w:val="000000"/>
                <w:kern w:val="0"/>
                <w:szCs w:val="21"/>
              </w:rPr>
            </w:pPr>
            <w:r>
              <w:rPr>
                <w:color w:val="000000"/>
                <w:kern w:val="0"/>
                <w:szCs w:val="21"/>
              </w:rPr>
              <w:t>ZH43050320002</w:t>
            </w:r>
          </w:p>
        </w:tc>
        <w:tc>
          <w:tcPr>
            <w:tcW w:w="741" w:type="pct"/>
            <w:vAlign w:val="center"/>
          </w:tcPr>
          <w:p>
            <w:pPr>
              <w:widowControl/>
              <w:spacing w:line="400" w:lineRule="exact"/>
              <w:jc w:val="center"/>
              <w:rPr>
                <w:color w:val="000000"/>
                <w:kern w:val="0"/>
                <w:szCs w:val="21"/>
              </w:rPr>
            </w:pPr>
            <w:r>
              <w:rPr>
                <w:color w:val="000000"/>
                <w:kern w:val="0"/>
                <w:szCs w:val="21"/>
              </w:rPr>
              <w:t>百春园街道\城北路街道\城南街道\城西街道\翠园街道\红旗路街道\火车南站街道\学院路街道\雨溪街道\中心路街道</w:t>
            </w:r>
          </w:p>
          <w:p>
            <w:pPr>
              <w:widowControl/>
              <w:spacing w:line="400" w:lineRule="exact"/>
              <w:jc w:val="center"/>
              <w:rPr>
                <w:color w:val="000000"/>
                <w:kern w:val="0"/>
                <w:szCs w:val="21"/>
              </w:rPr>
            </w:pPr>
          </w:p>
        </w:tc>
        <w:tc>
          <w:tcPr>
            <w:tcW w:w="151" w:type="pct"/>
            <w:vAlign w:val="center"/>
          </w:tcPr>
          <w:p>
            <w:pPr>
              <w:widowControl/>
              <w:spacing w:line="400" w:lineRule="exact"/>
              <w:jc w:val="center"/>
              <w:rPr>
                <w:color w:val="000000"/>
                <w:kern w:val="0"/>
                <w:szCs w:val="21"/>
              </w:rPr>
            </w:pPr>
            <w:r>
              <w:rPr>
                <w:color w:val="000000"/>
                <w:kern w:val="0"/>
                <w:szCs w:val="21"/>
              </w:rPr>
              <w:t>湖南省</w:t>
            </w:r>
          </w:p>
        </w:tc>
        <w:tc>
          <w:tcPr>
            <w:tcW w:w="151" w:type="pct"/>
            <w:vAlign w:val="center"/>
          </w:tcPr>
          <w:p>
            <w:pPr>
              <w:widowControl/>
              <w:spacing w:line="400" w:lineRule="exact"/>
              <w:jc w:val="center"/>
              <w:rPr>
                <w:color w:val="000000"/>
                <w:kern w:val="0"/>
                <w:szCs w:val="21"/>
              </w:rPr>
            </w:pPr>
            <w:r>
              <w:rPr>
                <w:color w:val="000000"/>
                <w:kern w:val="0"/>
                <w:szCs w:val="21"/>
              </w:rPr>
              <w:t>邵阳市</w:t>
            </w:r>
          </w:p>
        </w:tc>
        <w:tc>
          <w:tcPr>
            <w:tcW w:w="153" w:type="pct"/>
            <w:vAlign w:val="center"/>
          </w:tcPr>
          <w:p>
            <w:pPr>
              <w:widowControl/>
              <w:spacing w:line="400" w:lineRule="exact"/>
              <w:jc w:val="center"/>
              <w:rPr>
                <w:color w:val="000000"/>
                <w:kern w:val="0"/>
                <w:szCs w:val="21"/>
              </w:rPr>
            </w:pPr>
            <w:r>
              <w:rPr>
                <w:color w:val="000000"/>
                <w:kern w:val="0"/>
                <w:szCs w:val="21"/>
              </w:rPr>
              <w:t>大祥区</w:t>
            </w:r>
          </w:p>
        </w:tc>
        <w:tc>
          <w:tcPr>
            <w:tcW w:w="152" w:type="pct"/>
            <w:vAlign w:val="center"/>
          </w:tcPr>
          <w:p>
            <w:pPr>
              <w:widowControl/>
              <w:spacing w:line="400" w:lineRule="exact"/>
              <w:rPr>
                <w:color w:val="000000"/>
                <w:kern w:val="0"/>
                <w:szCs w:val="21"/>
              </w:rPr>
            </w:pPr>
            <w:r>
              <w:rPr>
                <w:color w:val="000000"/>
                <w:kern w:val="0"/>
                <w:szCs w:val="21"/>
              </w:rPr>
              <w:t>重点管控单元</w:t>
            </w:r>
          </w:p>
        </w:tc>
        <w:tc>
          <w:tcPr>
            <w:tcW w:w="253" w:type="pct"/>
            <w:vAlign w:val="center"/>
          </w:tcPr>
          <w:p>
            <w:pPr>
              <w:spacing w:line="400" w:lineRule="exact"/>
              <w:jc w:val="center"/>
              <w:rPr>
                <w:color w:val="000000"/>
                <w:sz w:val="20"/>
                <w:szCs w:val="20"/>
              </w:rPr>
            </w:pPr>
            <w:r>
              <w:rPr>
                <w:color w:val="000000"/>
                <w:sz w:val="20"/>
                <w:szCs w:val="20"/>
              </w:rPr>
              <w:t>78.02</w:t>
            </w:r>
          </w:p>
        </w:tc>
        <w:tc>
          <w:tcPr>
            <w:tcW w:w="610" w:type="pct"/>
            <w:vAlign w:val="center"/>
          </w:tcPr>
          <w:p>
            <w:pPr>
              <w:spacing w:line="400" w:lineRule="exact"/>
              <w:jc w:val="center"/>
              <w:rPr>
                <w:color w:val="000000"/>
                <w:szCs w:val="21"/>
              </w:rPr>
            </w:pPr>
            <w:r>
              <w:rPr>
                <w:color w:val="000000"/>
                <w:szCs w:val="21"/>
              </w:rPr>
              <w:t>百春园街道\城北路街道\城南街道\城西街道\翠园街道\红旗路街道\火车南站街道\学院路街道\雨溪街道\中心路街道</w:t>
            </w:r>
          </w:p>
          <w:p>
            <w:pPr>
              <w:spacing w:line="400" w:lineRule="exact"/>
              <w:jc w:val="center"/>
              <w:rPr>
                <w:color w:val="000000"/>
                <w:szCs w:val="21"/>
              </w:rPr>
            </w:pPr>
          </w:p>
        </w:tc>
        <w:tc>
          <w:tcPr>
            <w:tcW w:w="656" w:type="pct"/>
            <w:vAlign w:val="center"/>
          </w:tcPr>
          <w:p>
            <w:pPr>
              <w:spacing w:line="400" w:lineRule="exact"/>
              <w:jc w:val="left"/>
              <w:rPr>
                <w:color w:val="000000"/>
                <w:szCs w:val="21"/>
              </w:rPr>
            </w:pPr>
            <w:r>
              <w:rPr>
                <w:b/>
                <w:bCs/>
                <w:color w:val="000000"/>
                <w:szCs w:val="21"/>
              </w:rPr>
              <w:t>雨溪街道、学院路街道、城南街道、火车南站街道、翠园街道\百春园街道：</w:t>
            </w:r>
            <w:r>
              <w:rPr>
                <w:color w:val="000000"/>
                <w:szCs w:val="21"/>
              </w:rPr>
              <w:t>城市化地区；</w:t>
            </w:r>
          </w:p>
          <w:p>
            <w:pPr>
              <w:spacing w:line="400" w:lineRule="exact"/>
              <w:jc w:val="left"/>
              <w:rPr>
                <w:color w:val="000000"/>
                <w:szCs w:val="21"/>
              </w:rPr>
            </w:pPr>
            <w:r>
              <w:rPr>
                <w:b/>
                <w:bCs/>
                <w:color w:val="000000"/>
                <w:szCs w:val="21"/>
              </w:rPr>
              <w:t>城西街道、城北路街道、红旗路街道、中心路街道</w:t>
            </w:r>
            <w:r>
              <w:rPr>
                <w:color w:val="000000"/>
                <w:szCs w:val="21"/>
              </w:rPr>
              <w:t>：城市化地区/历史文化资源富集区</w:t>
            </w:r>
          </w:p>
        </w:tc>
        <w:tc>
          <w:tcPr>
            <w:tcW w:w="715" w:type="pct"/>
            <w:gridSpan w:val="2"/>
            <w:vAlign w:val="center"/>
          </w:tcPr>
          <w:p>
            <w:pPr>
              <w:widowControl/>
              <w:spacing w:line="400" w:lineRule="exact"/>
              <w:jc w:val="left"/>
              <w:rPr>
                <w:color w:val="000000"/>
                <w:kern w:val="0"/>
                <w:szCs w:val="21"/>
              </w:rPr>
            </w:pPr>
            <w:r>
              <w:rPr>
                <w:color w:val="000000"/>
                <w:kern w:val="0"/>
                <w:szCs w:val="21"/>
              </w:rPr>
              <w:t>农业种植、畜禽养殖、非金属开采、屠宰、农副产品加工、食品加工、服装加工、建材、家具加工、商贸物流、印刷、塑料制品、医疗废物、生物质燃料加工、再生资源回收、旅游火电、水泥等</w:t>
            </w:r>
          </w:p>
        </w:tc>
        <w:tc>
          <w:tcPr>
            <w:tcW w:w="779" w:type="pct"/>
            <w:vAlign w:val="center"/>
          </w:tcPr>
          <w:p>
            <w:pPr>
              <w:widowControl/>
              <w:spacing w:line="400" w:lineRule="exact"/>
              <w:rPr>
                <w:b/>
                <w:bCs/>
                <w:color w:val="000000"/>
                <w:kern w:val="0"/>
                <w:szCs w:val="21"/>
              </w:rPr>
            </w:pPr>
            <w:r>
              <w:rPr>
                <w:b/>
                <w:bCs/>
                <w:color w:val="000000"/>
                <w:kern w:val="0"/>
                <w:szCs w:val="21"/>
              </w:rPr>
              <w:t>主要环境问题：</w:t>
            </w:r>
          </w:p>
          <w:p>
            <w:pPr>
              <w:widowControl/>
              <w:spacing w:line="400" w:lineRule="exact"/>
              <w:rPr>
                <w:color w:val="000000"/>
                <w:kern w:val="0"/>
                <w:szCs w:val="21"/>
              </w:rPr>
            </w:pPr>
            <w:r>
              <w:rPr>
                <w:color w:val="000000"/>
                <w:kern w:val="0"/>
                <w:szCs w:val="21"/>
              </w:rPr>
              <w:t>城市建成区，城镇生活污染物排放量大，老企业较多较为分散。</w:t>
            </w:r>
          </w:p>
          <w:p>
            <w:pPr>
              <w:widowControl/>
              <w:spacing w:line="400" w:lineRule="exact"/>
              <w:rPr>
                <w:b/>
                <w:bCs/>
                <w:color w:val="000000"/>
                <w:kern w:val="0"/>
                <w:szCs w:val="21"/>
              </w:rPr>
            </w:pPr>
            <w:r>
              <w:rPr>
                <w:b/>
                <w:bCs/>
                <w:color w:val="000000"/>
                <w:kern w:val="0"/>
                <w:szCs w:val="21"/>
              </w:rPr>
              <w:t>重要敏感目标：</w:t>
            </w:r>
          </w:p>
          <w:p>
            <w:pPr>
              <w:widowControl/>
              <w:spacing w:line="400" w:lineRule="exact"/>
              <w:rPr>
                <w:b/>
                <w:bCs/>
                <w:color w:val="000000"/>
                <w:kern w:val="0"/>
                <w:szCs w:val="21"/>
              </w:rPr>
            </w:pPr>
            <w:r>
              <w:rPr>
                <w:b/>
                <w:bCs/>
                <w:color w:val="000000"/>
                <w:kern w:val="0"/>
                <w:szCs w:val="21"/>
              </w:rPr>
              <w:t>雨溪街道：</w:t>
            </w:r>
          </w:p>
          <w:p>
            <w:pPr>
              <w:widowControl/>
              <w:numPr>
                <w:ilvl w:val="0"/>
                <w:numId w:val="3"/>
              </w:numPr>
              <w:spacing w:line="400" w:lineRule="exact"/>
            </w:pPr>
            <w:r>
              <w:t>邵阳市主城区资江桂花渡水厂饮用水水源保护区；</w:t>
            </w:r>
          </w:p>
          <w:p>
            <w:pPr>
              <w:spacing w:line="400" w:lineRule="exact"/>
              <w:jc w:val="left"/>
              <w:rPr>
                <w:color w:val="000000"/>
                <w:szCs w:val="21"/>
              </w:rPr>
            </w:pPr>
            <w:r>
              <w:rPr>
                <w:b/>
                <w:bCs/>
                <w:color w:val="000000"/>
                <w:szCs w:val="21"/>
              </w:rPr>
              <w:t>城西街道</w:t>
            </w:r>
            <w:r>
              <w:rPr>
                <w:color w:val="000000"/>
                <w:szCs w:val="21"/>
              </w:rPr>
              <w:t>：</w:t>
            </w:r>
            <w:r>
              <w:rPr>
                <w:b/>
                <w:bCs/>
                <w:color w:val="000000"/>
                <w:szCs w:val="21"/>
              </w:rPr>
              <w:t>中心路街道</w:t>
            </w:r>
            <w:r>
              <w:rPr>
                <w:color w:val="000000"/>
                <w:szCs w:val="21"/>
              </w:rPr>
              <w:t>/</w:t>
            </w:r>
            <w:r>
              <w:rPr>
                <w:b/>
                <w:bCs/>
                <w:color w:val="000000"/>
                <w:szCs w:val="21"/>
              </w:rPr>
              <w:t>百春园街道：</w:t>
            </w:r>
          </w:p>
          <w:p>
            <w:pPr>
              <w:widowControl/>
              <w:numPr>
                <w:ilvl w:val="0"/>
                <w:numId w:val="3"/>
              </w:numPr>
              <w:spacing w:line="400" w:lineRule="exact"/>
              <w:rPr>
                <w:color w:val="000000"/>
                <w:kern w:val="0"/>
                <w:szCs w:val="21"/>
              </w:rPr>
            </w:pPr>
            <w:r>
              <w:t>邵阳市主城区资江城西水厂饮用水水源保护区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widowControl/>
              <w:spacing w:line="400" w:lineRule="exact"/>
              <w:jc w:val="center"/>
              <w:rPr>
                <w:b/>
                <w:color w:val="000000"/>
                <w:kern w:val="0"/>
                <w:szCs w:val="21"/>
              </w:rPr>
            </w:pPr>
            <w:r>
              <w:rPr>
                <w:b/>
                <w:color w:val="000000"/>
                <w:kern w:val="0"/>
                <w:szCs w:val="21"/>
              </w:rPr>
              <w:t>主要属性</w:t>
            </w:r>
          </w:p>
        </w:tc>
        <w:tc>
          <w:tcPr>
            <w:tcW w:w="4362" w:type="pct"/>
            <w:gridSpan w:val="11"/>
            <w:vAlign w:val="center"/>
          </w:tcPr>
          <w:p>
            <w:pPr>
              <w:spacing w:line="400" w:lineRule="exact"/>
              <w:jc w:val="left"/>
              <w:rPr>
                <w:color w:val="000000"/>
                <w:szCs w:val="21"/>
              </w:rPr>
            </w:pPr>
            <w:r>
              <w:rPr>
                <w:b/>
                <w:bCs/>
                <w:color w:val="000000"/>
                <w:szCs w:val="21"/>
              </w:rPr>
              <w:t>雨溪街道</w:t>
            </w:r>
            <w:r>
              <w:rPr>
                <w:color w:val="000000"/>
                <w:szCs w:val="21"/>
              </w:rPr>
              <w:t>：</w:t>
            </w:r>
          </w:p>
          <w:p>
            <w:pPr>
              <w:numPr>
                <w:ilvl w:val="0"/>
                <w:numId w:val="4"/>
              </w:numPr>
              <w:spacing w:line="400" w:lineRule="exact"/>
              <w:jc w:val="left"/>
            </w:pPr>
            <w:r>
              <w:t>红线/一般生态空间；森林公园\生物多样性保护功能重要区</w:t>
            </w:r>
          </w:p>
          <w:p>
            <w:pPr>
              <w:numPr>
                <w:ilvl w:val="0"/>
                <w:numId w:val="4"/>
              </w:numPr>
              <w:spacing w:line="400" w:lineRule="exact"/>
            </w:pPr>
            <w:r>
              <w:t>水环境优先保护区/水环境工业污染重点管控区/水环境一般管控区；水源地（县级及以上）/工业园区；邵阳市主城区资江桂花渡水厂饮用水水源保护区/大祥产业开发区；</w:t>
            </w:r>
          </w:p>
          <w:p>
            <w:pPr>
              <w:numPr>
                <w:ilvl w:val="0"/>
                <w:numId w:val="4"/>
              </w:numPr>
              <w:spacing w:line="400" w:lineRule="exact"/>
            </w:pPr>
            <w:r>
              <w:t>大气环境优先保护区/大气环境高排放重点管控区/大气环境受体敏感重点管控区/大气环境布局敏感重点管控区/大气环境弱扩散重点管控区；湖南邵阳宝庆省级森林公园/大祥产业开发区/大祥工业园区；</w:t>
            </w:r>
          </w:p>
          <w:p>
            <w:pPr>
              <w:numPr>
                <w:ilvl w:val="0"/>
                <w:numId w:val="4"/>
              </w:numPr>
              <w:spacing w:line="400" w:lineRule="exact"/>
            </w:pPr>
            <w:r>
              <w:t>农用地优先保护区/建设用地重点管控区/其他重点管控区/一般管控区；矿区/中高风险企业用地；大祥产业开发区；</w:t>
            </w:r>
          </w:p>
          <w:p>
            <w:pPr>
              <w:numPr>
                <w:ilvl w:val="0"/>
                <w:numId w:val="4"/>
              </w:numPr>
              <w:spacing w:line="400" w:lineRule="exact"/>
            </w:pPr>
            <w:r>
              <w:t>城市化地区；高污染燃料禁燃区</w:t>
            </w:r>
          </w:p>
          <w:p>
            <w:pPr>
              <w:spacing w:line="400" w:lineRule="exact"/>
              <w:jc w:val="left"/>
              <w:rPr>
                <w:color w:val="000000"/>
                <w:szCs w:val="21"/>
              </w:rPr>
            </w:pPr>
            <w:r>
              <w:rPr>
                <w:b/>
                <w:bCs/>
                <w:color w:val="000000"/>
                <w:szCs w:val="21"/>
              </w:rPr>
              <w:t>学院路街道</w:t>
            </w:r>
            <w:r>
              <w:rPr>
                <w:color w:val="000000"/>
                <w:szCs w:val="21"/>
              </w:rPr>
              <w:t>：</w:t>
            </w:r>
          </w:p>
          <w:p>
            <w:pPr>
              <w:numPr>
                <w:ilvl w:val="0"/>
                <w:numId w:val="5"/>
              </w:numPr>
              <w:spacing w:line="400" w:lineRule="exact"/>
              <w:jc w:val="left"/>
            </w:pPr>
            <w:r>
              <w:rPr>
                <w:color w:val="000000"/>
                <w:szCs w:val="21"/>
              </w:rPr>
              <w:t>一般生态空间；生物多样性保护功能重要区\水土流失敏感区</w:t>
            </w:r>
          </w:p>
          <w:p>
            <w:pPr>
              <w:numPr>
                <w:ilvl w:val="0"/>
                <w:numId w:val="5"/>
              </w:numPr>
              <w:spacing w:line="400" w:lineRule="exact"/>
            </w:pPr>
            <w:r>
              <w:t>水环境优先保护区/水环境城镇生活污染重点管控区/水环境一般管控区；水源地（县级及以上）/污水处理厂；邵阳市主城区资江桂花渡水厂饮用水水源保护区/邵阳市洋溪桥污水处理厂（汇水）；</w:t>
            </w:r>
          </w:p>
          <w:p>
            <w:pPr>
              <w:numPr>
                <w:ilvl w:val="0"/>
                <w:numId w:val="5"/>
              </w:numPr>
              <w:spacing w:line="400" w:lineRule="exact"/>
            </w:pPr>
            <w:r>
              <w:t>大气环境受体敏感重点管控区/大气环境布局敏感重点管控区；</w:t>
            </w:r>
          </w:p>
          <w:p>
            <w:pPr>
              <w:numPr>
                <w:ilvl w:val="0"/>
                <w:numId w:val="5"/>
              </w:numPr>
              <w:spacing w:line="400" w:lineRule="exact"/>
            </w:pPr>
            <w:r>
              <w:t>农用地优先保护区/建设用地重点管控区/其他重点管控区/一般管控区；矿区/中高风险企业用地；</w:t>
            </w:r>
          </w:p>
          <w:p>
            <w:pPr>
              <w:numPr>
                <w:ilvl w:val="0"/>
                <w:numId w:val="5"/>
              </w:numPr>
              <w:spacing w:line="400" w:lineRule="exact"/>
            </w:pPr>
            <w:r>
              <w:t>城市化地区；高污染燃料禁燃区</w:t>
            </w:r>
          </w:p>
          <w:p>
            <w:pPr>
              <w:spacing w:line="400" w:lineRule="exact"/>
              <w:jc w:val="left"/>
              <w:rPr>
                <w:color w:val="000000"/>
                <w:szCs w:val="21"/>
              </w:rPr>
            </w:pPr>
            <w:r>
              <w:rPr>
                <w:b/>
                <w:bCs/>
                <w:color w:val="000000"/>
                <w:szCs w:val="21"/>
              </w:rPr>
              <w:t>城南街道</w:t>
            </w:r>
            <w:r>
              <w:rPr>
                <w:color w:val="000000"/>
                <w:szCs w:val="21"/>
              </w:rPr>
              <w:t>：</w:t>
            </w:r>
          </w:p>
          <w:p>
            <w:pPr>
              <w:numPr>
                <w:ilvl w:val="0"/>
                <w:numId w:val="5"/>
              </w:numPr>
              <w:spacing w:line="400" w:lineRule="exact"/>
            </w:pPr>
            <w:r>
              <w:t>水环境一般管控区；</w:t>
            </w:r>
          </w:p>
          <w:p>
            <w:pPr>
              <w:numPr>
                <w:ilvl w:val="0"/>
                <w:numId w:val="5"/>
              </w:numPr>
              <w:spacing w:line="400" w:lineRule="exact"/>
            </w:pPr>
            <w:r>
              <w:t>大气环境优先保护区/大气环境高排放重点管控区/大气环境受体敏感重点管控区/大气环境布局敏感重点管控区；</w:t>
            </w:r>
          </w:p>
          <w:p>
            <w:pPr>
              <w:numPr>
                <w:ilvl w:val="0"/>
                <w:numId w:val="5"/>
              </w:numPr>
              <w:spacing w:line="400" w:lineRule="exact"/>
            </w:pPr>
            <w:r>
              <w:t>农用地优先保护区/建设用地重点管控区/一般管控区；中高风险企业用地；</w:t>
            </w:r>
          </w:p>
          <w:p>
            <w:pPr>
              <w:numPr>
                <w:ilvl w:val="0"/>
                <w:numId w:val="5"/>
              </w:numPr>
              <w:spacing w:line="400" w:lineRule="exact"/>
            </w:pPr>
            <w:r>
              <w:t>城市化地区；高污染燃料禁燃区</w:t>
            </w:r>
          </w:p>
          <w:p>
            <w:pPr>
              <w:spacing w:line="400" w:lineRule="exact"/>
              <w:jc w:val="left"/>
              <w:rPr>
                <w:b/>
                <w:bCs/>
                <w:color w:val="000000"/>
                <w:szCs w:val="21"/>
              </w:rPr>
            </w:pPr>
            <w:r>
              <w:rPr>
                <w:b/>
                <w:bCs/>
                <w:color w:val="000000"/>
                <w:szCs w:val="21"/>
              </w:rPr>
              <w:t>火车南站街道：</w:t>
            </w:r>
          </w:p>
          <w:p>
            <w:pPr>
              <w:numPr>
                <w:ilvl w:val="0"/>
                <w:numId w:val="5"/>
              </w:numPr>
              <w:spacing w:line="400" w:lineRule="exact"/>
            </w:pPr>
            <w:r>
              <w:t>水环境城镇生活污染重点管控区；污水处理厂；邵阳市洋溪桥污水处理厂（汇水）；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建设用地重点管控区/一般管控区；重点行业企业重点区域；</w:t>
            </w:r>
          </w:p>
          <w:p>
            <w:pPr>
              <w:numPr>
                <w:ilvl w:val="0"/>
                <w:numId w:val="5"/>
              </w:numPr>
              <w:spacing w:line="400" w:lineRule="exact"/>
            </w:pPr>
            <w:r>
              <w:t>城市化地区；高污染燃料禁燃区</w:t>
            </w:r>
          </w:p>
          <w:p>
            <w:pPr>
              <w:spacing w:line="400" w:lineRule="exact"/>
              <w:jc w:val="left"/>
              <w:rPr>
                <w:color w:val="000000"/>
                <w:szCs w:val="21"/>
              </w:rPr>
            </w:pPr>
            <w:r>
              <w:rPr>
                <w:b/>
                <w:bCs/>
                <w:color w:val="000000"/>
                <w:szCs w:val="21"/>
              </w:rPr>
              <w:t>城西街道</w:t>
            </w:r>
            <w:r>
              <w:rPr>
                <w:color w:val="000000"/>
                <w:szCs w:val="21"/>
              </w:rPr>
              <w:t>：</w:t>
            </w:r>
          </w:p>
          <w:p>
            <w:pPr>
              <w:numPr>
                <w:ilvl w:val="0"/>
                <w:numId w:val="5"/>
              </w:numPr>
              <w:spacing w:line="400" w:lineRule="exact"/>
              <w:jc w:val="left"/>
            </w:pPr>
            <w:r>
              <w:t>红线/一般生态空间；三区三线生态红线\生物多样性保护功能重要区</w:t>
            </w:r>
          </w:p>
          <w:p>
            <w:pPr>
              <w:numPr>
                <w:ilvl w:val="0"/>
                <w:numId w:val="5"/>
              </w:numPr>
              <w:spacing w:line="400" w:lineRule="exact"/>
            </w:pPr>
            <w:r>
              <w:t>水环境优先保护区/水环境城镇生活污染重点管控区；水源地（县级及以上）/污水处理厂；邵阳市主城区资江城西水厂饮用水水源保护区/邵阳市洋溪桥污水处理厂（汇水）；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建设用地重点管控区；中高风险企业用地/重点行业企业重点区域；</w:t>
            </w:r>
          </w:p>
          <w:p>
            <w:pPr>
              <w:numPr>
                <w:ilvl w:val="0"/>
                <w:numId w:val="5"/>
              </w:numPr>
              <w:spacing w:line="400" w:lineRule="exact"/>
              <w:rPr>
                <w:b/>
                <w:bCs/>
              </w:rPr>
            </w:pPr>
            <w:r>
              <w:t>城市化地区/历史文化资源富集区；高污染燃料禁燃区</w:t>
            </w:r>
          </w:p>
          <w:p>
            <w:pPr>
              <w:spacing w:line="400" w:lineRule="exact"/>
              <w:jc w:val="left"/>
              <w:rPr>
                <w:color w:val="000000"/>
                <w:szCs w:val="21"/>
              </w:rPr>
            </w:pPr>
            <w:r>
              <w:rPr>
                <w:b/>
                <w:bCs/>
                <w:color w:val="000000"/>
                <w:szCs w:val="21"/>
              </w:rPr>
              <w:t>城北路街道</w:t>
            </w:r>
            <w:r>
              <w:rPr>
                <w:color w:val="000000"/>
                <w:szCs w:val="21"/>
              </w:rPr>
              <w:t>：</w:t>
            </w:r>
          </w:p>
          <w:p>
            <w:pPr>
              <w:numPr>
                <w:ilvl w:val="0"/>
                <w:numId w:val="5"/>
              </w:numPr>
              <w:spacing w:line="400" w:lineRule="exact"/>
              <w:jc w:val="left"/>
            </w:pPr>
            <w:r>
              <w:t>红线；三区三线生态红线：</w:t>
            </w:r>
          </w:p>
          <w:p>
            <w:pPr>
              <w:numPr>
                <w:ilvl w:val="0"/>
                <w:numId w:val="5"/>
              </w:numPr>
              <w:spacing w:line="400" w:lineRule="exact"/>
            </w:pPr>
            <w:r>
              <w:t>水环境优先保护区/水环境城镇生活污染重点管控区；水源地（县级及以上）/污水处理厂；邵阳市主城区资江城西水厂饮用水水源保护区、邵阳市主城区资江工业街水厂饮用水水源保护区/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建设用地重点管控区；重点行业企业重点区域；</w:t>
            </w:r>
          </w:p>
          <w:p>
            <w:pPr>
              <w:numPr>
                <w:ilvl w:val="0"/>
                <w:numId w:val="5"/>
              </w:numPr>
              <w:spacing w:line="400" w:lineRule="exact"/>
              <w:rPr>
                <w:color w:val="000000"/>
                <w:szCs w:val="21"/>
              </w:rPr>
            </w:pPr>
            <w:r>
              <w:t>城市化地区/历史文化资源富集区；高污染燃料禁燃区</w:t>
            </w:r>
          </w:p>
          <w:p>
            <w:pPr>
              <w:spacing w:line="400" w:lineRule="exact"/>
              <w:jc w:val="left"/>
              <w:rPr>
                <w:color w:val="000000"/>
                <w:szCs w:val="21"/>
              </w:rPr>
            </w:pPr>
            <w:r>
              <w:rPr>
                <w:b/>
                <w:bCs/>
                <w:color w:val="000000"/>
                <w:szCs w:val="21"/>
              </w:rPr>
              <w:t>翠园街道</w:t>
            </w:r>
            <w:r>
              <w:rPr>
                <w:color w:val="000000"/>
                <w:szCs w:val="21"/>
              </w:rPr>
              <w:t>：</w:t>
            </w:r>
          </w:p>
          <w:p>
            <w:pPr>
              <w:numPr>
                <w:ilvl w:val="0"/>
                <w:numId w:val="5"/>
              </w:numPr>
              <w:spacing w:line="400" w:lineRule="exact"/>
            </w:pPr>
            <w:r>
              <w:t>水环境城镇生活污染重点管控区；污水处理厂；邵阳市洋溪桥污水处理厂（汇水）；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建设用地重点管控区；重点行业企业重点区域；</w:t>
            </w:r>
          </w:p>
          <w:p>
            <w:pPr>
              <w:numPr>
                <w:ilvl w:val="0"/>
                <w:numId w:val="5"/>
              </w:numPr>
              <w:spacing w:line="400" w:lineRule="exact"/>
            </w:pPr>
            <w:r>
              <w:t>城市化地区；高污染燃料禁燃区</w:t>
            </w:r>
          </w:p>
          <w:p>
            <w:pPr>
              <w:spacing w:line="400" w:lineRule="exact"/>
              <w:jc w:val="left"/>
              <w:rPr>
                <w:color w:val="000000"/>
                <w:szCs w:val="21"/>
              </w:rPr>
            </w:pPr>
            <w:r>
              <w:rPr>
                <w:b/>
                <w:bCs/>
                <w:color w:val="000000"/>
                <w:szCs w:val="21"/>
              </w:rPr>
              <w:t>中心路街道</w:t>
            </w:r>
            <w:r>
              <w:rPr>
                <w:color w:val="000000"/>
                <w:szCs w:val="21"/>
              </w:rPr>
              <w:t>：</w:t>
            </w:r>
          </w:p>
          <w:p>
            <w:pPr>
              <w:numPr>
                <w:ilvl w:val="0"/>
                <w:numId w:val="5"/>
              </w:numPr>
              <w:spacing w:line="400" w:lineRule="exact"/>
              <w:jc w:val="left"/>
            </w:pPr>
            <w:r>
              <w:t>红线；三区三线生态红线</w:t>
            </w:r>
          </w:p>
          <w:p>
            <w:pPr>
              <w:numPr>
                <w:ilvl w:val="0"/>
                <w:numId w:val="5"/>
              </w:numPr>
              <w:spacing w:line="400" w:lineRule="exact"/>
            </w:pPr>
            <w:r>
              <w:t>水环境优先保护区/水环境城镇生活污染重点管控区；水源地（县级及以上）/污水处理厂；邵阳市主城区资江工业街水厂饮用水水源保护区/邵阳市洋溪桥污水处理厂（汇水）；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建设用地重点管控区；重点行业企业重点区域；</w:t>
            </w:r>
          </w:p>
          <w:p>
            <w:pPr>
              <w:numPr>
                <w:ilvl w:val="0"/>
                <w:numId w:val="5"/>
              </w:numPr>
              <w:spacing w:line="400" w:lineRule="exact"/>
            </w:pPr>
            <w:r>
              <w:t>城市化地区/历史文化资源富集区；高污染燃料禁燃区</w:t>
            </w:r>
          </w:p>
          <w:p>
            <w:pPr>
              <w:spacing w:line="400" w:lineRule="exact"/>
              <w:jc w:val="left"/>
              <w:rPr>
                <w:b/>
                <w:bCs/>
                <w:color w:val="000000"/>
                <w:szCs w:val="21"/>
              </w:rPr>
            </w:pPr>
            <w:r>
              <w:rPr>
                <w:b/>
                <w:bCs/>
                <w:color w:val="000000"/>
                <w:szCs w:val="21"/>
              </w:rPr>
              <w:t>红旗路街道：</w:t>
            </w:r>
          </w:p>
          <w:p>
            <w:pPr>
              <w:numPr>
                <w:ilvl w:val="0"/>
                <w:numId w:val="5"/>
              </w:numPr>
              <w:spacing w:line="400" w:lineRule="exact"/>
            </w:pPr>
            <w:r>
              <w:t>水环境城镇生活污染重点管控区；污水处理厂；邵阳市洋溪桥污水处理厂（汇水）；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建设用地重点管控区；重点行业企业重点区域；</w:t>
            </w:r>
          </w:p>
          <w:p>
            <w:pPr>
              <w:numPr>
                <w:ilvl w:val="0"/>
                <w:numId w:val="5"/>
              </w:numPr>
              <w:spacing w:line="400" w:lineRule="exact"/>
              <w:rPr>
                <w:b/>
                <w:bCs/>
                <w:color w:val="000000"/>
                <w:szCs w:val="21"/>
              </w:rPr>
            </w:pPr>
            <w:r>
              <w:t>城市化地区/历史文化资源富集区；高污染燃料禁燃区</w:t>
            </w:r>
          </w:p>
          <w:p>
            <w:pPr>
              <w:spacing w:line="400" w:lineRule="exact"/>
              <w:jc w:val="left"/>
              <w:rPr>
                <w:b/>
                <w:bCs/>
                <w:color w:val="000000"/>
                <w:szCs w:val="21"/>
              </w:rPr>
            </w:pPr>
            <w:r>
              <w:rPr>
                <w:b/>
                <w:bCs/>
                <w:color w:val="000000"/>
                <w:szCs w:val="21"/>
              </w:rPr>
              <w:t>百春园街道：</w:t>
            </w:r>
          </w:p>
          <w:p>
            <w:pPr>
              <w:numPr>
                <w:ilvl w:val="0"/>
                <w:numId w:val="5"/>
              </w:numPr>
              <w:spacing w:line="400" w:lineRule="exact"/>
              <w:jc w:val="left"/>
            </w:pPr>
            <w:r>
              <w:t>一般生态空间；生物多样性保护功能重要区</w:t>
            </w:r>
          </w:p>
          <w:p>
            <w:pPr>
              <w:numPr>
                <w:ilvl w:val="0"/>
                <w:numId w:val="5"/>
              </w:numPr>
              <w:spacing w:line="400" w:lineRule="exact"/>
            </w:pPr>
            <w:r>
              <w:t>水环境优先保护区/水环境城镇生活污染重点管控区；水源地（县级及以上）/污水处理厂；邵阳市主城区资江城西水厂饮用水水源保护区/邵阳市洋溪桥污水处理厂（汇水）；</w:t>
            </w:r>
          </w:p>
          <w:p>
            <w:pPr>
              <w:numPr>
                <w:ilvl w:val="0"/>
                <w:numId w:val="5"/>
              </w:numPr>
              <w:spacing w:line="400" w:lineRule="exact"/>
            </w:pPr>
            <w:r>
              <w:t>大气环境受体敏感重点管控区；</w:t>
            </w:r>
          </w:p>
          <w:p>
            <w:pPr>
              <w:numPr>
                <w:ilvl w:val="0"/>
                <w:numId w:val="5"/>
              </w:numPr>
              <w:spacing w:line="400" w:lineRule="exact"/>
            </w:pPr>
            <w:r>
              <w:t>建设用地重点管控区/一般管控区；重点行业企业重点区域；</w:t>
            </w:r>
          </w:p>
          <w:p>
            <w:pPr>
              <w:numPr>
                <w:ilvl w:val="0"/>
                <w:numId w:val="5"/>
              </w:numPr>
              <w:spacing w:line="400" w:lineRule="exact"/>
            </w:pPr>
            <w:r>
              <w:t>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widowControl/>
              <w:spacing w:line="400" w:lineRule="exact"/>
              <w:jc w:val="center"/>
              <w:rPr>
                <w:b/>
                <w:color w:val="000000"/>
                <w:szCs w:val="21"/>
              </w:rPr>
            </w:pPr>
            <w:r>
              <w:rPr>
                <w:b/>
                <w:color w:val="000000"/>
                <w:szCs w:val="21"/>
              </w:rPr>
              <w:t>管控维度</w:t>
            </w:r>
          </w:p>
        </w:tc>
        <w:tc>
          <w:tcPr>
            <w:tcW w:w="3365" w:type="pct"/>
            <w:gridSpan w:val="9"/>
            <w:vAlign w:val="center"/>
          </w:tcPr>
          <w:p>
            <w:pPr>
              <w:spacing w:line="400" w:lineRule="exact"/>
              <w:jc w:val="center"/>
              <w:rPr>
                <w:b/>
                <w:color w:val="000000"/>
                <w:szCs w:val="21"/>
              </w:rPr>
            </w:pPr>
            <w:r>
              <w:rPr>
                <w:b/>
                <w:color w:val="000000"/>
                <w:kern w:val="0"/>
                <w:szCs w:val="21"/>
              </w:rPr>
              <w:t>管控要求</w:t>
            </w:r>
          </w:p>
        </w:tc>
        <w:tc>
          <w:tcPr>
            <w:tcW w:w="997"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widowControl/>
              <w:spacing w:line="400" w:lineRule="exact"/>
              <w:jc w:val="center"/>
              <w:rPr>
                <w:color w:val="000000"/>
                <w:szCs w:val="21"/>
              </w:rPr>
            </w:pPr>
            <w:r>
              <w:rPr>
                <w:color w:val="000000"/>
                <w:szCs w:val="21"/>
              </w:rPr>
              <w:t>空间布局约束</w:t>
            </w:r>
          </w:p>
        </w:tc>
        <w:tc>
          <w:tcPr>
            <w:tcW w:w="3365" w:type="pct"/>
            <w:gridSpan w:val="9"/>
            <w:vAlign w:val="center"/>
          </w:tcPr>
          <w:p>
            <w:pPr>
              <w:numPr>
                <w:ilvl w:val="1"/>
                <w:numId w:val="6"/>
              </w:numPr>
              <w:tabs>
                <w:tab w:val="left" w:pos="0"/>
                <w:tab w:val="left" w:pos="425"/>
                <w:tab w:val="left" w:pos="1021"/>
              </w:tabs>
              <w:spacing w:line="400" w:lineRule="exact"/>
              <w:jc w:val="left"/>
              <w:rPr>
                <w:color w:val="000000"/>
                <w:szCs w:val="21"/>
              </w:rPr>
            </w:pPr>
            <w:r>
              <w:rPr>
                <w:color w:val="000000"/>
                <w:szCs w:val="21"/>
              </w:rPr>
              <w:t>执行市级空间布局约束相关要求，重点关注饮用水水源保护区/水环境优先保护区/大气环境受体敏感重点管控区。</w:t>
            </w:r>
          </w:p>
          <w:p>
            <w:pPr>
              <w:numPr>
                <w:ilvl w:val="1"/>
                <w:numId w:val="6"/>
              </w:numPr>
              <w:tabs>
                <w:tab w:val="left" w:pos="0"/>
                <w:tab w:val="left" w:pos="425"/>
                <w:tab w:val="left" w:pos="1021"/>
              </w:tabs>
              <w:spacing w:line="400" w:lineRule="exact"/>
              <w:jc w:val="left"/>
              <w:rPr>
                <w:color w:val="000000"/>
                <w:szCs w:val="21"/>
              </w:rPr>
            </w:pPr>
            <w:r>
              <w:rPr>
                <w:color w:val="000000"/>
                <w:szCs w:val="21"/>
              </w:rPr>
              <w:t>严格节能审查源头把关，坚决遏制高耗能高排放低水平项目盲目上马。严格执行国家区域削减和总量控制相关项目准入要求，腾挪发展空间，守牢区域环境质量不恶化底线。</w:t>
            </w:r>
          </w:p>
          <w:p>
            <w:pPr>
              <w:numPr>
                <w:ilvl w:val="1"/>
                <w:numId w:val="6"/>
              </w:numPr>
              <w:tabs>
                <w:tab w:val="left" w:pos="0"/>
                <w:tab w:val="left" w:pos="425"/>
                <w:tab w:val="left" w:pos="1021"/>
              </w:tabs>
              <w:spacing w:line="400" w:lineRule="exact"/>
              <w:jc w:val="left"/>
              <w:rPr>
                <w:color w:val="000000"/>
                <w:szCs w:val="21"/>
              </w:rPr>
            </w:pPr>
            <w:r>
              <w:rPr>
                <w:szCs w:val="21"/>
              </w:rPr>
              <w:t>新、改、扩建涉重项目严格遵循重金属排放“减量替代”或“等量替代”原则。</w:t>
            </w:r>
          </w:p>
        </w:tc>
        <w:tc>
          <w:tcPr>
            <w:tcW w:w="997" w:type="pct"/>
            <w:gridSpan w:val="2"/>
            <w:vMerge w:val="restart"/>
            <w:vAlign w:val="center"/>
          </w:tcPr>
          <w:p>
            <w:pPr>
              <w:overflowPunct w:val="0"/>
              <w:spacing w:line="400" w:lineRule="exact"/>
              <w:rPr>
                <w:szCs w:val="21"/>
              </w:rPr>
            </w:pPr>
            <w:r>
              <w:rPr>
                <w:szCs w:val="21"/>
              </w:rPr>
              <w:t>（1.1）《邵阳市生态环境总体管控要求》</w:t>
            </w:r>
          </w:p>
          <w:p>
            <w:pPr>
              <w:overflowPunct w:val="0"/>
              <w:spacing w:line="400" w:lineRule="exact"/>
              <w:rPr>
                <w:szCs w:val="21"/>
              </w:rPr>
            </w:pPr>
            <w:r>
              <w:rPr>
                <w:szCs w:val="21"/>
              </w:rPr>
              <w:t>（1.2）（1.3）（2.1.1）（2.1.2）（2.1.3）（2.2.2）（2.3.1）（2.3.2）（2.3.3）（2.4）</w:t>
            </w:r>
            <w:r>
              <w:rPr>
                <w:color w:val="000000"/>
                <w:szCs w:val="21"/>
              </w:rPr>
              <w:t>（2.5）</w:t>
            </w:r>
            <w:r>
              <w:rPr>
                <w:szCs w:val="21"/>
              </w:rPr>
              <w:t>（3.1）（3.2）（3.4）《2024年大祥区深入打好污染防治攻坚战工作方案》</w:t>
            </w:r>
          </w:p>
          <w:p>
            <w:pPr>
              <w:tabs>
                <w:tab w:val="left" w:pos="1021"/>
              </w:tabs>
              <w:spacing w:line="400" w:lineRule="exact"/>
              <w:jc w:val="left"/>
              <w:rPr>
                <w:szCs w:val="21"/>
              </w:rPr>
            </w:pPr>
            <w:r>
              <w:rPr>
                <w:szCs w:val="21"/>
              </w:rPr>
              <w:t>（2.2.1）（3.3）</w:t>
            </w:r>
            <w:r>
              <w:rPr>
                <w:color w:val="000000"/>
                <w:szCs w:val="21"/>
              </w:rPr>
              <w:t>（4.1）（4.3）《邵阳市大祥区国民经济和社会发展第十四个五年规划和二〇三五年远景目标纲要》</w:t>
            </w:r>
          </w:p>
          <w:p>
            <w:pPr>
              <w:tabs>
                <w:tab w:val="left" w:pos="1021"/>
              </w:tabs>
              <w:spacing w:line="400" w:lineRule="exact"/>
              <w:jc w:val="left"/>
              <w:rPr>
                <w:szCs w:val="21"/>
              </w:rPr>
            </w:pPr>
            <w:r>
              <w:rPr>
                <w:szCs w:val="21"/>
              </w:rPr>
              <w:t>（2.2.3）《邵阳市人民政府办公室关于印发《邵阳市“十四五”生态环境保护规划》的通知》</w:t>
            </w:r>
          </w:p>
          <w:p>
            <w:pPr>
              <w:spacing w:line="400" w:lineRule="exact"/>
              <w:rPr>
                <w:color w:val="000000" w:themeColor="text1"/>
                <w:szCs w:val="21"/>
                <w14:textFill>
                  <w14:solidFill>
                    <w14:schemeClr w14:val="tx1"/>
                  </w14:solidFill>
                </w14:textFill>
              </w:rPr>
            </w:pPr>
            <w:r>
              <w:rPr>
                <w:szCs w:val="21"/>
              </w:rPr>
              <w:t>（4.2）《邵阳市水利局邵阳市发展和改革委员会关于印发“十四五”用水量和强度双控目标的通知》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widowControl/>
              <w:spacing w:line="400" w:lineRule="exact"/>
              <w:jc w:val="center"/>
              <w:rPr>
                <w:color w:val="000000"/>
                <w:szCs w:val="21"/>
              </w:rPr>
            </w:pPr>
            <w:r>
              <w:rPr>
                <w:color w:val="000000"/>
                <w:szCs w:val="21"/>
              </w:rPr>
              <w:t>污染物排放管控</w:t>
            </w:r>
          </w:p>
        </w:tc>
        <w:tc>
          <w:tcPr>
            <w:tcW w:w="3365" w:type="pct"/>
            <w:gridSpan w:val="9"/>
            <w:vAlign w:val="center"/>
          </w:tcPr>
          <w:p>
            <w:pPr>
              <w:tabs>
                <w:tab w:val="left" w:pos="1021"/>
              </w:tabs>
              <w:spacing w:line="400" w:lineRule="exact"/>
              <w:jc w:val="left"/>
              <w:rPr>
                <w:color w:val="000000"/>
                <w:szCs w:val="21"/>
              </w:rPr>
            </w:pPr>
            <w:r>
              <w:rPr>
                <w:color w:val="000000"/>
                <w:szCs w:val="21"/>
              </w:rPr>
              <w:t>（2.1）废水：</w:t>
            </w:r>
          </w:p>
          <w:p>
            <w:pPr>
              <w:tabs>
                <w:tab w:val="left" w:pos="1021"/>
              </w:tabs>
              <w:spacing w:line="400" w:lineRule="exact"/>
              <w:ind w:firstLine="420" w:firstLineChars="200"/>
              <w:jc w:val="left"/>
              <w:rPr>
                <w:szCs w:val="21"/>
              </w:rPr>
            </w:pPr>
            <w:r>
              <w:rPr>
                <w:color w:val="000000"/>
                <w:szCs w:val="21"/>
              </w:rPr>
              <w:t>（2.1.1）</w:t>
            </w:r>
            <w:r>
              <w:rPr>
                <w:szCs w:val="21"/>
              </w:rPr>
              <w:t>加强生活污水处理设施建设，推进城市污水管网建设改造，推进污水收集管网排查整治。提高城区公共基础设施、居民小区排水雨污分流比例，提升污水收集处理率，至“十四五”末期使城区污水处理率达到98%；</w:t>
            </w:r>
          </w:p>
          <w:p>
            <w:pPr>
              <w:tabs>
                <w:tab w:val="left" w:pos="1021"/>
              </w:tabs>
              <w:spacing w:line="400" w:lineRule="exact"/>
              <w:ind w:firstLine="420" w:firstLineChars="200"/>
              <w:jc w:val="left"/>
              <w:rPr>
                <w:szCs w:val="21"/>
              </w:rPr>
            </w:pPr>
            <w:r>
              <w:rPr>
                <w:szCs w:val="21"/>
              </w:rPr>
              <w:t>（2.1.2）加强医疗废水废物处置，确保医疗废水全收集全处置。</w:t>
            </w:r>
          </w:p>
          <w:p>
            <w:pPr>
              <w:tabs>
                <w:tab w:val="left" w:pos="1021"/>
              </w:tabs>
              <w:spacing w:line="400" w:lineRule="exact"/>
              <w:ind w:firstLine="420" w:firstLineChars="200"/>
              <w:jc w:val="left"/>
              <w:rPr>
                <w:szCs w:val="21"/>
              </w:rPr>
            </w:pPr>
            <w:r>
              <w:rPr>
                <w:szCs w:val="21"/>
              </w:rPr>
              <w:t>（2.1.3）严格落实《湖南省城市生活污水管网建设管理若干规定》，系统推进城市黑臭水体治理。</w:t>
            </w:r>
          </w:p>
          <w:p>
            <w:pPr>
              <w:tabs>
                <w:tab w:val="left" w:pos="1021"/>
              </w:tabs>
              <w:spacing w:line="400" w:lineRule="exact"/>
              <w:jc w:val="left"/>
              <w:rPr>
                <w:szCs w:val="21"/>
              </w:rPr>
            </w:pPr>
            <w:r>
              <w:rPr>
                <w:szCs w:val="21"/>
              </w:rPr>
              <w:t>（2.2）废气：</w:t>
            </w:r>
          </w:p>
          <w:p>
            <w:pPr>
              <w:tabs>
                <w:tab w:val="left" w:pos="1021"/>
              </w:tabs>
              <w:spacing w:line="400" w:lineRule="exact"/>
              <w:ind w:firstLine="420" w:firstLineChars="200"/>
              <w:jc w:val="left"/>
              <w:rPr>
                <w:szCs w:val="21"/>
              </w:rPr>
            </w:pPr>
            <w:r>
              <w:rPr>
                <w:color w:val="000000"/>
                <w:szCs w:val="21"/>
              </w:rPr>
              <w:t>（</w:t>
            </w:r>
            <w:r>
              <w:rPr>
                <w:szCs w:val="21"/>
              </w:rPr>
              <w:t>2.2.1）加强大气污染防治，基本消除重污染天气，推进空气质量全面达标。</w:t>
            </w:r>
          </w:p>
          <w:p>
            <w:pPr>
              <w:tabs>
                <w:tab w:val="left" w:pos="1021"/>
              </w:tabs>
              <w:spacing w:line="400" w:lineRule="exact"/>
              <w:ind w:firstLine="420" w:firstLineChars="200"/>
              <w:jc w:val="left"/>
              <w:rPr>
                <w:szCs w:val="21"/>
              </w:rPr>
            </w:pPr>
            <w:r>
              <w:rPr>
                <w:szCs w:val="21"/>
              </w:rPr>
              <w:t>（2.2.2）以建材、工业涂装等行业企业为重点推进NOx和VOCs深度减排。加大低VOCs原辅材料替代力度，加大监督检查力度，持续开展VOCs治理突出问题排查。</w:t>
            </w:r>
          </w:p>
          <w:p>
            <w:pPr>
              <w:tabs>
                <w:tab w:val="left" w:pos="1021"/>
              </w:tabs>
              <w:spacing w:line="400" w:lineRule="exact"/>
              <w:ind w:firstLine="420" w:firstLineChars="200"/>
              <w:jc w:val="left"/>
            </w:pPr>
            <w:r>
              <w:rPr>
                <w:szCs w:val="21"/>
              </w:rPr>
              <w:t>（2.2.3）加强扬尘污染治理。城市建成区内房屋建筑和市政基础设施工程施工工地严格落实扬尘防控"六个100%”</w:t>
            </w:r>
          </w:p>
          <w:p>
            <w:pPr>
              <w:tabs>
                <w:tab w:val="left" w:pos="1021"/>
              </w:tabs>
              <w:spacing w:line="400" w:lineRule="exact"/>
              <w:jc w:val="left"/>
              <w:rPr>
                <w:color w:val="000000"/>
                <w:szCs w:val="21"/>
              </w:rPr>
            </w:pPr>
            <w:r>
              <w:rPr>
                <w:color w:val="000000"/>
                <w:szCs w:val="21"/>
              </w:rPr>
              <w:t>（2.3）固体废物：</w:t>
            </w:r>
          </w:p>
          <w:p>
            <w:pPr>
              <w:tabs>
                <w:tab w:val="left" w:pos="1021"/>
              </w:tabs>
              <w:spacing w:line="400" w:lineRule="exact"/>
              <w:ind w:firstLine="420" w:firstLineChars="200"/>
              <w:jc w:val="left"/>
              <w:rPr>
                <w:szCs w:val="21"/>
              </w:rPr>
            </w:pPr>
            <w:r>
              <w:rPr>
                <w:szCs w:val="21"/>
              </w:rPr>
              <w:t>（2.3.1）加强生活垃圾处理设施建设。持续推进生活垃圾填埋场整治，建立动态管控机制。</w:t>
            </w:r>
          </w:p>
          <w:p>
            <w:pPr>
              <w:tabs>
                <w:tab w:val="left" w:pos="1021"/>
              </w:tabs>
              <w:spacing w:line="400" w:lineRule="exact"/>
              <w:ind w:firstLine="420" w:firstLineChars="200"/>
              <w:jc w:val="left"/>
              <w:rPr>
                <w:szCs w:val="21"/>
              </w:rPr>
            </w:pPr>
            <w:r>
              <w:rPr>
                <w:szCs w:val="21"/>
              </w:rPr>
              <w:t>（2.3.2）积极实施农业面源污染整县推进项目，深入推进化肥农药减量增效，依法落实化肥使用总量控制，统筹推进农膜秸秆回收利用，2024年全区农膜回收率和秸秆综合利用率分别达到83%以上和86%以上。</w:t>
            </w:r>
          </w:p>
          <w:p>
            <w:pPr>
              <w:tabs>
                <w:tab w:val="left" w:pos="1021"/>
              </w:tabs>
              <w:spacing w:line="400" w:lineRule="exact"/>
              <w:ind w:firstLine="420" w:firstLineChars="200"/>
              <w:jc w:val="left"/>
              <w:rPr>
                <w:szCs w:val="21"/>
              </w:rPr>
            </w:pPr>
            <w:r>
              <w:rPr>
                <w:szCs w:val="21"/>
              </w:rPr>
              <w:t>（2.3.3）推进以种养结合为重点的畜禽养殖废弃物资源利用，推进养殖尾水节水减排。</w:t>
            </w:r>
          </w:p>
          <w:p>
            <w:pPr>
              <w:tabs>
                <w:tab w:val="left" w:pos="1021"/>
              </w:tabs>
              <w:spacing w:line="400" w:lineRule="exact"/>
              <w:jc w:val="left"/>
              <w:rPr>
                <w:szCs w:val="21"/>
              </w:rPr>
            </w:pPr>
            <w:r>
              <w:rPr>
                <w:color w:val="000000"/>
                <w:szCs w:val="21"/>
              </w:rPr>
              <w:t>（2.4</w:t>
            </w:r>
            <w:r>
              <w:rPr>
                <w:szCs w:val="21"/>
              </w:rPr>
              <w:t>）加强矿山保护修复，继续推进绿色矿山建设，统筹开展全区废弃矿山生态修复工作，完成17.13公顷的历史遗留矿山修复任务。</w:t>
            </w:r>
          </w:p>
          <w:p>
            <w:pPr>
              <w:tabs>
                <w:tab w:val="left" w:pos="1021"/>
              </w:tabs>
              <w:spacing w:line="400" w:lineRule="exact"/>
              <w:jc w:val="left"/>
              <w:rPr>
                <w:color w:val="000000"/>
                <w:szCs w:val="21"/>
              </w:rPr>
            </w:pPr>
            <w:r>
              <w:rPr>
                <w:szCs w:val="21"/>
              </w:rPr>
              <w:t>（2.5）加强“一废一品一库一重”环境风险监管，开展废矿物油、废铅蓄电池、实验室废物等专项治理行动。</w:t>
            </w:r>
          </w:p>
        </w:tc>
        <w:tc>
          <w:tcPr>
            <w:tcW w:w="997"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widowControl/>
              <w:spacing w:line="400" w:lineRule="exact"/>
              <w:jc w:val="center"/>
              <w:rPr>
                <w:color w:val="000000"/>
                <w:szCs w:val="21"/>
              </w:rPr>
            </w:pPr>
            <w:r>
              <w:rPr>
                <w:color w:val="000000"/>
                <w:szCs w:val="21"/>
              </w:rPr>
              <w:t>环境风险防控</w:t>
            </w:r>
          </w:p>
        </w:tc>
        <w:tc>
          <w:tcPr>
            <w:tcW w:w="3365" w:type="pct"/>
            <w:gridSpan w:val="9"/>
            <w:vAlign w:val="center"/>
          </w:tcPr>
          <w:p>
            <w:pPr>
              <w:pStyle w:val="8"/>
              <w:numPr>
                <w:ilvl w:val="1"/>
                <w:numId w:val="0"/>
              </w:numPr>
              <w:shd w:val="clear" w:color="auto" w:fill="FFFFFF"/>
              <w:spacing w:before="0" w:beforeAutospacing="0" w:after="0" w:afterAutospacing="0" w:line="400" w:lineRule="exact"/>
              <w:jc w:val="both"/>
              <w:rPr>
                <w:rFonts w:ascii="Times New Roman" w:hAnsi="Times New Roman" w:cs="Times New Roman"/>
                <w:strike/>
                <w:szCs w:val="21"/>
              </w:rPr>
            </w:pPr>
            <w:r>
              <w:rPr>
                <w:rFonts w:ascii="Times New Roman" w:hAnsi="Times New Roman" w:cs="Times New Roman"/>
                <w:kern w:val="2"/>
                <w:sz w:val="21"/>
                <w:szCs w:val="21"/>
              </w:rPr>
              <w:t>（3.1）有效管控建设用地土壤污染风险，持续开展重点行业企业用地调查和典型行业周边土壤环境调查，进一步摸清污染地块底数和污染成因。严格土壤污染重点监管单位和沿江化工企业搬迁腾退用地土壤污染风险管控。</w:t>
            </w:r>
          </w:p>
          <w:p>
            <w:pPr>
              <w:tabs>
                <w:tab w:val="left" w:pos="1021"/>
              </w:tabs>
              <w:spacing w:line="400" w:lineRule="exact"/>
              <w:jc w:val="left"/>
              <w:rPr>
                <w:szCs w:val="21"/>
              </w:rPr>
            </w:pPr>
            <w:r>
              <w:rPr>
                <w:szCs w:val="21"/>
              </w:rPr>
              <w:t>（3.2）推进农用地土壤污染防治和安全利用，严格涉镉等重金属行业大气、水污染物排放管控，全面排查整治涉镉等重金属关停企业及矿区历史遗留固体废物。</w:t>
            </w:r>
          </w:p>
          <w:p>
            <w:pPr>
              <w:tabs>
                <w:tab w:val="left" w:pos="1021"/>
              </w:tabs>
              <w:spacing w:line="400" w:lineRule="exact"/>
              <w:jc w:val="left"/>
              <w:rPr>
                <w:szCs w:val="21"/>
              </w:rPr>
            </w:pPr>
            <w:r>
              <w:rPr>
                <w:szCs w:val="21"/>
              </w:rPr>
              <w:t>（3.3）</w:t>
            </w:r>
            <w:r>
              <w:rPr>
                <w:color w:val="000000"/>
                <w:szCs w:val="21"/>
              </w:rPr>
              <w:t>指导各乡镇街道开展受污染耕地土壤重金属成因排查，督促开展污染源头风险管控，严格分类管理，建立管理清单，确保受污染耕地安全利用率达到91%。</w:t>
            </w:r>
          </w:p>
          <w:p>
            <w:pPr>
              <w:tabs>
                <w:tab w:val="left" w:pos="1021"/>
              </w:tabs>
              <w:spacing w:line="400" w:lineRule="exact"/>
              <w:jc w:val="left"/>
              <w:rPr>
                <w:color w:val="000000"/>
                <w:szCs w:val="21"/>
              </w:rPr>
            </w:pPr>
            <w:r>
              <w:rPr>
                <w:szCs w:val="21"/>
              </w:rPr>
              <w:t>（3.4）开展集中式饮用水水源地突出环境问题排查整治“回头看”，巩固前期规范化建设和突出环境问题整治成效。持续推进集中式水源地基础信息调查和保护区勘界定标。推进饮用水水源地水质持续提升。</w:t>
            </w:r>
          </w:p>
        </w:tc>
        <w:tc>
          <w:tcPr>
            <w:tcW w:w="997"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widowControl/>
              <w:spacing w:line="400" w:lineRule="exact"/>
              <w:jc w:val="center"/>
              <w:rPr>
                <w:color w:val="000000"/>
                <w:szCs w:val="21"/>
              </w:rPr>
            </w:pPr>
            <w:r>
              <w:rPr>
                <w:color w:val="000000"/>
                <w:szCs w:val="21"/>
              </w:rPr>
              <w:t>资源开发效率要求</w:t>
            </w:r>
          </w:p>
        </w:tc>
        <w:tc>
          <w:tcPr>
            <w:tcW w:w="3365" w:type="pct"/>
            <w:gridSpan w:val="9"/>
            <w:vAlign w:val="center"/>
          </w:tcPr>
          <w:p>
            <w:pPr>
              <w:tabs>
                <w:tab w:val="left" w:pos="1021"/>
              </w:tabs>
              <w:spacing w:line="400" w:lineRule="exact"/>
              <w:jc w:val="left"/>
              <w:rPr>
                <w:szCs w:val="21"/>
              </w:rPr>
            </w:pPr>
            <w:r>
              <w:rPr>
                <w:color w:val="000000"/>
                <w:szCs w:val="21"/>
              </w:rPr>
              <w:t>（</w:t>
            </w:r>
            <w:r>
              <w:rPr>
                <w:szCs w:val="21"/>
              </w:rPr>
              <w:t>4.1）能源：以国家能源战略调整为契机，加快太阳能、生物质能等可再生能源的利用，形成安全、稳定、清洁、高效的能源保障体系。</w:t>
            </w:r>
          </w:p>
          <w:p>
            <w:pPr>
              <w:tabs>
                <w:tab w:val="left" w:pos="1021"/>
              </w:tabs>
              <w:spacing w:line="400" w:lineRule="exact"/>
              <w:jc w:val="left"/>
              <w:rPr>
                <w:szCs w:val="21"/>
              </w:rPr>
            </w:pPr>
            <w:r>
              <w:rPr>
                <w:szCs w:val="21"/>
              </w:rPr>
              <w:t>（4.2）水资源：到2025年，大祥区用水总量1.174亿立方米，万元地区生产总值用水量比2020年下降22.78%，万元工业增加值用水量比2020年下降14.13%，农田灌溉水有效利用系数0.575。</w:t>
            </w:r>
          </w:p>
          <w:p>
            <w:pPr>
              <w:tabs>
                <w:tab w:val="left" w:pos="1021"/>
              </w:tabs>
              <w:spacing w:line="400" w:lineRule="exact"/>
              <w:jc w:val="left"/>
            </w:pPr>
            <w:r>
              <w:rPr>
                <w:szCs w:val="21"/>
              </w:rPr>
              <w:t>（4.3）土地资源：确保全市耕地保有量不低于39.5万公顷，永久基本农田保护面积不低于34.3万公</w:t>
            </w:r>
            <w:r>
              <w:rPr>
                <w:color w:val="000000"/>
                <w:szCs w:val="21"/>
              </w:rPr>
              <w:t>顷。</w:t>
            </w:r>
          </w:p>
        </w:tc>
        <w:tc>
          <w:tcPr>
            <w:tcW w:w="997" w:type="pct"/>
            <w:gridSpan w:val="2"/>
            <w:vMerge w:val="continue"/>
            <w:vAlign w:val="center"/>
          </w:tcPr>
          <w:p>
            <w:pPr>
              <w:spacing w:line="400" w:lineRule="exact"/>
            </w:pPr>
          </w:p>
        </w:tc>
      </w:tr>
    </w:tbl>
    <w:p>
      <w:pPr>
        <w:spacing w:line="400" w:lineRule="exact"/>
        <w:rPr>
          <w:color w:val="000000"/>
        </w:rPr>
      </w:pPr>
    </w:p>
    <w:p>
      <w:pPr>
        <w:rPr>
          <w:color w:val="000000"/>
        </w:rPr>
      </w:pPr>
    </w:p>
    <w:p>
      <w:pPr>
        <w:rPr>
          <w:color w:val="000000"/>
        </w:rPr>
      </w:pPr>
      <w:r>
        <w:rPr>
          <w:color w:val="000000"/>
        </w:rPr>
        <w:br w:type="page"/>
      </w:r>
    </w:p>
    <w:tbl>
      <w:tblPr>
        <w:tblStyle w:val="10"/>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126"/>
        <w:gridCol w:w="427"/>
        <w:gridCol w:w="427"/>
        <w:gridCol w:w="441"/>
        <w:gridCol w:w="586"/>
        <w:gridCol w:w="1587"/>
        <w:gridCol w:w="770"/>
        <w:gridCol w:w="1308"/>
        <w:gridCol w:w="2624"/>
        <w:gridCol w:w="809"/>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Merge w:val="restart"/>
            <w:vAlign w:val="center"/>
          </w:tcPr>
          <w:p>
            <w:pPr>
              <w:widowControl/>
              <w:jc w:val="center"/>
              <w:rPr>
                <w:b/>
                <w:color w:val="000000"/>
                <w:kern w:val="0"/>
                <w:szCs w:val="21"/>
              </w:rPr>
            </w:pPr>
            <w:r>
              <w:rPr>
                <w:b/>
                <w:color w:val="000000"/>
                <w:kern w:val="0"/>
                <w:szCs w:val="21"/>
              </w:rPr>
              <w:t>环境管控单元编码</w:t>
            </w:r>
          </w:p>
        </w:tc>
        <w:tc>
          <w:tcPr>
            <w:tcW w:w="404" w:type="pct"/>
            <w:vMerge w:val="restart"/>
            <w:vAlign w:val="center"/>
          </w:tcPr>
          <w:p>
            <w:pPr>
              <w:widowControl/>
              <w:jc w:val="center"/>
              <w:rPr>
                <w:b/>
                <w:color w:val="000000"/>
                <w:kern w:val="0"/>
                <w:szCs w:val="21"/>
              </w:rPr>
            </w:pPr>
            <w:r>
              <w:rPr>
                <w:b/>
                <w:color w:val="000000"/>
                <w:kern w:val="0"/>
                <w:szCs w:val="21"/>
              </w:rPr>
              <w:t>单元名称</w:t>
            </w:r>
          </w:p>
        </w:tc>
        <w:tc>
          <w:tcPr>
            <w:tcW w:w="464" w:type="pct"/>
            <w:gridSpan w:val="3"/>
            <w:vAlign w:val="center"/>
          </w:tcPr>
          <w:p>
            <w:pPr>
              <w:widowControl/>
              <w:jc w:val="center"/>
              <w:rPr>
                <w:b/>
                <w:color w:val="000000"/>
                <w:kern w:val="0"/>
                <w:szCs w:val="21"/>
              </w:rPr>
            </w:pPr>
            <w:r>
              <w:rPr>
                <w:b/>
                <w:color w:val="000000"/>
                <w:kern w:val="0"/>
                <w:szCs w:val="21"/>
              </w:rPr>
              <w:t>行政区划</w:t>
            </w:r>
          </w:p>
        </w:tc>
        <w:tc>
          <w:tcPr>
            <w:tcW w:w="210" w:type="pct"/>
            <w:vMerge w:val="restart"/>
            <w:vAlign w:val="center"/>
          </w:tcPr>
          <w:p>
            <w:pPr>
              <w:widowControl/>
              <w:jc w:val="center"/>
              <w:rPr>
                <w:b/>
                <w:color w:val="000000"/>
                <w:kern w:val="0"/>
                <w:szCs w:val="21"/>
              </w:rPr>
            </w:pPr>
            <w:r>
              <w:rPr>
                <w:b/>
                <w:color w:val="000000"/>
                <w:kern w:val="0"/>
                <w:szCs w:val="21"/>
              </w:rPr>
              <w:t>单元分类</w:t>
            </w:r>
          </w:p>
        </w:tc>
        <w:tc>
          <w:tcPr>
            <w:tcW w:w="569"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276" w:type="pct"/>
            <w:vMerge w:val="restart"/>
            <w:vAlign w:val="center"/>
          </w:tcPr>
          <w:p>
            <w:pPr>
              <w:jc w:val="center"/>
              <w:rPr>
                <w:b/>
                <w:color w:val="000000"/>
                <w:kern w:val="0"/>
                <w:szCs w:val="21"/>
              </w:rPr>
            </w:pPr>
            <w:r>
              <w:rPr>
                <w:b/>
                <w:color w:val="000000"/>
                <w:kern w:val="0"/>
                <w:szCs w:val="21"/>
              </w:rPr>
              <w:t>涉及乡镇(街道)</w:t>
            </w:r>
          </w:p>
        </w:tc>
        <w:tc>
          <w:tcPr>
            <w:tcW w:w="469" w:type="pct"/>
            <w:vMerge w:val="restart"/>
            <w:vAlign w:val="center"/>
          </w:tcPr>
          <w:p>
            <w:pPr>
              <w:jc w:val="center"/>
              <w:rPr>
                <w:b/>
                <w:color w:val="000000"/>
                <w:kern w:val="0"/>
                <w:szCs w:val="21"/>
              </w:rPr>
            </w:pPr>
            <w:r>
              <w:rPr>
                <w:b/>
                <w:color w:val="000000"/>
                <w:kern w:val="0"/>
                <w:szCs w:val="21"/>
              </w:rPr>
              <w:t>主体功能定位</w:t>
            </w:r>
          </w:p>
        </w:tc>
        <w:tc>
          <w:tcPr>
            <w:tcW w:w="1231" w:type="pct"/>
            <w:gridSpan w:val="2"/>
            <w:vMerge w:val="restart"/>
            <w:vAlign w:val="center"/>
          </w:tcPr>
          <w:p>
            <w:pPr>
              <w:jc w:val="center"/>
              <w:rPr>
                <w:b/>
                <w:color w:val="000000"/>
                <w:kern w:val="0"/>
                <w:szCs w:val="21"/>
              </w:rPr>
            </w:pPr>
            <w:r>
              <w:rPr>
                <w:b/>
                <w:color w:val="000000"/>
                <w:kern w:val="0"/>
                <w:szCs w:val="21"/>
              </w:rPr>
              <w:t>经济产业布局</w:t>
            </w:r>
          </w:p>
        </w:tc>
        <w:tc>
          <w:tcPr>
            <w:tcW w:w="748" w:type="pct"/>
            <w:vMerge w:val="restart"/>
            <w:vAlign w:val="center"/>
          </w:tcPr>
          <w:p>
            <w:pPr>
              <w:jc w:val="center"/>
              <w:rPr>
                <w:b/>
                <w:color w:val="000000"/>
                <w:kern w:val="0"/>
                <w:szCs w:val="21"/>
              </w:rPr>
            </w:pPr>
            <w:r>
              <w:rPr>
                <w:b/>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6" w:type="pct"/>
            <w:vMerge w:val="continue"/>
            <w:vAlign w:val="center"/>
          </w:tcPr>
          <w:p/>
        </w:tc>
        <w:tc>
          <w:tcPr>
            <w:tcW w:w="404" w:type="pct"/>
            <w:vMerge w:val="continue"/>
            <w:vAlign w:val="center"/>
          </w:tcPr>
          <w:p/>
        </w:tc>
        <w:tc>
          <w:tcPr>
            <w:tcW w:w="153" w:type="pct"/>
            <w:vAlign w:val="center"/>
          </w:tcPr>
          <w:p>
            <w:pPr>
              <w:jc w:val="center"/>
              <w:rPr>
                <w:b/>
                <w:color w:val="000000"/>
                <w:szCs w:val="21"/>
              </w:rPr>
            </w:pPr>
            <w:r>
              <w:rPr>
                <w:b/>
                <w:color w:val="000000"/>
                <w:szCs w:val="21"/>
              </w:rPr>
              <w:t>省</w:t>
            </w:r>
          </w:p>
        </w:tc>
        <w:tc>
          <w:tcPr>
            <w:tcW w:w="153" w:type="pct"/>
            <w:vAlign w:val="center"/>
          </w:tcPr>
          <w:p>
            <w:pPr>
              <w:jc w:val="center"/>
              <w:rPr>
                <w:b/>
                <w:color w:val="000000"/>
                <w:szCs w:val="21"/>
              </w:rPr>
            </w:pPr>
            <w:r>
              <w:rPr>
                <w:b/>
                <w:color w:val="000000"/>
                <w:szCs w:val="21"/>
              </w:rPr>
              <w:t>市</w:t>
            </w:r>
          </w:p>
        </w:tc>
        <w:tc>
          <w:tcPr>
            <w:tcW w:w="158" w:type="pct"/>
            <w:vAlign w:val="center"/>
          </w:tcPr>
          <w:p>
            <w:pPr>
              <w:jc w:val="center"/>
              <w:rPr>
                <w:b/>
                <w:color w:val="000000"/>
                <w:szCs w:val="21"/>
              </w:rPr>
            </w:pPr>
            <w:r>
              <w:rPr>
                <w:b/>
                <w:color w:val="000000"/>
                <w:szCs w:val="21"/>
              </w:rPr>
              <w:t>县</w:t>
            </w:r>
          </w:p>
        </w:tc>
        <w:tc>
          <w:tcPr>
            <w:tcW w:w="210" w:type="pct"/>
            <w:vMerge w:val="continue"/>
            <w:vAlign w:val="center"/>
          </w:tcPr>
          <w:p/>
        </w:tc>
        <w:tc>
          <w:tcPr>
            <w:tcW w:w="569" w:type="pct"/>
            <w:vMerge w:val="continue"/>
            <w:vAlign w:val="center"/>
          </w:tcPr>
          <w:p/>
        </w:tc>
        <w:tc>
          <w:tcPr>
            <w:tcW w:w="276" w:type="pct"/>
            <w:vMerge w:val="continue"/>
            <w:vAlign w:val="center"/>
          </w:tcPr>
          <w:p/>
        </w:tc>
        <w:tc>
          <w:tcPr>
            <w:tcW w:w="469" w:type="pct"/>
            <w:vMerge w:val="continue"/>
            <w:vAlign w:val="center"/>
          </w:tcPr>
          <w:p/>
        </w:tc>
        <w:tc>
          <w:tcPr>
            <w:tcW w:w="1231" w:type="pct"/>
            <w:gridSpan w:val="2"/>
            <w:vMerge w:val="continue"/>
            <w:vAlign w:val="center"/>
          </w:tcPr>
          <w:p/>
        </w:tc>
        <w:tc>
          <w:tcPr>
            <w:tcW w:w="748"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Align w:val="center"/>
          </w:tcPr>
          <w:p>
            <w:pPr>
              <w:widowControl/>
              <w:jc w:val="center"/>
              <w:rPr>
                <w:color w:val="000000"/>
                <w:kern w:val="0"/>
                <w:szCs w:val="21"/>
              </w:rPr>
            </w:pPr>
            <w:r>
              <w:rPr>
                <w:color w:val="000000"/>
                <w:kern w:val="0"/>
                <w:szCs w:val="21"/>
              </w:rPr>
              <w:t>ZH43050330001</w:t>
            </w:r>
          </w:p>
        </w:tc>
        <w:tc>
          <w:tcPr>
            <w:tcW w:w="404" w:type="pct"/>
            <w:vAlign w:val="center"/>
          </w:tcPr>
          <w:p>
            <w:pPr>
              <w:widowControl/>
              <w:jc w:val="center"/>
              <w:rPr>
                <w:color w:val="000000"/>
                <w:kern w:val="0"/>
                <w:szCs w:val="21"/>
              </w:rPr>
            </w:pPr>
            <w:r>
              <w:rPr>
                <w:color w:val="000000"/>
                <w:szCs w:val="21"/>
              </w:rPr>
              <w:t>罗市镇\檀江街道</w:t>
            </w:r>
          </w:p>
        </w:tc>
        <w:tc>
          <w:tcPr>
            <w:tcW w:w="153" w:type="pct"/>
            <w:vAlign w:val="center"/>
          </w:tcPr>
          <w:p>
            <w:pPr>
              <w:widowControl/>
              <w:jc w:val="center"/>
              <w:rPr>
                <w:color w:val="000000"/>
                <w:kern w:val="0"/>
                <w:szCs w:val="21"/>
              </w:rPr>
            </w:pPr>
            <w:r>
              <w:rPr>
                <w:color w:val="000000"/>
                <w:kern w:val="0"/>
                <w:szCs w:val="21"/>
              </w:rPr>
              <w:t>湖南省</w:t>
            </w:r>
          </w:p>
        </w:tc>
        <w:tc>
          <w:tcPr>
            <w:tcW w:w="153" w:type="pct"/>
            <w:vAlign w:val="center"/>
          </w:tcPr>
          <w:p>
            <w:pPr>
              <w:widowControl/>
              <w:jc w:val="center"/>
              <w:rPr>
                <w:color w:val="000000"/>
                <w:kern w:val="0"/>
                <w:szCs w:val="21"/>
              </w:rPr>
            </w:pPr>
            <w:r>
              <w:rPr>
                <w:color w:val="000000"/>
                <w:kern w:val="0"/>
                <w:szCs w:val="21"/>
              </w:rPr>
              <w:t>邵阳市</w:t>
            </w:r>
          </w:p>
        </w:tc>
        <w:tc>
          <w:tcPr>
            <w:tcW w:w="158" w:type="pct"/>
            <w:vAlign w:val="center"/>
          </w:tcPr>
          <w:p>
            <w:pPr>
              <w:widowControl/>
              <w:jc w:val="center"/>
              <w:rPr>
                <w:color w:val="000000"/>
                <w:kern w:val="0"/>
                <w:szCs w:val="21"/>
              </w:rPr>
            </w:pPr>
            <w:r>
              <w:rPr>
                <w:color w:val="000000"/>
                <w:kern w:val="0"/>
                <w:szCs w:val="21"/>
              </w:rPr>
              <w:t>大祥区</w:t>
            </w:r>
          </w:p>
        </w:tc>
        <w:tc>
          <w:tcPr>
            <w:tcW w:w="210" w:type="pct"/>
            <w:vAlign w:val="center"/>
          </w:tcPr>
          <w:p>
            <w:pPr>
              <w:widowControl/>
              <w:jc w:val="center"/>
              <w:rPr>
                <w:color w:val="000000"/>
                <w:kern w:val="0"/>
                <w:szCs w:val="21"/>
              </w:rPr>
            </w:pPr>
            <w:r>
              <w:rPr>
                <w:color w:val="000000"/>
                <w:kern w:val="0"/>
                <w:szCs w:val="21"/>
              </w:rPr>
              <w:t>一般管控单元</w:t>
            </w:r>
          </w:p>
        </w:tc>
        <w:tc>
          <w:tcPr>
            <w:tcW w:w="569" w:type="pct"/>
            <w:vAlign w:val="center"/>
          </w:tcPr>
          <w:p>
            <w:pPr>
              <w:widowControl/>
              <w:jc w:val="center"/>
              <w:rPr>
                <w:color w:val="000000"/>
                <w:kern w:val="0"/>
                <w:szCs w:val="21"/>
              </w:rPr>
            </w:pPr>
            <w:r>
              <w:rPr>
                <w:color w:val="000000"/>
                <w:kern w:val="0"/>
                <w:szCs w:val="21"/>
              </w:rPr>
              <w:t>65.54</w:t>
            </w:r>
          </w:p>
        </w:tc>
        <w:tc>
          <w:tcPr>
            <w:tcW w:w="276" w:type="pct"/>
            <w:vAlign w:val="center"/>
          </w:tcPr>
          <w:p>
            <w:pPr>
              <w:jc w:val="center"/>
              <w:rPr>
                <w:color w:val="000000"/>
                <w:szCs w:val="21"/>
              </w:rPr>
            </w:pPr>
            <w:r>
              <w:rPr>
                <w:color w:val="000000"/>
                <w:szCs w:val="21"/>
              </w:rPr>
              <w:t>罗市镇\檀江街道</w:t>
            </w:r>
          </w:p>
        </w:tc>
        <w:tc>
          <w:tcPr>
            <w:tcW w:w="469" w:type="pct"/>
            <w:vAlign w:val="center"/>
          </w:tcPr>
          <w:p>
            <w:pPr>
              <w:jc w:val="center"/>
              <w:rPr>
                <w:color w:val="000000"/>
                <w:szCs w:val="21"/>
              </w:rPr>
            </w:pPr>
            <w:r>
              <w:rPr>
                <w:color w:val="000000"/>
                <w:szCs w:val="21"/>
              </w:rPr>
              <w:t>农产品主产区</w:t>
            </w:r>
          </w:p>
        </w:tc>
        <w:tc>
          <w:tcPr>
            <w:tcW w:w="1231" w:type="pct"/>
            <w:gridSpan w:val="2"/>
            <w:vAlign w:val="center"/>
          </w:tcPr>
          <w:p>
            <w:pPr>
              <w:widowControl/>
              <w:jc w:val="left"/>
              <w:rPr>
                <w:color w:val="000000"/>
                <w:kern w:val="0"/>
                <w:szCs w:val="21"/>
              </w:rPr>
            </w:pPr>
            <w:r>
              <w:rPr>
                <w:color w:val="000000"/>
                <w:kern w:val="0"/>
                <w:szCs w:val="21"/>
              </w:rPr>
              <w:t>农业种植、农产品加工、木材加工、畜禽养殖、水产养殖、商贸物流、印刷、造纸、轻工、建材和非金属矿山开采、旅游、石材加工</w:t>
            </w:r>
          </w:p>
        </w:tc>
        <w:tc>
          <w:tcPr>
            <w:tcW w:w="748" w:type="pct"/>
            <w:vAlign w:val="center"/>
          </w:tcPr>
          <w:p>
            <w:pPr>
              <w:widowControl/>
              <w:rPr>
                <w:b/>
                <w:bCs/>
                <w:color w:val="000000"/>
                <w:kern w:val="0"/>
                <w:szCs w:val="21"/>
              </w:rPr>
            </w:pPr>
            <w:r>
              <w:rPr>
                <w:b/>
                <w:bCs/>
                <w:color w:val="000000"/>
                <w:kern w:val="0"/>
                <w:szCs w:val="21"/>
              </w:rPr>
              <w:t>主要环境问题：</w:t>
            </w:r>
          </w:p>
          <w:p>
            <w:pPr>
              <w:widowControl/>
              <w:rPr>
                <w:color w:val="000000"/>
                <w:kern w:val="0"/>
                <w:szCs w:val="21"/>
              </w:rPr>
            </w:pPr>
            <w:r>
              <w:rPr>
                <w:color w:val="000000"/>
                <w:kern w:val="0"/>
                <w:szCs w:val="21"/>
              </w:rPr>
              <w:t>畜禽养殖固废处理设施不完善；</w:t>
            </w:r>
          </w:p>
          <w:p>
            <w:pPr>
              <w:widowControl/>
              <w:rPr>
                <w:color w:val="000000"/>
                <w:kern w:val="0"/>
                <w:szCs w:val="21"/>
              </w:rPr>
            </w:pPr>
            <w:r>
              <w:rPr>
                <w:b/>
                <w:bCs/>
                <w:color w:val="000000"/>
                <w:kern w:val="0"/>
                <w:szCs w:val="21"/>
              </w:rPr>
              <w:t>重要敏感区：</w:t>
            </w:r>
            <w:r>
              <w:rPr>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Align w:val="center"/>
          </w:tcPr>
          <w:p>
            <w:pPr>
              <w:widowControl/>
              <w:spacing w:line="440" w:lineRule="exact"/>
              <w:jc w:val="center"/>
              <w:rPr>
                <w:b/>
                <w:color w:val="000000"/>
                <w:kern w:val="0"/>
                <w:szCs w:val="21"/>
              </w:rPr>
            </w:pPr>
            <w:r>
              <w:rPr>
                <w:b/>
                <w:color w:val="000000"/>
                <w:kern w:val="0"/>
                <w:szCs w:val="21"/>
              </w:rPr>
              <w:t>主要属性</w:t>
            </w:r>
          </w:p>
        </w:tc>
        <w:tc>
          <w:tcPr>
            <w:tcW w:w="4373" w:type="pct"/>
            <w:gridSpan w:val="11"/>
            <w:vAlign w:val="center"/>
          </w:tcPr>
          <w:p>
            <w:pPr>
              <w:spacing w:line="440" w:lineRule="exact"/>
              <w:jc w:val="left"/>
              <w:rPr>
                <w:b/>
                <w:bCs/>
                <w:color w:val="000000"/>
                <w:szCs w:val="21"/>
              </w:rPr>
            </w:pPr>
            <w:r>
              <w:rPr>
                <w:b/>
                <w:bCs/>
                <w:color w:val="000000"/>
                <w:szCs w:val="21"/>
              </w:rPr>
              <w:t>罗市镇：</w:t>
            </w:r>
          </w:p>
          <w:p>
            <w:pPr>
              <w:numPr>
                <w:ilvl w:val="0"/>
                <w:numId w:val="5"/>
              </w:numPr>
              <w:spacing w:line="440" w:lineRule="exact"/>
              <w:jc w:val="left"/>
            </w:pPr>
            <w:r>
              <w:t>一般生态空间；水土流失敏感区</w:t>
            </w:r>
          </w:p>
          <w:p>
            <w:pPr>
              <w:numPr>
                <w:ilvl w:val="0"/>
                <w:numId w:val="5"/>
              </w:numPr>
              <w:spacing w:line="440" w:lineRule="exact"/>
            </w:pPr>
            <w:r>
              <w:t>水环境一般管控区；</w:t>
            </w:r>
          </w:p>
          <w:p>
            <w:pPr>
              <w:numPr>
                <w:ilvl w:val="0"/>
                <w:numId w:val="5"/>
              </w:numPr>
              <w:spacing w:line="440" w:lineRule="exact"/>
            </w:pPr>
            <w:r>
              <w:t>大气环境受体敏感重点管控区/大气环境布局敏感重点管控区；</w:t>
            </w:r>
          </w:p>
          <w:p>
            <w:pPr>
              <w:numPr>
                <w:ilvl w:val="0"/>
                <w:numId w:val="5"/>
              </w:numPr>
              <w:spacing w:line="440" w:lineRule="exact"/>
            </w:pPr>
            <w:r>
              <w:t>农用地优先保护区/建设用地重点管控区/其他重点管控区/一般管控区；矿区/中高风险企业用地；</w:t>
            </w:r>
          </w:p>
          <w:p>
            <w:pPr>
              <w:numPr>
                <w:ilvl w:val="0"/>
                <w:numId w:val="5"/>
              </w:numPr>
              <w:spacing w:line="440" w:lineRule="exact"/>
            </w:pPr>
            <w:r>
              <w:t>农产品主产区；高污染燃料禁燃区</w:t>
            </w:r>
          </w:p>
          <w:p>
            <w:pPr>
              <w:spacing w:line="440" w:lineRule="exact"/>
              <w:jc w:val="left"/>
              <w:rPr>
                <w:b/>
                <w:bCs/>
                <w:color w:val="000000"/>
                <w:szCs w:val="21"/>
              </w:rPr>
            </w:pPr>
            <w:r>
              <w:rPr>
                <w:b/>
                <w:bCs/>
                <w:color w:val="000000"/>
                <w:szCs w:val="21"/>
              </w:rPr>
              <w:t>檀江街道：</w:t>
            </w:r>
          </w:p>
          <w:p>
            <w:pPr>
              <w:numPr>
                <w:ilvl w:val="0"/>
                <w:numId w:val="5"/>
              </w:numPr>
              <w:spacing w:line="440" w:lineRule="exact"/>
            </w:pPr>
            <w:r>
              <w:t>水环境工业园重点管控区/水环境一般管控区；工业园区；大祥产业开发区；</w:t>
            </w:r>
          </w:p>
          <w:p>
            <w:pPr>
              <w:numPr>
                <w:ilvl w:val="0"/>
                <w:numId w:val="5"/>
              </w:numPr>
              <w:spacing w:line="440" w:lineRule="exact"/>
            </w:pPr>
            <w:r>
              <w:t>大气环境高排放重点管控区/大气环境受体敏感重点管控区/大气环境布局敏感重点管控区；大祥产业开发区；</w:t>
            </w:r>
          </w:p>
          <w:p>
            <w:pPr>
              <w:numPr>
                <w:ilvl w:val="0"/>
                <w:numId w:val="5"/>
              </w:numPr>
              <w:spacing w:line="440" w:lineRule="exact"/>
            </w:pPr>
            <w:r>
              <w:t>农用地优先保护区/农用地重点管控区/一般管控区；大祥产业开发区；</w:t>
            </w:r>
          </w:p>
          <w:p>
            <w:pPr>
              <w:numPr>
                <w:ilvl w:val="0"/>
                <w:numId w:val="5"/>
              </w:numPr>
              <w:spacing w:line="440" w:lineRule="exact"/>
              <w:rPr>
                <w:color w:val="000000"/>
                <w:szCs w:val="21"/>
              </w:rPr>
            </w:pPr>
            <w:r>
              <w:t>农产品主产区；高污染燃料禁燃区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Align w:val="center"/>
          </w:tcPr>
          <w:p>
            <w:pPr>
              <w:widowControl/>
              <w:spacing w:line="440" w:lineRule="exact"/>
              <w:jc w:val="center"/>
              <w:rPr>
                <w:b/>
                <w:color w:val="000000"/>
                <w:szCs w:val="21"/>
              </w:rPr>
            </w:pPr>
            <w:r>
              <w:rPr>
                <w:b/>
                <w:color w:val="000000"/>
                <w:szCs w:val="21"/>
              </w:rPr>
              <w:t>管控维度</w:t>
            </w:r>
          </w:p>
        </w:tc>
        <w:tc>
          <w:tcPr>
            <w:tcW w:w="3333" w:type="pct"/>
            <w:gridSpan w:val="9"/>
            <w:vAlign w:val="center"/>
          </w:tcPr>
          <w:p>
            <w:pPr>
              <w:spacing w:line="440" w:lineRule="exact"/>
              <w:jc w:val="center"/>
              <w:rPr>
                <w:b/>
                <w:color w:val="000000"/>
                <w:szCs w:val="21"/>
              </w:rPr>
            </w:pPr>
            <w:r>
              <w:rPr>
                <w:b/>
                <w:color w:val="000000"/>
                <w:kern w:val="0"/>
                <w:szCs w:val="21"/>
              </w:rPr>
              <w:t>管控要求</w:t>
            </w:r>
          </w:p>
        </w:tc>
        <w:tc>
          <w:tcPr>
            <w:tcW w:w="1039" w:type="pct"/>
            <w:gridSpan w:val="2"/>
            <w:vAlign w:val="center"/>
          </w:tcPr>
          <w:p>
            <w:pPr>
              <w:spacing w:line="44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Align w:val="center"/>
          </w:tcPr>
          <w:p>
            <w:pPr>
              <w:widowControl/>
              <w:spacing w:line="440" w:lineRule="exact"/>
              <w:jc w:val="center"/>
              <w:rPr>
                <w:color w:val="000000"/>
                <w:szCs w:val="21"/>
              </w:rPr>
            </w:pPr>
            <w:r>
              <w:rPr>
                <w:color w:val="000000"/>
                <w:szCs w:val="21"/>
              </w:rPr>
              <w:t>空间布局约束</w:t>
            </w:r>
          </w:p>
        </w:tc>
        <w:tc>
          <w:tcPr>
            <w:tcW w:w="3333" w:type="pct"/>
            <w:gridSpan w:val="9"/>
            <w:vAlign w:val="center"/>
          </w:tcPr>
          <w:p>
            <w:pPr>
              <w:numPr>
                <w:ilvl w:val="1"/>
                <w:numId w:val="7"/>
              </w:numPr>
              <w:tabs>
                <w:tab w:val="left" w:pos="0"/>
                <w:tab w:val="left" w:pos="425"/>
                <w:tab w:val="left" w:pos="1021"/>
              </w:tabs>
              <w:spacing w:line="440" w:lineRule="exact"/>
              <w:jc w:val="left"/>
              <w:rPr>
                <w:color w:val="000000"/>
                <w:szCs w:val="21"/>
              </w:rPr>
            </w:pPr>
            <w:r>
              <w:rPr>
                <w:color w:val="000000"/>
                <w:szCs w:val="21"/>
              </w:rPr>
              <w:t>执行市级空间布局约束相关要求，重点关注饮用水水源保护区/水环境优先保护区/大气环境受体敏感重点管控区。</w:t>
            </w:r>
          </w:p>
          <w:p>
            <w:pPr>
              <w:numPr>
                <w:ilvl w:val="1"/>
                <w:numId w:val="7"/>
              </w:numPr>
              <w:tabs>
                <w:tab w:val="left" w:pos="0"/>
                <w:tab w:val="left" w:pos="425"/>
                <w:tab w:val="left" w:pos="1021"/>
              </w:tabs>
              <w:spacing w:line="440" w:lineRule="exact"/>
              <w:jc w:val="left"/>
              <w:rPr>
                <w:color w:val="000000"/>
                <w:szCs w:val="21"/>
              </w:rPr>
            </w:pPr>
            <w:r>
              <w:rPr>
                <w:color w:val="000000"/>
                <w:szCs w:val="21"/>
              </w:rPr>
              <w:t>严格节能审查源头把关，坚决遏制高耗能高排放低水平项目盲目上马。严格执行国家区域削减和总量控制相关项目准入要求，腾挪发展空间，守牢区域环境质量不恶化底线。</w:t>
            </w:r>
          </w:p>
          <w:p>
            <w:pPr>
              <w:pStyle w:val="8"/>
              <w:numPr>
                <w:ilvl w:val="1"/>
                <w:numId w:val="0"/>
              </w:numPr>
              <w:shd w:val="clear" w:color="auto" w:fill="FFFFFF"/>
              <w:spacing w:line="440" w:lineRule="exact"/>
              <w:jc w:val="both"/>
              <w:rPr>
                <w:rFonts w:ascii="Times New Roman" w:hAnsi="Times New Roman" w:cs="Times New Roman"/>
                <w:szCs w:val="21"/>
              </w:rPr>
            </w:pPr>
            <w:r>
              <w:rPr>
                <w:rFonts w:ascii="Times New Roman" w:hAnsi="Times New Roman" w:cs="Times New Roman"/>
                <w:szCs w:val="21"/>
              </w:rPr>
              <w:t>（1.3）新、改、扩建涉重项目严格遵循重金属排放“减量替代”或“等量替代”原则。</w:t>
            </w:r>
          </w:p>
        </w:tc>
        <w:tc>
          <w:tcPr>
            <w:tcW w:w="1039" w:type="pct"/>
            <w:gridSpan w:val="2"/>
            <w:vMerge w:val="restart"/>
          </w:tcPr>
          <w:p>
            <w:pPr>
              <w:spacing w:line="440" w:lineRule="exact"/>
              <w:rPr>
                <w:szCs w:val="21"/>
              </w:rPr>
            </w:pPr>
            <w:r>
              <w:rPr>
                <w:szCs w:val="21"/>
              </w:rPr>
              <w:t>（1.1）《邵阳市生态环境总体管控要求》</w:t>
            </w:r>
          </w:p>
          <w:p>
            <w:pPr>
              <w:spacing w:line="440" w:lineRule="exact"/>
              <w:rPr>
                <w:szCs w:val="21"/>
              </w:rPr>
            </w:pPr>
            <w:r>
              <w:rPr>
                <w:szCs w:val="21"/>
              </w:rPr>
              <w:t>（1.2）（1.3）（2.1.1）（2.1.2）（2.1.3）（2.2.1）（2.2.2）（2.2.3）（2.3.1）（2.3.2）（2.3.3）（2.4）</w:t>
            </w:r>
            <w:r>
              <w:rPr>
                <w:color w:val="000000"/>
                <w:szCs w:val="21"/>
              </w:rPr>
              <w:t>（2.5）</w:t>
            </w:r>
            <w:r>
              <w:rPr>
                <w:szCs w:val="21"/>
              </w:rPr>
              <w:t>（3.1）（3.2）（3.4）《2024年大祥区深入打好污染防治攻坚战工作方案》</w:t>
            </w:r>
          </w:p>
          <w:p>
            <w:pPr>
              <w:tabs>
                <w:tab w:val="left" w:pos="1021"/>
              </w:tabs>
              <w:spacing w:line="440" w:lineRule="exact"/>
              <w:jc w:val="left"/>
              <w:rPr>
                <w:color w:val="000000"/>
              </w:rPr>
            </w:pPr>
            <w:r>
              <w:rPr>
                <w:szCs w:val="21"/>
              </w:rPr>
              <w:t>（2.2.4）《邵阳市人民政府办公室关于印发《邵阳市“十四五”生态环境保护规划》的通知》</w:t>
            </w:r>
          </w:p>
          <w:p>
            <w:pPr>
              <w:tabs>
                <w:tab w:val="left" w:pos="1021"/>
              </w:tabs>
              <w:spacing w:line="440" w:lineRule="exact"/>
              <w:jc w:val="left"/>
              <w:rPr>
                <w:szCs w:val="21"/>
              </w:rPr>
            </w:pPr>
            <w:r>
              <w:rPr>
                <w:szCs w:val="21"/>
              </w:rPr>
              <w:t>（3.3）</w:t>
            </w:r>
            <w:r>
              <w:rPr>
                <w:color w:val="000000"/>
                <w:szCs w:val="21"/>
              </w:rPr>
              <w:t>（4.1）（4.3）《邵阳市大祥区国民经济和社会发展第十四个五年规划和二〇三五年远景目标纲要》</w:t>
            </w:r>
          </w:p>
          <w:p>
            <w:pPr>
              <w:spacing w:line="440" w:lineRule="exact"/>
              <w:rPr>
                <w:kern w:val="0"/>
                <w:szCs w:val="20"/>
              </w:rPr>
            </w:pPr>
            <w:r>
              <w:rPr>
                <w:szCs w:val="21"/>
              </w:rPr>
              <w:t>（4.2）《邵阳市水利局邵阳市发展和改革委员会关于印发“十四五”用水量和强度双控目标的通知》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Align w:val="center"/>
          </w:tcPr>
          <w:p>
            <w:pPr>
              <w:widowControl/>
              <w:spacing w:line="440" w:lineRule="exact"/>
              <w:jc w:val="center"/>
              <w:rPr>
                <w:color w:val="000000"/>
                <w:szCs w:val="21"/>
              </w:rPr>
            </w:pPr>
            <w:r>
              <w:rPr>
                <w:color w:val="000000"/>
                <w:szCs w:val="21"/>
              </w:rPr>
              <w:t>污染物排放管控</w:t>
            </w:r>
          </w:p>
        </w:tc>
        <w:tc>
          <w:tcPr>
            <w:tcW w:w="3333" w:type="pct"/>
            <w:gridSpan w:val="9"/>
            <w:vAlign w:val="center"/>
          </w:tcPr>
          <w:p>
            <w:pPr>
              <w:tabs>
                <w:tab w:val="left" w:pos="1021"/>
              </w:tabs>
              <w:spacing w:line="440" w:lineRule="exact"/>
              <w:jc w:val="left"/>
              <w:rPr>
                <w:color w:val="000000"/>
                <w:szCs w:val="21"/>
              </w:rPr>
            </w:pPr>
            <w:r>
              <w:rPr>
                <w:color w:val="000000"/>
                <w:szCs w:val="21"/>
              </w:rPr>
              <w:t>（2.1）废水：</w:t>
            </w:r>
          </w:p>
          <w:p>
            <w:pPr>
              <w:tabs>
                <w:tab w:val="left" w:pos="1021"/>
              </w:tabs>
              <w:spacing w:line="440" w:lineRule="exact"/>
              <w:ind w:firstLine="420" w:firstLineChars="200"/>
              <w:jc w:val="left"/>
              <w:rPr>
                <w:szCs w:val="21"/>
              </w:rPr>
            </w:pPr>
            <w:r>
              <w:rPr>
                <w:color w:val="000000"/>
                <w:szCs w:val="21"/>
              </w:rPr>
              <w:t>（2.1.1）</w:t>
            </w:r>
            <w:r>
              <w:rPr>
                <w:szCs w:val="21"/>
              </w:rPr>
              <w:t>加强生活污水处理设施建设，推进城市污水管网建设改造，推进污水收集管网排查整治。提高城区公共基础设施、居民小区排水雨污分流比例，提升污水收集处理率，至“十四五”末期使城区污水处理率达到98%；</w:t>
            </w:r>
          </w:p>
          <w:p>
            <w:pPr>
              <w:tabs>
                <w:tab w:val="left" w:pos="1021"/>
              </w:tabs>
              <w:spacing w:line="440" w:lineRule="exact"/>
              <w:ind w:firstLine="420" w:firstLineChars="200"/>
              <w:jc w:val="left"/>
              <w:rPr>
                <w:szCs w:val="21"/>
              </w:rPr>
            </w:pPr>
            <w:r>
              <w:rPr>
                <w:color w:val="000000"/>
                <w:szCs w:val="21"/>
              </w:rPr>
              <w:t>（2.1.2）</w:t>
            </w:r>
            <w:r>
              <w:rPr>
                <w:szCs w:val="21"/>
              </w:rPr>
              <w:t>持续推进农村生活污水治理，组织各乡镇街道完成分散式农村生活污水处理设施排查与整改，加强集中式农村生活污水处理设施管护。</w:t>
            </w:r>
          </w:p>
          <w:p>
            <w:pPr>
              <w:tabs>
                <w:tab w:val="left" w:pos="1021"/>
              </w:tabs>
              <w:spacing w:line="440" w:lineRule="exact"/>
              <w:ind w:firstLine="420" w:firstLineChars="200"/>
              <w:jc w:val="left"/>
              <w:rPr>
                <w:szCs w:val="21"/>
              </w:rPr>
            </w:pPr>
            <w:r>
              <w:rPr>
                <w:szCs w:val="21"/>
              </w:rPr>
              <w:t>（2.1.3）加强医疗废水废物处置，确保医疗废水全收集全处置。</w:t>
            </w:r>
          </w:p>
          <w:p>
            <w:pPr>
              <w:tabs>
                <w:tab w:val="left" w:pos="1021"/>
              </w:tabs>
              <w:spacing w:line="440" w:lineRule="exact"/>
              <w:jc w:val="left"/>
              <w:rPr>
                <w:szCs w:val="21"/>
              </w:rPr>
            </w:pPr>
            <w:r>
              <w:rPr>
                <w:szCs w:val="21"/>
              </w:rPr>
              <w:t>（2.2）废气：</w:t>
            </w:r>
          </w:p>
          <w:p>
            <w:pPr>
              <w:tabs>
                <w:tab w:val="left" w:pos="1021"/>
              </w:tabs>
              <w:spacing w:line="440" w:lineRule="exact"/>
              <w:ind w:firstLine="420" w:firstLineChars="200"/>
              <w:jc w:val="left"/>
              <w:rPr>
                <w:szCs w:val="21"/>
              </w:rPr>
            </w:pPr>
            <w:r>
              <w:rPr>
                <w:color w:val="000000"/>
                <w:szCs w:val="21"/>
              </w:rPr>
              <w:t>（2.2.1）</w:t>
            </w:r>
            <w:r>
              <w:rPr>
                <w:szCs w:val="21"/>
                <w:lang w:val="zh-CN"/>
              </w:rPr>
              <w:t>严格落实《</w:t>
            </w:r>
            <w:r>
              <w:rPr>
                <w:szCs w:val="21"/>
              </w:rPr>
              <w:t>邵阳市市城区环境空气质量突出问题专项整治行动方案</w:t>
            </w:r>
            <w:r>
              <w:rPr>
                <w:szCs w:val="21"/>
                <w:lang w:val="zh-CN"/>
              </w:rPr>
              <w:t>》，</w:t>
            </w:r>
            <w:r>
              <w:rPr>
                <w:szCs w:val="21"/>
              </w:rPr>
              <w:t>有效削减各类大气污染物排放。</w:t>
            </w:r>
          </w:p>
          <w:p>
            <w:pPr>
              <w:tabs>
                <w:tab w:val="left" w:pos="1021"/>
              </w:tabs>
              <w:spacing w:line="440" w:lineRule="exact"/>
              <w:ind w:firstLine="420" w:firstLineChars="200"/>
              <w:jc w:val="left"/>
              <w:rPr>
                <w:szCs w:val="21"/>
              </w:rPr>
            </w:pPr>
            <w:r>
              <w:rPr>
                <w:szCs w:val="21"/>
              </w:rPr>
              <w:t>（2.2.2）根据《邵阳市农业领域大气污染防治攻坚实施方案》，推进农作物秸秆综合利用与指导农村禁止秸秆露天焚烧。</w:t>
            </w:r>
          </w:p>
          <w:p>
            <w:pPr>
              <w:tabs>
                <w:tab w:val="left" w:pos="1021"/>
              </w:tabs>
              <w:spacing w:line="440" w:lineRule="exact"/>
              <w:ind w:firstLine="420" w:firstLineChars="200"/>
              <w:jc w:val="left"/>
              <w:rPr>
                <w:szCs w:val="21"/>
              </w:rPr>
            </w:pPr>
            <w:r>
              <w:rPr>
                <w:szCs w:val="21"/>
              </w:rPr>
              <w:t>（2.2.3）实行重点排放源排放浓度与去除效率双重控制；加强汽修行业VOCs综合治理，加大餐饮油烟污染治理力度，推进城市餐饮油烟治理全覆盖。</w:t>
            </w:r>
          </w:p>
          <w:p>
            <w:pPr>
              <w:tabs>
                <w:tab w:val="left" w:pos="1021"/>
              </w:tabs>
              <w:spacing w:line="440" w:lineRule="exact"/>
              <w:ind w:firstLine="420" w:firstLineChars="200"/>
              <w:jc w:val="left"/>
            </w:pPr>
            <w:r>
              <w:rPr>
                <w:szCs w:val="21"/>
              </w:rPr>
              <w:t>（2.2.4）加强扬尘污染治理。城市建成区内房屋建筑和市政基础设施工程施工工地严格落实扬尘防控"六个100%”</w:t>
            </w:r>
          </w:p>
          <w:p>
            <w:pPr>
              <w:tabs>
                <w:tab w:val="left" w:pos="1021"/>
              </w:tabs>
              <w:spacing w:line="440" w:lineRule="exact"/>
              <w:jc w:val="left"/>
              <w:rPr>
                <w:color w:val="000000"/>
                <w:szCs w:val="21"/>
              </w:rPr>
            </w:pPr>
            <w:r>
              <w:rPr>
                <w:color w:val="000000"/>
                <w:szCs w:val="21"/>
              </w:rPr>
              <w:t>（2.3）固体废物：</w:t>
            </w:r>
          </w:p>
          <w:p>
            <w:pPr>
              <w:tabs>
                <w:tab w:val="left" w:pos="1021"/>
              </w:tabs>
              <w:spacing w:line="440" w:lineRule="exact"/>
              <w:ind w:firstLine="420" w:firstLineChars="200"/>
              <w:jc w:val="left"/>
              <w:rPr>
                <w:szCs w:val="21"/>
              </w:rPr>
            </w:pPr>
            <w:r>
              <w:rPr>
                <w:szCs w:val="21"/>
              </w:rPr>
              <w:t>（2.3.1）加强生活垃圾处理设施建设。持续推进生活垃圾填埋场整治，建立动态管控机制。</w:t>
            </w:r>
          </w:p>
          <w:p>
            <w:pPr>
              <w:tabs>
                <w:tab w:val="left" w:pos="1021"/>
              </w:tabs>
              <w:spacing w:line="440" w:lineRule="exact"/>
              <w:ind w:firstLine="420" w:firstLineChars="200"/>
              <w:jc w:val="left"/>
              <w:rPr>
                <w:szCs w:val="21"/>
              </w:rPr>
            </w:pPr>
            <w:r>
              <w:rPr>
                <w:szCs w:val="21"/>
              </w:rPr>
              <w:t>（2.3.2）积极实施农业面源污染整县推进项目，深入推进化肥农药减量增效，依法落实化肥使用总量控制，统筹推进农膜秸秆回收利用，2024年全区农膜回收率和秸秆综合利用率分别达到83%以上和86%以上。</w:t>
            </w:r>
          </w:p>
          <w:p>
            <w:pPr>
              <w:tabs>
                <w:tab w:val="left" w:pos="1021"/>
              </w:tabs>
              <w:spacing w:line="440" w:lineRule="exact"/>
              <w:ind w:firstLine="420" w:firstLineChars="200"/>
              <w:jc w:val="left"/>
              <w:rPr>
                <w:szCs w:val="21"/>
              </w:rPr>
            </w:pPr>
            <w:r>
              <w:rPr>
                <w:szCs w:val="21"/>
              </w:rPr>
              <w:t>（2.3.3）推进以种养结合为重点的畜禽养殖废弃物资源利用，推进养殖尾水节水减排。</w:t>
            </w:r>
          </w:p>
          <w:p>
            <w:pPr>
              <w:tabs>
                <w:tab w:val="left" w:pos="1021"/>
              </w:tabs>
              <w:spacing w:line="440" w:lineRule="exact"/>
              <w:jc w:val="left"/>
              <w:rPr>
                <w:szCs w:val="21"/>
              </w:rPr>
            </w:pPr>
            <w:r>
              <w:rPr>
                <w:color w:val="000000"/>
                <w:szCs w:val="21"/>
              </w:rPr>
              <w:t>（2.4</w:t>
            </w:r>
            <w:r>
              <w:rPr>
                <w:szCs w:val="21"/>
              </w:rPr>
              <w:t>）加强矿山保护修复，继续推进绿色矿山建设，统筹开展全区废弃矿山生态修复工作，完成17.13公顷的历史遗留矿山修复任务。</w:t>
            </w:r>
          </w:p>
          <w:p>
            <w:pPr>
              <w:tabs>
                <w:tab w:val="left" w:pos="1021"/>
              </w:tabs>
              <w:spacing w:line="440" w:lineRule="exact"/>
              <w:jc w:val="left"/>
              <w:rPr>
                <w:color w:val="000000"/>
                <w:szCs w:val="21"/>
              </w:rPr>
            </w:pPr>
            <w:r>
              <w:rPr>
                <w:szCs w:val="21"/>
              </w:rPr>
              <w:t>（2.5）加强“一废一品一库一重”环境风险监管，开展废矿物油、废铅蓄电池、实验室废物等专项治理行动。</w:t>
            </w:r>
          </w:p>
        </w:tc>
        <w:tc>
          <w:tcPr>
            <w:tcW w:w="1039" w:type="pct"/>
            <w:gridSpan w:val="2"/>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vAlign w:val="center"/>
          </w:tcPr>
          <w:p>
            <w:pPr>
              <w:widowControl/>
              <w:spacing w:line="440" w:lineRule="exact"/>
              <w:jc w:val="center"/>
              <w:rPr>
                <w:color w:val="000000"/>
                <w:szCs w:val="21"/>
              </w:rPr>
            </w:pPr>
            <w:r>
              <w:rPr>
                <w:color w:val="000000"/>
                <w:szCs w:val="21"/>
              </w:rPr>
              <w:t>环境风险防控</w:t>
            </w:r>
          </w:p>
        </w:tc>
        <w:tc>
          <w:tcPr>
            <w:tcW w:w="3333" w:type="pct"/>
            <w:gridSpan w:val="9"/>
            <w:vAlign w:val="center"/>
          </w:tcPr>
          <w:p>
            <w:pPr>
              <w:pStyle w:val="8"/>
              <w:numPr>
                <w:ilvl w:val="1"/>
                <w:numId w:val="0"/>
              </w:numPr>
              <w:shd w:val="clear" w:color="auto" w:fill="FFFFFF"/>
              <w:spacing w:line="440" w:lineRule="exact"/>
              <w:jc w:val="both"/>
              <w:rPr>
                <w:rFonts w:ascii="Times New Roman" w:hAnsi="Times New Roman" w:cs="Times New Roman"/>
                <w:strike/>
                <w:szCs w:val="21"/>
              </w:rPr>
            </w:pPr>
            <w:r>
              <w:rPr>
                <w:rFonts w:ascii="Times New Roman" w:hAnsi="Times New Roman" w:cs="Times New Roman"/>
                <w:kern w:val="2"/>
                <w:sz w:val="21"/>
                <w:szCs w:val="21"/>
              </w:rPr>
              <w:t>（3.1）有效管控建设用地土壤污染风险，持续开展重点行业企业用地调查和典型行业周边土壤环境调查，进一步摸清污染地块底数和污染成因。严格土壤污染重点监管单位和沿江化工企业搬迁腾退用地土壤污染风险管控。</w:t>
            </w:r>
          </w:p>
          <w:p>
            <w:pPr>
              <w:tabs>
                <w:tab w:val="left" w:pos="1021"/>
              </w:tabs>
              <w:spacing w:line="440" w:lineRule="exact"/>
              <w:jc w:val="left"/>
              <w:rPr>
                <w:szCs w:val="21"/>
              </w:rPr>
            </w:pPr>
            <w:r>
              <w:rPr>
                <w:szCs w:val="21"/>
              </w:rPr>
              <w:t>（3.2）推进农用地土壤污染防治和安全利用，严格涉镉等重金属行业大气、水污染物排放管控，全面排查整治涉镉等重金属关停企业及矿区历史遗留固体废物。</w:t>
            </w:r>
          </w:p>
          <w:p>
            <w:pPr>
              <w:tabs>
                <w:tab w:val="left" w:pos="1021"/>
              </w:tabs>
              <w:spacing w:line="440" w:lineRule="exact"/>
              <w:jc w:val="left"/>
              <w:rPr>
                <w:szCs w:val="21"/>
              </w:rPr>
            </w:pPr>
            <w:r>
              <w:rPr>
                <w:szCs w:val="21"/>
              </w:rPr>
              <w:t>（3.3）</w:t>
            </w:r>
            <w:r>
              <w:rPr>
                <w:color w:val="000000"/>
                <w:szCs w:val="21"/>
              </w:rPr>
              <w:t>指导各乡镇街道开展受污染耕地土壤重金属成因排查，督促开展污染源头风险管控，严格分类管理，建立管理清单，确保受污染耕地安全利用率达到91%。</w:t>
            </w:r>
          </w:p>
          <w:p>
            <w:pPr>
              <w:tabs>
                <w:tab w:val="left" w:pos="1021"/>
              </w:tabs>
              <w:spacing w:line="440" w:lineRule="exact"/>
              <w:rPr>
                <w:color w:val="000000"/>
                <w:szCs w:val="21"/>
              </w:rPr>
            </w:pPr>
            <w:r>
              <w:rPr>
                <w:szCs w:val="21"/>
              </w:rPr>
              <w:t>（3.4）开展集中式饮用水水源地突出环境问题排查整治“回头看”，巩固前期规范化建设和突出环境问题整治成效。持续推进集中式水源地基础信息调查和保护区勘界定标。推进饮用水水源地水质持续提升。</w:t>
            </w:r>
          </w:p>
        </w:tc>
        <w:tc>
          <w:tcPr>
            <w:tcW w:w="1039" w:type="pct"/>
            <w:gridSpan w:val="2"/>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26" w:type="pct"/>
            <w:vAlign w:val="center"/>
          </w:tcPr>
          <w:p>
            <w:pPr>
              <w:widowControl/>
              <w:spacing w:line="440" w:lineRule="exact"/>
              <w:jc w:val="center"/>
              <w:rPr>
                <w:color w:val="000000"/>
                <w:szCs w:val="21"/>
              </w:rPr>
            </w:pPr>
            <w:r>
              <w:rPr>
                <w:color w:val="000000"/>
                <w:szCs w:val="21"/>
              </w:rPr>
              <w:t>资源开发效率要求</w:t>
            </w:r>
          </w:p>
        </w:tc>
        <w:tc>
          <w:tcPr>
            <w:tcW w:w="3333" w:type="pct"/>
            <w:gridSpan w:val="9"/>
            <w:vAlign w:val="center"/>
          </w:tcPr>
          <w:p>
            <w:pPr>
              <w:tabs>
                <w:tab w:val="left" w:pos="1021"/>
              </w:tabs>
              <w:spacing w:line="440" w:lineRule="exact"/>
              <w:rPr>
                <w:color w:val="000000"/>
                <w:szCs w:val="21"/>
              </w:rPr>
            </w:pPr>
            <w:r>
              <w:rPr>
                <w:color w:val="000000"/>
                <w:szCs w:val="21"/>
              </w:rPr>
              <w:t>（4.1）能源：以国家能源战略调整为契机，加快太阳能、生物质能等可再生能源的利用，形成安全、稳定、清洁、高效的能源保障体系。</w:t>
            </w:r>
          </w:p>
          <w:p>
            <w:pPr>
              <w:tabs>
                <w:tab w:val="left" w:pos="1021"/>
              </w:tabs>
              <w:spacing w:line="440" w:lineRule="exact"/>
              <w:rPr>
                <w:szCs w:val="21"/>
              </w:rPr>
            </w:pPr>
            <w:r>
              <w:rPr>
                <w:color w:val="000000"/>
                <w:szCs w:val="21"/>
              </w:rPr>
              <w:t>（4.2）水资源：</w:t>
            </w:r>
            <w:r>
              <w:rPr>
                <w:szCs w:val="21"/>
              </w:rPr>
              <w:t>到2025年，大祥区用水总量1.174亿立方米，万元地区生产总值用水量比2020年下降22.78%，万元工业增加值用水量比2020年下降14.13%，农田灌溉水有效利用系数0.575。</w:t>
            </w:r>
          </w:p>
          <w:p>
            <w:pPr>
              <w:tabs>
                <w:tab w:val="left" w:pos="1021"/>
              </w:tabs>
              <w:spacing w:line="440" w:lineRule="exact"/>
              <w:rPr>
                <w:color w:val="000000"/>
                <w:szCs w:val="21"/>
              </w:rPr>
            </w:pPr>
            <w:r>
              <w:rPr>
                <w:color w:val="000000"/>
                <w:szCs w:val="21"/>
              </w:rPr>
              <w:t>（4.3）土地资源：确保全市耕地保有量不低于39.5万公顷，永久基本农田保护面积不低于34.3万公顷。</w:t>
            </w:r>
          </w:p>
        </w:tc>
        <w:tc>
          <w:tcPr>
            <w:tcW w:w="1039" w:type="pct"/>
            <w:gridSpan w:val="2"/>
            <w:vMerge w:val="continue"/>
            <w:vAlign w:val="center"/>
          </w:tcPr>
          <w:p>
            <w:pPr>
              <w:spacing w:line="440" w:lineRule="exact"/>
            </w:pPr>
          </w:p>
        </w:tc>
      </w:tr>
    </w:tbl>
    <w:p>
      <w:pPr>
        <w:widowControl/>
        <w:jc w:val="left"/>
        <w:rPr>
          <w:color w:val="000000"/>
          <w:szCs w:val="21"/>
        </w:rPr>
      </w:pPr>
    </w:p>
    <w:p>
      <w:pPr>
        <w:rPr>
          <w:b/>
          <w:color w:val="000000"/>
          <w:kern w:val="0"/>
          <w:szCs w:val="21"/>
        </w:rPr>
      </w:pPr>
      <w:r>
        <w:rPr>
          <w:b/>
          <w:color w:val="000000"/>
          <w:kern w:val="0"/>
          <w:szCs w:val="21"/>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162"/>
        <w:gridCol w:w="427"/>
        <w:gridCol w:w="427"/>
        <w:gridCol w:w="438"/>
        <w:gridCol w:w="611"/>
        <w:gridCol w:w="1630"/>
        <w:gridCol w:w="899"/>
        <w:gridCol w:w="1259"/>
        <w:gridCol w:w="2722"/>
        <w:gridCol w:w="19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rPr>
                <w:b/>
                <w:color w:val="000000"/>
                <w:kern w:val="0"/>
                <w:szCs w:val="21"/>
              </w:rPr>
            </w:pPr>
            <w:r>
              <w:rPr>
                <w:b/>
                <w:color w:val="000000"/>
                <w:kern w:val="0"/>
                <w:szCs w:val="21"/>
              </w:rPr>
              <w:br w:type="page"/>
            </w:r>
          </w:p>
          <w:p>
            <w:pPr>
              <w:widowControl/>
              <w:jc w:val="center"/>
              <w:rPr>
                <w:b/>
                <w:color w:val="000000"/>
                <w:kern w:val="0"/>
                <w:szCs w:val="21"/>
              </w:rPr>
            </w:pPr>
            <w:r>
              <w:rPr>
                <w:b/>
                <w:color w:val="000000"/>
                <w:kern w:val="0"/>
                <w:szCs w:val="21"/>
              </w:rPr>
              <w:t>环境管控单元编码</w:t>
            </w:r>
          </w:p>
        </w:tc>
        <w:tc>
          <w:tcPr>
            <w:tcW w:w="410" w:type="pct"/>
            <w:vMerge w:val="restart"/>
            <w:vAlign w:val="center"/>
          </w:tcPr>
          <w:p>
            <w:pPr>
              <w:widowControl/>
              <w:jc w:val="center"/>
              <w:rPr>
                <w:b/>
                <w:color w:val="000000"/>
                <w:kern w:val="0"/>
                <w:szCs w:val="21"/>
              </w:rPr>
            </w:pPr>
            <w:r>
              <w:rPr>
                <w:b/>
                <w:color w:val="000000"/>
                <w:kern w:val="0"/>
                <w:szCs w:val="21"/>
              </w:rPr>
              <w:t>单元名称</w:t>
            </w:r>
          </w:p>
        </w:tc>
        <w:tc>
          <w:tcPr>
            <w:tcW w:w="455" w:type="pct"/>
            <w:gridSpan w:val="3"/>
            <w:vAlign w:val="center"/>
          </w:tcPr>
          <w:p>
            <w:pPr>
              <w:widowControl/>
              <w:jc w:val="center"/>
              <w:rPr>
                <w:b/>
                <w:color w:val="000000"/>
                <w:kern w:val="0"/>
                <w:szCs w:val="21"/>
              </w:rPr>
            </w:pPr>
            <w:r>
              <w:rPr>
                <w:b/>
                <w:color w:val="000000"/>
                <w:kern w:val="0"/>
                <w:szCs w:val="21"/>
              </w:rPr>
              <w:t>行政区划</w:t>
            </w:r>
          </w:p>
        </w:tc>
        <w:tc>
          <w:tcPr>
            <w:tcW w:w="216" w:type="pct"/>
            <w:vMerge w:val="restart"/>
            <w:vAlign w:val="center"/>
          </w:tcPr>
          <w:p>
            <w:pPr>
              <w:widowControl/>
              <w:jc w:val="center"/>
              <w:rPr>
                <w:b/>
                <w:color w:val="000000"/>
                <w:kern w:val="0"/>
                <w:szCs w:val="21"/>
              </w:rPr>
            </w:pPr>
            <w:r>
              <w:rPr>
                <w:b/>
                <w:color w:val="000000"/>
                <w:kern w:val="0"/>
                <w:szCs w:val="21"/>
              </w:rPr>
              <w:t>单元分类</w:t>
            </w:r>
          </w:p>
        </w:tc>
        <w:tc>
          <w:tcPr>
            <w:tcW w:w="575"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17" w:type="pct"/>
            <w:vMerge w:val="restart"/>
            <w:vAlign w:val="center"/>
          </w:tcPr>
          <w:p>
            <w:pPr>
              <w:jc w:val="center"/>
              <w:rPr>
                <w:b/>
                <w:color w:val="000000"/>
                <w:kern w:val="0"/>
                <w:szCs w:val="21"/>
              </w:rPr>
            </w:pPr>
            <w:r>
              <w:rPr>
                <w:b/>
                <w:color w:val="000000"/>
                <w:kern w:val="0"/>
                <w:szCs w:val="21"/>
              </w:rPr>
              <w:t>涉及乡镇(街道)</w:t>
            </w:r>
          </w:p>
        </w:tc>
        <w:tc>
          <w:tcPr>
            <w:tcW w:w="444" w:type="pct"/>
            <w:vMerge w:val="restart"/>
            <w:vAlign w:val="center"/>
          </w:tcPr>
          <w:p>
            <w:pPr>
              <w:jc w:val="center"/>
              <w:rPr>
                <w:b/>
                <w:color w:val="000000"/>
                <w:kern w:val="0"/>
                <w:szCs w:val="21"/>
              </w:rPr>
            </w:pPr>
            <w:r>
              <w:rPr>
                <w:b/>
                <w:color w:val="000000"/>
                <w:kern w:val="0"/>
                <w:szCs w:val="21"/>
              </w:rPr>
              <w:t>主体功能定位</w:t>
            </w:r>
          </w:p>
        </w:tc>
        <w:tc>
          <w:tcPr>
            <w:tcW w:w="1030" w:type="pct"/>
            <w:gridSpan w:val="2"/>
            <w:vMerge w:val="restart"/>
            <w:vAlign w:val="center"/>
          </w:tcPr>
          <w:p>
            <w:pPr>
              <w:jc w:val="center"/>
              <w:rPr>
                <w:b/>
                <w:color w:val="000000"/>
                <w:kern w:val="0"/>
                <w:szCs w:val="21"/>
              </w:rPr>
            </w:pPr>
            <w:r>
              <w:rPr>
                <w:b/>
                <w:color w:val="000000"/>
                <w:kern w:val="0"/>
                <w:szCs w:val="21"/>
              </w:rPr>
              <w:t>经济产业布局</w:t>
            </w:r>
          </w:p>
        </w:tc>
        <w:tc>
          <w:tcPr>
            <w:tcW w:w="966" w:type="pct"/>
            <w:vMerge w:val="restart"/>
            <w:vAlign w:val="center"/>
          </w:tcPr>
          <w:p>
            <w:pPr>
              <w:jc w:val="center"/>
              <w:rPr>
                <w:b/>
                <w:color w:val="000000"/>
                <w:kern w:val="0"/>
                <w:szCs w:val="21"/>
              </w:rPr>
            </w:pPr>
            <w:r>
              <w:rPr>
                <w:b/>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pct"/>
            <w:vMerge w:val="continue"/>
            <w:vAlign w:val="center"/>
          </w:tcPr>
          <w:p/>
        </w:tc>
        <w:tc>
          <w:tcPr>
            <w:tcW w:w="410" w:type="pct"/>
            <w:vMerge w:val="continue"/>
            <w:vAlign w:val="center"/>
          </w:tcPr>
          <w:p/>
        </w:tc>
        <w:tc>
          <w:tcPr>
            <w:tcW w:w="150" w:type="pct"/>
            <w:vAlign w:val="center"/>
          </w:tcPr>
          <w:p>
            <w:pPr>
              <w:jc w:val="center"/>
              <w:rPr>
                <w:b/>
                <w:color w:val="000000"/>
                <w:szCs w:val="21"/>
              </w:rPr>
            </w:pPr>
            <w:r>
              <w:rPr>
                <w:b/>
                <w:color w:val="000000"/>
                <w:szCs w:val="21"/>
              </w:rPr>
              <w:t>省</w:t>
            </w:r>
          </w:p>
        </w:tc>
        <w:tc>
          <w:tcPr>
            <w:tcW w:w="150" w:type="pct"/>
            <w:vAlign w:val="center"/>
          </w:tcPr>
          <w:p>
            <w:pPr>
              <w:jc w:val="center"/>
              <w:rPr>
                <w:b/>
                <w:color w:val="000000"/>
                <w:szCs w:val="21"/>
              </w:rPr>
            </w:pPr>
            <w:r>
              <w:rPr>
                <w:b/>
                <w:color w:val="000000"/>
                <w:szCs w:val="21"/>
              </w:rPr>
              <w:t>市</w:t>
            </w:r>
          </w:p>
        </w:tc>
        <w:tc>
          <w:tcPr>
            <w:tcW w:w="154" w:type="pct"/>
            <w:vAlign w:val="center"/>
          </w:tcPr>
          <w:p>
            <w:pPr>
              <w:jc w:val="center"/>
              <w:rPr>
                <w:b/>
                <w:color w:val="000000"/>
                <w:szCs w:val="21"/>
              </w:rPr>
            </w:pPr>
            <w:r>
              <w:rPr>
                <w:b/>
                <w:color w:val="000000"/>
                <w:szCs w:val="21"/>
              </w:rPr>
              <w:t>县</w:t>
            </w:r>
          </w:p>
        </w:tc>
        <w:tc>
          <w:tcPr>
            <w:tcW w:w="216" w:type="pct"/>
            <w:vMerge w:val="continue"/>
            <w:vAlign w:val="center"/>
          </w:tcPr>
          <w:p/>
        </w:tc>
        <w:tc>
          <w:tcPr>
            <w:tcW w:w="575" w:type="pct"/>
            <w:vMerge w:val="continue"/>
            <w:vAlign w:val="center"/>
          </w:tcPr>
          <w:p/>
        </w:tc>
        <w:tc>
          <w:tcPr>
            <w:tcW w:w="317" w:type="pct"/>
            <w:vMerge w:val="continue"/>
            <w:vAlign w:val="center"/>
          </w:tcPr>
          <w:p/>
        </w:tc>
        <w:tc>
          <w:tcPr>
            <w:tcW w:w="444" w:type="pct"/>
            <w:vMerge w:val="continue"/>
            <w:vAlign w:val="center"/>
          </w:tcPr>
          <w:p/>
        </w:tc>
        <w:tc>
          <w:tcPr>
            <w:tcW w:w="1030" w:type="pct"/>
            <w:gridSpan w:val="2"/>
            <w:vMerge w:val="continue"/>
            <w:vAlign w:val="center"/>
          </w:tcPr>
          <w:p/>
        </w:tc>
        <w:tc>
          <w:tcPr>
            <w:tcW w:w="966"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kern w:val="0"/>
                <w:szCs w:val="21"/>
              </w:rPr>
            </w:pPr>
            <w:r>
              <w:rPr>
                <w:color w:val="000000"/>
                <w:kern w:val="0"/>
                <w:szCs w:val="21"/>
              </w:rPr>
              <w:t>ZH43050330002</w:t>
            </w:r>
          </w:p>
        </w:tc>
        <w:tc>
          <w:tcPr>
            <w:tcW w:w="410" w:type="pct"/>
            <w:vAlign w:val="center"/>
          </w:tcPr>
          <w:p>
            <w:pPr>
              <w:widowControl/>
              <w:jc w:val="center"/>
              <w:rPr>
                <w:color w:val="000000"/>
                <w:kern w:val="0"/>
                <w:szCs w:val="21"/>
              </w:rPr>
            </w:pPr>
            <w:r>
              <w:rPr>
                <w:color w:val="000000"/>
                <w:sz w:val="22"/>
              </w:rPr>
              <w:t>蔡锷乡、板桥乡</w:t>
            </w:r>
          </w:p>
        </w:tc>
        <w:tc>
          <w:tcPr>
            <w:tcW w:w="150" w:type="pct"/>
            <w:vAlign w:val="center"/>
          </w:tcPr>
          <w:p>
            <w:pPr>
              <w:widowControl/>
              <w:jc w:val="center"/>
              <w:rPr>
                <w:color w:val="000000"/>
                <w:kern w:val="0"/>
                <w:szCs w:val="21"/>
              </w:rPr>
            </w:pPr>
            <w:r>
              <w:rPr>
                <w:color w:val="000000"/>
                <w:kern w:val="0"/>
                <w:szCs w:val="21"/>
              </w:rPr>
              <w:t>湖南省</w:t>
            </w:r>
          </w:p>
        </w:tc>
        <w:tc>
          <w:tcPr>
            <w:tcW w:w="150" w:type="pct"/>
            <w:vAlign w:val="center"/>
          </w:tcPr>
          <w:p>
            <w:pPr>
              <w:widowControl/>
              <w:jc w:val="center"/>
              <w:rPr>
                <w:color w:val="000000"/>
                <w:kern w:val="0"/>
                <w:szCs w:val="21"/>
              </w:rPr>
            </w:pPr>
            <w:r>
              <w:rPr>
                <w:color w:val="000000"/>
                <w:kern w:val="0"/>
                <w:szCs w:val="21"/>
              </w:rPr>
              <w:t>邵阳市</w:t>
            </w:r>
          </w:p>
        </w:tc>
        <w:tc>
          <w:tcPr>
            <w:tcW w:w="154" w:type="pct"/>
            <w:vAlign w:val="center"/>
          </w:tcPr>
          <w:p>
            <w:pPr>
              <w:widowControl/>
              <w:jc w:val="center"/>
              <w:rPr>
                <w:color w:val="000000"/>
                <w:kern w:val="0"/>
                <w:szCs w:val="21"/>
              </w:rPr>
            </w:pPr>
            <w:r>
              <w:rPr>
                <w:color w:val="000000"/>
                <w:kern w:val="0"/>
                <w:szCs w:val="21"/>
              </w:rPr>
              <w:t>大祥区</w:t>
            </w:r>
          </w:p>
        </w:tc>
        <w:tc>
          <w:tcPr>
            <w:tcW w:w="216" w:type="pct"/>
            <w:vAlign w:val="center"/>
          </w:tcPr>
          <w:p>
            <w:pPr>
              <w:widowControl/>
              <w:jc w:val="center"/>
              <w:rPr>
                <w:color w:val="000000"/>
                <w:kern w:val="0"/>
                <w:szCs w:val="21"/>
              </w:rPr>
            </w:pPr>
            <w:r>
              <w:rPr>
                <w:color w:val="000000"/>
                <w:kern w:val="0"/>
                <w:szCs w:val="21"/>
              </w:rPr>
              <w:t>一般管控单元</w:t>
            </w:r>
          </w:p>
        </w:tc>
        <w:tc>
          <w:tcPr>
            <w:tcW w:w="575" w:type="pct"/>
            <w:vAlign w:val="center"/>
          </w:tcPr>
          <w:p>
            <w:pPr>
              <w:widowControl/>
              <w:jc w:val="center"/>
              <w:rPr>
                <w:color w:val="000000"/>
                <w:kern w:val="0"/>
                <w:szCs w:val="21"/>
              </w:rPr>
            </w:pPr>
            <w:r>
              <w:rPr>
                <w:color w:val="000000"/>
                <w:kern w:val="0"/>
                <w:szCs w:val="21"/>
              </w:rPr>
              <w:t>69.72</w:t>
            </w:r>
          </w:p>
        </w:tc>
        <w:tc>
          <w:tcPr>
            <w:tcW w:w="317" w:type="pct"/>
            <w:vAlign w:val="center"/>
          </w:tcPr>
          <w:p>
            <w:pPr>
              <w:jc w:val="center"/>
              <w:rPr>
                <w:color w:val="000000"/>
                <w:szCs w:val="21"/>
              </w:rPr>
            </w:pPr>
            <w:r>
              <w:rPr>
                <w:color w:val="000000"/>
                <w:sz w:val="22"/>
              </w:rPr>
              <w:t>蔡锷乡、板桥乡</w:t>
            </w:r>
          </w:p>
        </w:tc>
        <w:tc>
          <w:tcPr>
            <w:tcW w:w="444" w:type="pct"/>
            <w:vAlign w:val="center"/>
          </w:tcPr>
          <w:p>
            <w:pPr>
              <w:jc w:val="center"/>
              <w:rPr>
                <w:color w:val="000000"/>
                <w:szCs w:val="21"/>
              </w:rPr>
            </w:pPr>
            <w:r>
              <w:rPr>
                <w:color w:val="000000"/>
                <w:sz w:val="22"/>
              </w:rPr>
              <w:t>农产品主产区/历史文化资源富集区</w:t>
            </w:r>
          </w:p>
        </w:tc>
        <w:tc>
          <w:tcPr>
            <w:tcW w:w="1030" w:type="pct"/>
            <w:gridSpan w:val="2"/>
            <w:vAlign w:val="center"/>
          </w:tcPr>
          <w:p>
            <w:pPr>
              <w:jc w:val="left"/>
              <w:rPr>
                <w:color w:val="000000"/>
                <w:kern w:val="0"/>
                <w:szCs w:val="21"/>
              </w:rPr>
            </w:pPr>
            <w:r>
              <w:rPr>
                <w:color w:val="000000"/>
                <w:kern w:val="0"/>
                <w:szCs w:val="21"/>
              </w:rPr>
              <w:t>农业种植、畜禽养殖、水产养殖、农副产品加工、木材加工、石材加工、物流、印刷、造纸、轻工、建材和非金属矿山开采</w:t>
            </w:r>
          </w:p>
        </w:tc>
        <w:tc>
          <w:tcPr>
            <w:tcW w:w="966" w:type="pct"/>
            <w:vAlign w:val="center"/>
          </w:tcPr>
          <w:p>
            <w:pPr>
              <w:jc w:val="left"/>
              <w:rPr>
                <w:b/>
                <w:bCs/>
                <w:color w:val="000000"/>
                <w:kern w:val="0"/>
                <w:szCs w:val="21"/>
              </w:rPr>
            </w:pPr>
            <w:r>
              <w:rPr>
                <w:b/>
                <w:bCs/>
                <w:color w:val="000000"/>
                <w:kern w:val="0"/>
                <w:szCs w:val="21"/>
              </w:rPr>
              <w:t>主要环境问题：</w:t>
            </w:r>
          </w:p>
          <w:p>
            <w:pPr>
              <w:numPr>
                <w:ilvl w:val="0"/>
                <w:numId w:val="8"/>
              </w:numPr>
              <w:jc w:val="left"/>
              <w:rPr>
                <w:color w:val="000000"/>
                <w:kern w:val="0"/>
                <w:szCs w:val="21"/>
              </w:rPr>
            </w:pPr>
            <w:r>
              <w:rPr>
                <w:color w:val="000000"/>
                <w:kern w:val="0"/>
                <w:szCs w:val="21"/>
              </w:rPr>
              <w:t>畜禽养殖固废处理设施不完善；</w:t>
            </w:r>
          </w:p>
          <w:p>
            <w:pPr>
              <w:numPr>
                <w:ilvl w:val="0"/>
                <w:numId w:val="8"/>
              </w:numPr>
              <w:jc w:val="left"/>
              <w:rPr>
                <w:color w:val="000000"/>
                <w:kern w:val="0"/>
                <w:szCs w:val="21"/>
              </w:rPr>
            </w:pPr>
            <w:r>
              <w:rPr>
                <w:color w:val="000000"/>
                <w:kern w:val="0"/>
                <w:szCs w:val="21"/>
              </w:rPr>
              <w:t>垃圾填埋场和餐厨垃圾场存在水体污染风险。</w:t>
            </w:r>
          </w:p>
          <w:p>
            <w:pPr>
              <w:rPr>
                <w:color w:val="000000"/>
                <w:kern w:val="0"/>
                <w:szCs w:val="21"/>
              </w:rPr>
            </w:pPr>
            <w:r>
              <w:rPr>
                <w:b/>
                <w:bCs/>
                <w:color w:val="000000"/>
                <w:kern w:val="0"/>
                <w:szCs w:val="21"/>
              </w:rPr>
              <w:t>重要敏感目标：</w:t>
            </w:r>
            <w:r>
              <w:rPr>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0" w:hRule="atLeast"/>
          <w:jc w:val="center"/>
        </w:trPr>
        <w:tc>
          <w:tcPr>
            <w:tcW w:w="582" w:type="pct"/>
            <w:vAlign w:val="center"/>
          </w:tcPr>
          <w:p>
            <w:pPr>
              <w:widowControl/>
              <w:spacing w:line="400" w:lineRule="exact"/>
              <w:jc w:val="center"/>
              <w:rPr>
                <w:b/>
                <w:color w:val="000000"/>
                <w:kern w:val="0"/>
                <w:szCs w:val="21"/>
              </w:rPr>
            </w:pPr>
            <w:r>
              <w:rPr>
                <w:b/>
                <w:color w:val="000000"/>
                <w:kern w:val="0"/>
                <w:szCs w:val="21"/>
              </w:rPr>
              <w:t>主要属性</w:t>
            </w:r>
          </w:p>
        </w:tc>
        <w:tc>
          <w:tcPr>
            <w:tcW w:w="4417" w:type="pct"/>
            <w:gridSpan w:val="11"/>
            <w:vAlign w:val="center"/>
          </w:tcPr>
          <w:p>
            <w:pPr>
              <w:spacing w:line="400" w:lineRule="exact"/>
              <w:jc w:val="left"/>
              <w:rPr>
                <w:b/>
                <w:bCs/>
                <w:color w:val="000000"/>
                <w:sz w:val="22"/>
              </w:rPr>
            </w:pPr>
            <w:r>
              <w:rPr>
                <w:b/>
                <w:bCs/>
                <w:color w:val="000000"/>
                <w:sz w:val="22"/>
              </w:rPr>
              <w:t>蔡锷乡：</w:t>
            </w:r>
          </w:p>
          <w:p>
            <w:pPr>
              <w:numPr>
                <w:ilvl w:val="0"/>
                <w:numId w:val="9"/>
              </w:numPr>
              <w:spacing w:line="400" w:lineRule="exact"/>
              <w:jc w:val="left"/>
            </w:pPr>
            <w:r>
              <w:t>一般生态空间；水源涵养重要区\水土流失敏感区</w:t>
            </w:r>
          </w:p>
          <w:p>
            <w:pPr>
              <w:numPr>
                <w:ilvl w:val="0"/>
                <w:numId w:val="9"/>
              </w:numPr>
              <w:spacing w:line="400" w:lineRule="exact"/>
            </w:pPr>
            <w:r>
              <w:t>水环境一般管控区；</w:t>
            </w:r>
          </w:p>
          <w:p>
            <w:pPr>
              <w:numPr>
                <w:ilvl w:val="0"/>
                <w:numId w:val="9"/>
              </w:numPr>
              <w:spacing w:line="400" w:lineRule="exact"/>
            </w:pPr>
            <w:r>
              <w:t>大气环境受体敏感重点管控区；</w:t>
            </w:r>
          </w:p>
          <w:p>
            <w:pPr>
              <w:numPr>
                <w:ilvl w:val="0"/>
                <w:numId w:val="9"/>
              </w:numPr>
              <w:spacing w:line="400" w:lineRule="exact"/>
            </w:pPr>
            <w:r>
              <w:t>农用地优先保护区/建设用地重点管控区/其他重点管控区/一般管控区；矿区/中高风险企业用地；</w:t>
            </w:r>
          </w:p>
          <w:p>
            <w:pPr>
              <w:numPr>
                <w:ilvl w:val="0"/>
                <w:numId w:val="9"/>
              </w:numPr>
              <w:spacing w:line="400" w:lineRule="exact"/>
              <w:rPr>
                <w:color w:val="000000"/>
                <w:sz w:val="22"/>
              </w:rPr>
            </w:pPr>
            <w:r>
              <w:t>农产品主产区/历史文化资源富集区；高污染燃料禁燃区</w:t>
            </w:r>
          </w:p>
          <w:p>
            <w:pPr>
              <w:spacing w:line="400" w:lineRule="exact"/>
              <w:jc w:val="left"/>
              <w:rPr>
                <w:b/>
                <w:bCs/>
                <w:color w:val="000000"/>
                <w:sz w:val="22"/>
              </w:rPr>
            </w:pPr>
            <w:r>
              <w:rPr>
                <w:b/>
                <w:bCs/>
                <w:color w:val="000000"/>
                <w:sz w:val="22"/>
              </w:rPr>
              <w:t>板桥乡：</w:t>
            </w:r>
          </w:p>
          <w:p>
            <w:pPr>
              <w:numPr>
                <w:ilvl w:val="0"/>
                <w:numId w:val="10"/>
              </w:numPr>
              <w:spacing w:line="400" w:lineRule="exact"/>
            </w:pPr>
            <w:r>
              <w:t>水环境工业污染重点管控区/水环境一般管控区；工业园区；大祥产业开发区；</w:t>
            </w:r>
          </w:p>
          <w:p>
            <w:pPr>
              <w:numPr>
                <w:ilvl w:val="0"/>
                <w:numId w:val="10"/>
              </w:numPr>
              <w:spacing w:line="400" w:lineRule="exact"/>
            </w:pPr>
            <w:r>
              <w:t>大气环境高排放重点管控区/大气环境受体敏感重点管控区/大气环境布局敏感重点管控区；大祥产业开发区；</w:t>
            </w:r>
          </w:p>
          <w:p>
            <w:pPr>
              <w:numPr>
                <w:ilvl w:val="0"/>
                <w:numId w:val="10"/>
              </w:numPr>
              <w:spacing w:line="400" w:lineRule="exact"/>
            </w:pPr>
            <w:r>
              <w:t>农用地优先保护区/一般管控区；大祥产业开发区；</w:t>
            </w:r>
          </w:p>
          <w:p>
            <w:pPr>
              <w:numPr>
                <w:ilvl w:val="0"/>
                <w:numId w:val="10"/>
              </w:numPr>
              <w:spacing w:line="400" w:lineRule="exact"/>
              <w:rPr>
                <w:color w:val="000000"/>
                <w:sz w:val="22"/>
              </w:rPr>
            </w:pPr>
            <w:r>
              <w:t>农产品主产区/历史文化资源富集区；高污染燃料禁燃区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b/>
                <w:color w:val="000000"/>
                <w:szCs w:val="21"/>
              </w:rPr>
            </w:pPr>
            <w:r>
              <w:rPr>
                <w:b/>
                <w:color w:val="000000"/>
                <w:szCs w:val="21"/>
              </w:rPr>
              <w:t>管控维度</w:t>
            </w:r>
          </w:p>
        </w:tc>
        <w:tc>
          <w:tcPr>
            <w:tcW w:w="3376" w:type="pct"/>
            <w:gridSpan w:val="9"/>
            <w:vAlign w:val="center"/>
          </w:tcPr>
          <w:p>
            <w:pPr>
              <w:spacing w:line="400" w:lineRule="exact"/>
              <w:jc w:val="center"/>
              <w:rPr>
                <w:b/>
                <w:color w:val="000000"/>
                <w:szCs w:val="21"/>
              </w:rPr>
            </w:pPr>
            <w:r>
              <w:rPr>
                <w:b/>
                <w:color w:val="000000"/>
                <w:kern w:val="0"/>
                <w:szCs w:val="21"/>
              </w:rPr>
              <w:t>管控要求</w:t>
            </w:r>
          </w:p>
        </w:tc>
        <w:tc>
          <w:tcPr>
            <w:tcW w:w="1040"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空间布局约束</w:t>
            </w:r>
          </w:p>
        </w:tc>
        <w:tc>
          <w:tcPr>
            <w:tcW w:w="3376" w:type="pct"/>
            <w:gridSpan w:val="9"/>
            <w:shd w:val="clear" w:color="auto" w:fill="auto"/>
            <w:vAlign w:val="center"/>
          </w:tcPr>
          <w:p>
            <w:pPr>
              <w:numPr>
                <w:ilvl w:val="1"/>
                <w:numId w:val="7"/>
              </w:numPr>
              <w:tabs>
                <w:tab w:val="left" w:pos="0"/>
                <w:tab w:val="left" w:pos="425"/>
                <w:tab w:val="left" w:pos="1021"/>
              </w:tabs>
              <w:spacing w:line="400" w:lineRule="exact"/>
              <w:jc w:val="left"/>
              <w:rPr>
                <w:color w:val="000000"/>
                <w:szCs w:val="21"/>
              </w:rPr>
            </w:pPr>
            <w:r>
              <w:rPr>
                <w:color w:val="000000"/>
                <w:szCs w:val="21"/>
              </w:rPr>
              <w:t>执行市级空间布局约束相关要求，重点关注饮用水水源保护区/水环境优先保护区/大气环境受体敏感重点管控区。</w:t>
            </w:r>
          </w:p>
          <w:p>
            <w:pPr>
              <w:numPr>
                <w:ilvl w:val="1"/>
                <w:numId w:val="7"/>
              </w:numPr>
              <w:tabs>
                <w:tab w:val="left" w:pos="0"/>
                <w:tab w:val="left" w:pos="425"/>
                <w:tab w:val="left" w:pos="1021"/>
              </w:tabs>
              <w:spacing w:line="400" w:lineRule="exact"/>
              <w:jc w:val="left"/>
              <w:rPr>
                <w:color w:val="000000"/>
                <w:szCs w:val="21"/>
              </w:rPr>
            </w:pPr>
            <w:r>
              <w:rPr>
                <w:color w:val="000000"/>
                <w:szCs w:val="21"/>
              </w:rPr>
              <w:t>严格节能审查源头把关，坚决遏制高耗能高排放低水平项目盲目上马。严格执行国家区域削减和总量控制相关项目准入要求，腾挪发展空间，守牢区域环境质量不恶化底线。</w:t>
            </w:r>
          </w:p>
          <w:p>
            <w:pPr>
              <w:pStyle w:val="8"/>
              <w:numPr>
                <w:ilvl w:val="1"/>
                <w:numId w:val="0"/>
              </w:numPr>
              <w:shd w:val="clear" w:color="auto" w:fill="FFFFFF"/>
              <w:spacing w:before="0" w:beforeAutospacing="0" w:after="0" w:afterAutospacing="0" w:line="400" w:lineRule="exact"/>
              <w:jc w:val="both"/>
              <w:rPr>
                <w:rFonts w:ascii="Times New Roman" w:hAnsi="Times New Roman" w:cs="Times New Roman"/>
                <w:szCs w:val="21"/>
              </w:rPr>
            </w:pPr>
            <w:r>
              <w:rPr>
                <w:rFonts w:ascii="Times New Roman" w:hAnsi="Times New Roman" w:cs="Times New Roman"/>
                <w:szCs w:val="21"/>
              </w:rPr>
              <w:t>（1.3）新、改、扩建涉重项目严格遵循重金属排放“减量替代”或“等量替代”原则。</w:t>
            </w:r>
          </w:p>
        </w:tc>
        <w:tc>
          <w:tcPr>
            <w:tcW w:w="1040" w:type="pct"/>
            <w:gridSpan w:val="2"/>
            <w:vMerge w:val="restart"/>
            <w:shd w:val="clear" w:color="auto" w:fill="auto"/>
          </w:tcPr>
          <w:p>
            <w:pPr>
              <w:spacing w:line="400" w:lineRule="exact"/>
              <w:rPr>
                <w:szCs w:val="21"/>
              </w:rPr>
            </w:pPr>
            <w:r>
              <w:rPr>
                <w:szCs w:val="21"/>
              </w:rPr>
              <w:t>（1.1）《邵阳市生态环境总体管控要求》</w:t>
            </w:r>
          </w:p>
          <w:p>
            <w:pPr>
              <w:spacing w:line="400" w:lineRule="exact"/>
              <w:rPr>
                <w:szCs w:val="21"/>
              </w:rPr>
            </w:pPr>
            <w:r>
              <w:rPr>
                <w:szCs w:val="21"/>
              </w:rPr>
              <w:t>（1.2）（1.3）（2.1.1）（2.1.2）（2.1.3）（2.2.1）（2.2.2）（2.2.3）（2.3.1）（2.3.2）（2.3.3）（2.4）</w:t>
            </w:r>
            <w:r>
              <w:rPr>
                <w:color w:val="000000"/>
                <w:szCs w:val="21"/>
              </w:rPr>
              <w:t>（2.5）</w:t>
            </w:r>
            <w:r>
              <w:rPr>
                <w:szCs w:val="21"/>
              </w:rPr>
              <w:t>（3.1）（3.2）（3.4）《2024年大祥区深入打好污染防治攻坚战工作方案》</w:t>
            </w:r>
          </w:p>
          <w:p>
            <w:pPr>
              <w:tabs>
                <w:tab w:val="left" w:pos="1021"/>
              </w:tabs>
              <w:spacing w:line="400" w:lineRule="exact"/>
              <w:jc w:val="left"/>
              <w:rPr>
                <w:color w:val="000000"/>
              </w:rPr>
            </w:pPr>
            <w:r>
              <w:rPr>
                <w:szCs w:val="21"/>
              </w:rPr>
              <w:t>（2.2.4）《邵阳市人民政府办公室关于印发《邵阳市“十四五”生态环境保护规划》的通知》</w:t>
            </w:r>
          </w:p>
          <w:p>
            <w:pPr>
              <w:tabs>
                <w:tab w:val="left" w:pos="1021"/>
              </w:tabs>
              <w:spacing w:line="400" w:lineRule="exact"/>
              <w:jc w:val="left"/>
              <w:rPr>
                <w:szCs w:val="21"/>
              </w:rPr>
            </w:pPr>
            <w:r>
              <w:rPr>
                <w:szCs w:val="21"/>
              </w:rPr>
              <w:t>（3.3）</w:t>
            </w:r>
            <w:r>
              <w:rPr>
                <w:color w:val="000000"/>
                <w:szCs w:val="21"/>
              </w:rPr>
              <w:t>（4.1）（4.3）《邵阳市大祥区国民经济和社会发展第十四个五年规划和二〇三五年远景目标纲要》</w:t>
            </w:r>
          </w:p>
          <w:p>
            <w:pPr>
              <w:spacing w:line="400" w:lineRule="exact"/>
              <w:rPr>
                <w:szCs w:val="21"/>
              </w:rPr>
            </w:pPr>
            <w:r>
              <w:rPr>
                <w:szCs w:val="21"/>
              </w:rPr>
              <w:t>（4.2）《邵阳市水利局邵阳市发展和改革委员会关于印发“十四五”用水量和强度双控目标的通知》</w:t>
            </w:r>
          </w:p>
          <w:p>
            <w:pPr>
              <w:tabs>
                <w:tab w:val="left" w:pos="1021"/>
              </w:tabs>
              <w:spacing w:line="400" w:lineRule="exact"/>
              <w:rPr>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污染物排放管控</w:t>
            </w:r>
          </w:p>
        </w:tc>
        <w:tc>
          <w:tcPr>
            <w:tcW w:w="3376" w:type="pct"/>
            <w:gridSpan w:val="9"/>
            <w:shd w:val="clear" w:color="auto" w:fill="auto"/>
            <w:vAlign w:val="center"/>
          </w:tcPr>
          <w:p>
            <w:pPr>
              <w:tabs>
                <w:tab w:val="left" w:pos="1021"/>
              </w:tabs>
              <w:spacing w:line="400" w:lineRule="exact"/>
              <w:jc w:val="left"/>
              <w:rPr>
                <w:color w:val="000000"/>
                <w:szCs w:val="21"/>
              </w:rPr>
            </w:pPr>
            <w:r>
              <w:rPr>
                <w:color w:val="000000"/>
                <w:szCs w:val="21"/>
              </w:rPr>
              <w:t>（2.1）废水：</w:t>
            </w:r>
          </w:p>
          <w:p>
            <w:pPr>
              <w:tabs>
                <w:tab w:val="left" w:pos="1021"/>
              </w:tabs>
              <w:spacing w:line="400" w:lineRule="exact"/>
              <w:ind w:firstLine="420" w:firstLineChars="200"/>
              <w:jc w:val="left"/>
              <w:rPr>
                <w:szCs w:val="21"/>
              </w:rPr>
            </w:pPr>
            <w:r>
              <w:rPr>
                <w:color w:val="000000"/>
                <w:szCs w:val="21"/>
              </w:rPr>
              <w:t>（2.1.1）</w:t>
            </w:r>
            <w:r>
              <w:rPr>
                <w:szCs w:val="21"/>
              </w:rPr>
              <w:t>加强生活污水处理设施建设，推进城市污水管网建设改造，推进污水收集管网排查整治。提高城区公共基础设施、居民小区排水雨污分流比例，提升污水收集处理率，至“十四五”末期使城区污水处理率达到98%；</w:t>
            </w:r>
          </w:p>
          <w:p>
            <w:pPr>
              <w:tabs>
                <w:tab w:val="left" w:pos="1021"/>
              </w:tabs>
              <w:spacing w:line="400" w:lineRule="exact"/>
              <w:ind w:firstLine="420" w:firstLineChars="200"/>
              <w:jc w:val="left"/>
              <w:rPr>
                <w:szCs w:val="21"/>
              </w:rPr>
            </w:pPr>
            <w:r>
              <w:rPr>
                <w:color w:val="000000"/>
                <w:szCs w:val="21"/>
              </w:rPr>
              <w:t>（2.1.2）</w:t>
            </w:r>
            <w:r>
              <w:rPr>
                <w:szCs w:val="21"/>
              </w:rPr>
              <w:t>持续推进农村生活污水治理，组织各乡镇街道完成分散式农村生活污水处理设施排查与整改，加强集中式农村生活污水处理设施管护。</w:t>
            </w:r>
          </w:p>
          <w:p>
            <w:pPr>
              <w:tabs>
                <w:tab w:val="left" w:pos="1021"/>
              </w:tabs>
              <w:spacing w:line="400" w:lineRule="exact"/>
              <w:ind w:firstLine="420" w:firstLineChars="200"/>
              <w:jc w:val="left"/>
              <w:rPr>
                <w:szCs w:val="21"/>
              </w:rPr>
            </w:pPr>
            <w:r>
              <w:rPr>
                <w:szCs w:val="21"/>
              </w:rPr>
              <w:t>（2.1.3）加强医疗废水废物处置，确保医疗废水全收集全处置。</w:t>
            </w:r>
          </w:p>
          <w:p>
            <w:pPr>
              <w:tabs>
                <w:tab w:val="left" w:pos="1021"/>
              </w:tabs>
              <w:spacing w:line="400" w:lineRule="exact"/>
              <w:jc w:val="left"/>
              <w:rPr>
                <w:szCs w:val="21"/>
              </w:rPr>
            </w:pPr>
            <w:r>
              <w:rPr>
                <w:szCs w:val="21"/>
              </w:rPr>
              <w:t>（2.2）废气：</w:t>
            </w:r>
          </w:p>
          <w:p>
            <w:pPr>
              <w:tabs>
                <w:tab w:val="left" w:pos="1021"/>
              </w:tabs>
              <w:spacing w:line="400" w:lineRule="exact"/>
              <w:ind w:firstLine="420" w:firstLineChars="200"/>
              <w:jc w:val="left"/>
              <w:rPr>
                <w:szCs w:val="21"/>
              </w:rPr>
            </w:pPr>
            <w:r>
              <w:rPr>
                <w:color w:val="000000"/>
                <w:szCs w:val="21"/>
              </w:rPr>
              <w:t>（2.2.1）</w:t>
            </w:r>
            <w:r>
              <w:rPr>
                <w:szCs w:val="21"/>
                <w:lang w:val="zh-CN"/>
              </w:rPr>
              <w:t>严格落实《</w:t>
            </w:r>
            <w:r>
              <w:rPr>
                <w:szCs w:val="21"/>
              </w:rPr>
              <w:t>邵阳市市城区环境空气质量突出问题专项整治行动方案</w:t>
            </w:r>
            <w:r>
              <w:rPr>
                <w:szCs w:val="21"/>
                <w:lang w:val="zh-CN"/>
              </w:rPr>
              <w:t>》，</w:t>
            </w:r>
            <w:r>
              <w:rPr>
                <w:szCs w:val="21"/>
              </w:rPr>
              <w:t>有效削减各类大气污染物排放。</w:t>
            </w:r>
          </w:p>
          <w:p>
            <w:pPr>
              <w:tabs>
                <w:tab w:val="left" w:pos="1021"/>
              </w:tabs>
              <w:spacing w:line="400" w:lineRule="exact"/>
              <w:ind w:firstLine="420" w:firstLineChars="200"/>
              <w:jc w:val="left"/>
              <w:rPr>
                <w:szCs w:val="21"/>
              </w:rPr>
            </w:pPr>
            <w:r>
              <w:rPr>
                <w:szCs w:val="21"/>
              </w:rPr>
              <w:t>（2.2.2）根据《邵阳市农业领域大气污染防治攻坚实施方案》，推进农作物秸秆综合利用与指导农村禁止秸秆露天焚烧。</w:t>
            </w:r>
          </w:p>
          <w:p>
            <w:pPr>
              <w:tabs>
                <w:tab w:val="left" w:pos="1021"/>
              </w:tabs>
              <w:spacing w:line="400" w:lineRule="exact"/>
              <w:ind w:firstLine="420" w:firstLineChars="200"/>
              <w:jc w:val="left"/>
              <w:rPr>
                <w:szCs w:val="21"/>
              </w:rPr>
            </w:pPr>
            <w:r>
              <w:rPr>
                <w:szCs w:val="21"/>
              </w:rPr>
              <w:t>（2.2.3）实行重点排放源排放浓度与去除效率双重控制；加强汽修行业VOCs综合治理，加大餐饮油烟污染治理力度，推进城市餐饮油烟治理全覆盖。</w:t>
            </w:r>
          </w:p>
          <w:p>
            <w:pPr>
              <w:tabs>
                <w:tab w:val="left" w:pos="1021"/>
              </w:tabs>
              <w:spacing w:line="400" w:lineRule="exact"/>
              <w:ind w:firstLine="420" w:firstLineChars="200"/>
              <w:jc w:val="left"/>
            </w:pPr>
            <w:r>
              <w:rPr>
                <w:szCs w:val="21"/>
              </w:rPr>
              <w:t>（2.2.4）加强扬尘污染治理。城市建成区内房屋建筑和市政基础设施工程施工工地严格落实扬尘防控"六个100%”</w:t>
            </w:r>
          </w:p>
          <w:p>
            <w:pPr>
              <w:tabs>
                <w:tab w:val="left" w:pos="1021"/>
              </w:tabs>
              <w:spacing w:line="400" w:lineRule="exact"/>
              <w:jc w:val="left"/>
              <w:rPr>
                <w:color w:val="000000"/>
                <w:szCs w:val="21"/>
              </w:rPr>
            </w:pPr>
            <w:r>
              <w:rPr>
                <w:color w:val="000000"/>
                <w:szCs w:val="21"/>
              </w:rPr>
              <w:t>（2.3）固体废物：</w:t>
            </w:r>
          </w:p>
          <w:p>
            <w:pPr>
              <w:tabs>
                <w:tab w:val="left" w:pos="1021"/>
              </w:tabs>
              <w:spacing w:line="400" w:lineRule="exact"/>
              <w:ind w:firstLine="420" w:firstLineChars="200"/>
              <w:jc w:val="left"/>
              <w:rPr>
                <w:szCs w:val="21"/>
              </w:rPr>
            </w:pPr>
            <w:r>
              <w:rPr>
                <w:szCs w:val="21"/>
              </w:rPr>
              <w:t>（2.3.1）加强生活垃圾处理设施建设。持续推进生活垃圾填埋场整治，建立动态管控机制。</w:t>
            </w:r>
          </w:p>
          <w:p>
            <w:pPr>
              <w:tabs>
                <w:tab w:val="left" w:pos="1021"/>
              </w:tabs>
              <w:spacing w:line="400" w:lineRule="exact"/>
              <w:ind w:firstLine="420" w:firstLineChars="200"/>
              <w:jc w:val="left"/>
              <w:rPr>
                <w:szCs w:val="21"/>
              </w:rPr>
            </w:pPr>
            <w:r>
              <w:rPr>
                <w:szCs w:val="21"/>
              </w:rPr>
              <w:t>（2.3.2）积极实施农业面源污染整县推进项目，深入推进化肥农药减量增效，依法落实化肥使用总量控制，统筹推进农膜秸秆回收利用，2024年全区农膜回收率和秸秆综合利用率分别达到83%以上和86%以上。</w:t>
            </w:r>
          </w:p>
          <w:p>
            <w:pPr>
              <w:tabs>
                <w:tab w:val="left" w:pos="1021"/>
              </w:tabs>
              <w:spacing w:line="400" w:lineRule="exact"/>
              <w:ind w:firstLine="420" w:firstLineChars="200"/>
              <w:jc w:val="left"/>
              <w:rPr>
                <w:szCs w:val="21"/>
              </w:rPr>
            </w:pPr>
            <w:r>
              <w:rPr>
                <w:szCs w:val="21"/>
              </w:rPr>
              <w:t>（2.3.3）推进以种养结合为重点的畜禽养殖废弃物资源利用，推进养殖尾水节水减排。</w:t>
            </w:r>
          </w:p>
          <w:p>
            <w:pPr>
              <w:tabs>
                <w:tab w:val="left" w:pos="1021"/>
              </w:tabs>
              <w:spacing w:line="400" w:lineRule="exact"/>
              <w:jc w:val="left"/>
              <w:rPr>
                <w:szCs w:val="21"/>
              </w:rPr>
            </w:pPr>
            <w:r>
              <w:rPr>
                <w:color w:val="000000"/>
                <w:szCs w:val="21"/>
              </w:rPr>
              <w:t>（2.4</w:t>
            </w:r>
            <w:r>
              <w:rPr>
                <w:szCs w:val="21"/>
              </w:rPr>
              <w:t>）加强矿山保护修复，继续推进绿色矿山建设，统筹开展全区废弃矿山生态修复工作，完成17.13公顷的历史遗留矿山修复任务。</w:t>
            </w:r>
          </w:p>
          <w:p>
            <w:pPr>
              <w:tabs>
                <w:tab w:val="left" w:pos="1021"/>
              </w:tabs>
              <w:spacing w:line="400" w:lineRule="exact"/>
              <w:jc w:val="left"/>
              <w:rPr>
                <w:color w:val="000000"/>
                <w:szCs w:val="21"/>
              </w:rPr>
            </w:pPr>
            <w:r>
              <w:rPr>
                <w:szCs w:val="21"/>
              </w:rPr>
              <w:t>（2.5）加强“一废一品一库一重”环境风险监管，开展废矿物油、废铅蓄电池、实验室废物等专项治理行动。</w:t>
            </w:r>
          </w:p>
        </w:tc>
        <w:tc>
          <w:tcPr>
            <w:tcW w:w="1040"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环境风险防控</w:t>
            </w:r>
          </w:p>
        </w:tc>
        <w:tc>
          <w:tcPr>
            <w:tcW w:w="3376" w:type="pct"/>
            <w:gridSpan w:val="9"/>
            <w:shd w:val="clear" w:color="auto" w:fill="auto"/>
            <w:vAlign w:val="center"/>
          </w:tcPr>
          <w:p>
            <w:pPr>
              <w:pStyle w:val="8"/>
              <w:numPr>
                <w:ilvl w:val="1"/>
                <w:numId w:val="0"/>
              </w:numPr>
              <w:shd w:val="clear" w:color="auto" w:fill="FFFFFF"/>
              <w:spacing w:before="0" w:beforeAutospacing="0" w:after="0" w:afterAutospacing="0" w:line="400" w:lineRule="exact"/>
              <w:jc w:val="both"/>
              <w:rPr>
                <w:rFonts w:ascii="Times New Roman" w:hAnsi="Times New Roman" w:cs="Times New Roman"/>
                <w:strike/>
                <w:szCs w:val="21"/>
              </w:rPr>
            </w:pPr>
            <w:r>
              <w:rPr>
                <w:rFonts w:ascii="Times New Roman" w:hAnsi="Times New Roman" w:cs="Times New Roman"/>
                <w:kern w:val="2"/>
                <w:sz w:val="21"/>
                <w:szCs w:val="21"/>
              </w:rPr>
              <w:t>（3.1）有效管控建设用地土壤污染风险，持续开展重点行业企业用地调查和典型行业周边土壤环境调查，进一步摸清污染地块底数和污染成因。严格土壤污染重点监管单位和沿江化工企业搬迁腾退用地土壤污染风险管控。</w:t>
            </w:r>
          </w:p>
          <w:p>
            <w:pPr>
              <w:tabs>
                <w:tab w:val="left" w:pos="1021"/>
              </w:tabs>
              <w:spacing w:line="400" w:lineRule="exact"/>
              <w:jc w:val="left"/>
              <w:rPr>
                <w:szCs w:val="21"/>
              </w:rPr>
            </w:pPr>
            <w:r>
              <w:rPr>
                <w:szCs w:val="21"/>
              </w:rPr>
              <w:t>（3.2）推进农用地土壤污染防治和安全利用，严格涉镉等重金属行业大气、水污染物排放管控，全面排查整治涉镉等重金属关停企业及矿区历史遗留固体废物。</w:t>
            </w:r>
          </w:p>
          <w:p>
            <w:pPr>
              <w:tabs>
                <w:tab w:val="left" w:pos="1021"/>
              </w:tabs>
              <w:spacing w:line="400" w:lineRule="exact"/>
              <w:jc w:val="left"/>
              <w:rPr>
                <w:szCs w:val="21"/>
              </w:rPr>
            </w:pPr>
            <w:r>
              <w:rPr>
                <w:szCs w:val="21"/>
              </w:rPr>
              <w:t>（3.3）</w:t>
            </w:r>
            <w:r>
              <w:rPr>
                <w:color w:val="000000"/>
                <w:szCs w:val="21"/>
              </w:rPr>
              <w:t>指导各乡镇街道开展受污染耕地土壤重金属成因排查，督促开展污染源头风险管控，严格分类管理，建立管理清单，确保受污染耕地安全利用率达到91%。</w:t>
            </w:r>
          </w:p>
          <w:p>
            <w:pPr>
              <w:tabs>
                <w:tab w:val="left" w:pos="1021"/>
              </w:tabs>
              <w:spacing w:line="400" w:lineRule="exact"/>
              <w:rPr>
                <w:color w:val="000000"/>
                <w:szCs w:val="21"/>
              </w:rPr>
            </w:pPr>
            <w:r>
              <w:rPr>
                <w:szCs w:val="21"/>
              </w:rPr>
              <w:t>（3.4）开展集中式饮用水水源地突出环境问题排查整治“回头看”，巩固前期规范化建设和突出环境问题整治成效。持续推进集中式水源地基础信息调查和保护区勘界定标。推进饮用水水源地水质持续提升。</w:t>
            </w:r>
          </w:p>
        </w:tc>
        <w:tc>
          <w:tcPr>
            <w:tcW w:w="1040"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资源开发效率要求</w:t>
            </w:r>
          </w:p>
        </w:tc>
        <w:tc>
          <w:tcPr>
            <w:tcW w:w="3376" w:type="pct"/>
            <w:gridSpan w:val="9"/>
            <w:shd w:val="clear" w:color="auto" w:fill="auto"/>
            <w:vAlign w:val="center"/>
          </w:tcPr>
          <w:p>
            <w:pPr>
              <w:tabs>
                <w:tab w:val="left" w:pos="1021"/>
              </w:tabs>
              <w:spacing w:line="400" w:lineRule="exact"/>
              <w:rPr>
                <w:color w:val="000000"/>
                <w:szCs w:val="21"/>
              </w:rPr>
            </w:pPr>
            <w:r>
              <w:rPr>
                <w:color w:val="000000"/>
                <w:szCs w:val="21"/>
              </w:rPr>
              <w:t>（4.1）能源：以国家能源战略调整为契机，加快太阳能、生物质能等可再生能源的利用，形成安全、稳定、清洁、高效的能源保障体系。</w:t>
            </w:r>
          </w:p>
          <w:p>
            <w:pPr>
              <w:tabs>
                <w:tab w:val="left" w:pos="1021"/>
              </w:tabs>
              <w:spacing w:line="400" w:lineRule="exact"/>
              <w:rPr>
                <w:szCs w:val="21"/>
              </w:rPr>
            </w:pPr>
            <w:r>
              <w:rPr>
                <w:color w:val="000000"/>
                <w:szCs w:val="21"/>
              </w:rPr>
              <w:t>（4.2）水资源：</w:t>
            </w:r>
            <w:r>
              <w:rPr>
                <w:szCs w:val="21"/>
              </w:rPr>
              <w:t>到2025年，大祥区用水总量1.174亿立方米，万元地区生产总值用水量比2020年下降22.78%，万元工业增加值用水量比2020年下降14.13%，农田灌溉水有效利用系数0.575。</w:t>
            </w:r>
          </w:p>
          <w:p>
            <w:pPr>
              <w:tabs>
                <w:tab w:val="left" w:pos="1021"/>
              </w:tabs>
              <w:spacing w:line="400" w:lineRule="exact"/>
              <w:rPr>
                <w:b/>
                <w:bCs/>
                <w:color w:val="000000"/>
                <w:kern w:val="44"/>
                <w:sz w:val="44"/>
                <w:szCs w:val="21"/>
              </w:rPr>
            </w:pPr>
            <w:r>
              <w:rPr>
                <w:color w:val="000000"/>
                <w:szCs w:val="21"/>
              </w:rPr>
              <w:t>（4.3）土地资源：确保全市耕地保有量不低于39.5万公顷，永久基本农田保护面积不低于34.3万公顷。</w:t>
            </w:r>
          </w:p>
        </w:tc>
        <w:tc>
          <w:tcPr>
            <w:tcW w:w="1040" w:type="pct"/>
            <w:gridSpan w:val="2"/>
            <w:vMerge w:val="continue"/>
            <w:vAlign w:val="center"/>
          </w:tcPr>
          <w:p>
            <w:pPr>
              <w:spacing w:line="400" w:lineRule="exact"/>
            </w:pPr>
          </w:p>
        </w:tc>
      </w:tr>
    </w:tbl>
    <w:p>
      <w:pPr>
        <w:spacing w:line="400" w:lineRule="exact"/>
      </w:pPr>
    </w:p>
    <w:p>
      <w:pPr>
        <w:rPr>
          <w:rStyle w:val="20"/>
          <w:rFonts w:ascii="Times New Roman" w:hAnsi="Times New Roman" w:cs="Times New Roman"/>
        </w:rPr>
      </w:pPr>
      <w:r>
        <w:rPr>
          <w:rStyle w:val="20"/>
          <w:rFonts w:ascii="Times New Roman" w:hAnsi="Times New Roman" w:cs="Times New Roman"/>
        </w:rPr>
        <w:br w:type="page"/>
      </w:r>
    </w:p>
    <w:p>
      <w:pPr>
        <w:pStyle w:val="2"/>
        <w:rPr>
          <w:rFonts w:ascii="Times New Roman" w:hAnsi="Times New Roman" w:cs="Times New Roman"/>
        </w:rPr>
      </w:pPr>
      <w:bookmarkStart w:id="31" w:name="_Toc2297"/>
      <w:bookmarkStart w:id="32" w:name="_Toc57836518"/>
      <w:r>
        <w:rPr>
          <w:rFonts w:ascii="Times New Roman" w:hAnsi="Times New Roman" w:cs="Times New Roman"/>
        </w:rPr>
        <w:t>2-3北塔区</w:t>
      </w:r>
      <w:bookmarkEnd w:id="31"/>
      <w:bookmarkEnd w:id="32"/>
    </w:p>
    <w:tbl>
      <w:tblPr>
        <w:tblStyle w:val="10"/>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66"/>
        <w:gridCol w:w="432"/>
        <w:gridCol w:w="436"/>
        <w:gridCol w:w="437"/>
        <w:gridCol w:w="718"/>
        <w:gridCol w:w="1340"/>
        <w:gridCol w:w="988"/>
        <w:gridCol w:w="1505"/>
        <w:gridCol w:w="2037"/>
        <w:gridCol w:w="452"/>
        <w:gridCol w:w="291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Merge w:val="restart"/>
            <w:vAlign w:val="center"/>
          </w:tcPr>
          <w:p>
            <w:pPr>
              <w:widowControl/>
              <w:jc w:val="center"/>
              <w:rPr>
                <w:b/>
                <w:color w:val="000000"/>
                <w:kern w:val="0"/>
                <w:szCs w:val="21"/>
              </w:rPr>
            </w:pPr>
            <w:r>
              <w:rPr>
                <w:b/>
                <w:color w:val="000000"/>
                <w:kern w:val="0"/>
                <w:szCs w:val="21"/>
              </w:rPr>
              <w:t>环境管控单元编码</w:t>
            </w:r>
          </w:p>
        </w:tc>
        <w:tc>
          <w:tcPr>
            <w:tcW w:w="445" w:type="pct"/>
            <w:vMerge w:val="restart"/>
            <w:vAlign w:val="center"/>
          </w:tcPr>
          <w:p>
            <w:pPr>
              <w:widowControl/>
              <w:jc w:val="center"/>
              <w:rPr>
                <w:b/>
                <w:color w:val="000000"/>
                <w:kern w:val="0"/>
                <w:szCs w:val="21"/>
              </w:rPr>
            </w:pPr>
            <w:r>
              <w:rPr>
                <w:b/>
                <w:color w:val="000000"/>
                <w:kern w:val="0"/>
                <w:szCs w:val="21"/>
              </w:rPr>
              <w:t>单元名称</w:t>
            </w:r>
          </w:p>
        </w:tc>
        <w:tc>
          <w:tcPr>
            <w:tcW w:w="459" w:type="pct"/>
            <w:gridSpan w:val="3"/>
            <w:vAlign w:val="center"/>
          </w:tcPr>
          <w:p>
            <w:pPr>
              <w:widowControl/>
              <w:jc w:val="center"/>
              <w:rPr>
                <w:b/>
                <w:color w:val="000000"/>
                <w:kern w:val="0"/>
                <w:szCs w:val="21"/>
              </w:rPr>
            </w:pPr>
            <w:r>
              <w:rPr>
                <w:b/>
                <w:color w:val="000000"/>
                <w:kern w:val="0"/>
                <w:szCs w:val="21"/>
              </w:rPr>
              <w:t>行政区划</w:t>
            </w:r>
          </w:p>
        </w:tc>
        <w:tc>
          <w:tcPr>
            <w:tcW w:w="253" w:type="pct"/>
            <w:vMerge w:val="restart"/>
            <w:vAlign w:val="center"/>
          </w:tcPr>
          <w:p>
            <w:pPr>
              <w:widowControl/>
              <w:jc w:val="center"/>
              <w:rPr>
                <w:b/>
                <w:color w:val="000000"/>
                <w:kern w:val="0"/>
                <w:szCs w:val="21"/>
              </w:rPr>
            </w:pPr>
            <w:r>
              <w:rPr>
                <w:b/>
                <w:color w:val="000000"/>
                <w:kern w:val="0"/>
                <w:szCs w:val="21"/>
              </w:rPr>
              <w:t>单元分类</w:t>
            </w:r>
          </w:p>
        </w:tc>
        <w:tc>
          <w:tcPr>
            <w:tcW w:w="471"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47" w:type="pct"/>
            <w:vMerge w:val="restart"/>
            <w:vAlign w:val="center"/>
          </w:tcPr>
          <w:p>
            <w:pPr>
              <w:jc w:val="center"/>
              <w:rPr>
                <w:b/>
                <w:color w:val="000000"/>
                <w:kern w:val="0"/>
                <w:szCs w:val="21"/>
              </w:rPr>
            </w:pPr>
            <w:r>
              <w:rPr>
                <w:b/>
                <w:color w:val="000000"/>
                <w:kern w:val="0"/>
                <w:szCs w:val="21"/>
              </w:rPr>
              <w:t>涉及乡镇(街道)</w:t>
            </w:r>
          </w:p>
        </w:tc>
        <w:tc>
          <w:tcPr>
            <w:tcW w:w="529" w:type="pct"/>
            <w:vMerge w:val="restart"/>
            <w:vAlign w:val="center"/>
          </w:tcPr>
          <w:p>
            <w:pPr>
              <w:jc w:val="center"/>
              <w:rPr>
                <w:b/>
                <w:color w:val="000000"/>
                <w:kern w:val="0"/>
                <w:szCs w:val="21"/>
              </w:rPr>
            </w:pPr>
            <w:r>
              <w:rPr>
                <w:b/>
                <w:color w:val="000000"/>
                <w:kern w:val="0"/>
                <w:szCs w:val="21"/>
              </w:rPr>
              <w:t>主体功能定位</w:t>
            </w:r>
          </w:p>
        </w:tc>
        <w:tc>
          <w:tcPr>
            <w:tcW w:w="877" w:type="pct"/>
            <w:gridSpan w:val="2"/>
            <w:vMerge w:val="restart"/>
            <w:vAlign w:val="center"/>
          </w:tcPr>
          <w:p>
            <w:pPr>
              <w:jc w:val="center"/>
              <w:rPr>
                <w:b/>
                <w:color w:val="000000"/>
                <w:kern w:val="0"/>
                <w:szCs w:val="21"/>
              </w:rPr>
            </w:pPr>
            <w:r>
              <w:rPr>
                <w:b/>
                <w:color w:val="000000"/>
                <w:kern w:val="0"/>
                <w:szCs w:val="21"/>
              </w:rPr>
              <w:t>经济产业布局</w:t>
            </w:r>
          </w:p>
        </w:tc>
        <w:tc>
          <w:tcPr>
            <w:tcW w:w="1027" w:type="pct"/>
            <w:gridSpan w:val="2"/>
            <w:vMerge w:val="restart"/>
            <w:vAlign w:val="center"/>
          </w:tcPr>
          <w:p>
            <w:pPr>
              <w:jc w:val="center"/>
              <w:rPr>
                <w:b/>
                <w:color w:val="000000"/>
                <w:kern w:val="0"/>
                <w:szCs w:val="21"/>
              </w:rPr>
            </w:pPr>
            <w:r>
              <w:rPr>
                <w:b/>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8" w:type="pct"/>
            <w:vMerge w:val="continue"/>
            <w:vAlign w:val="center"/>
          </w:tcPr>
          <w:p/>
        </w:tc>
        <w:tc>
          <w:tcPr>
            <w:tcW w:w="445" w:type="pct"/>
            <w:vMerge w:val="continue"/>
            <w:vAlign w:val="center"/>
          </w:tcPr>
          <w:p/>
        </w:tc>
        <w:tc>
          <w:tcPr>
            <w:tcW w:w="152" w:type="pct"/>
            <w:vAlign w:val="center"/>
          </w:tcPr>
          <w:p>
            <w:pPr>
              <w:jc w:val="center"/>
              <w:rPr>
                <w:b/>
                <w:color w:val="000000"/>
                <w:szCs w:val="21"/>
              </w:rPr>
            </w:pPr>
            <w:r>
              <w:rPr>
                <w:b/>
                <w:color w:val="000000"/>
                <w:szCs w:val="21"/>
              </w:rPr>
              <w:t>省</w:t>
            </w:r>
          </w:p>
        </w:tc>
        <w:tc>
          <w:tcPr>
            <w:tcW w:w="153" w:type="pct"/>
            <w:vAlign w:val="center"/>
          </w:tcPr>
          <w:p>
            <w:pPr>
              <w:jc w:val="center"/>
              <w:rPr>
                <w:b/>
                <w:color w:val="000000"/>
                <w:szCs w:val="21"/>
              </w:rPr>
            </w:pPr>
            <w:r>
              <w:rPr>
                <w:b/>
                <w:color w:val="000000"/>
                <w:szCs w:val="21"/>
              </w:rPr>
              <w:t>市</w:t>
            </w:r>
          </w:p>
        </w:tc>
        <w:tc>
          <w:tcPr>
            <w:tcW w:w="153" w:type="pct"/>
            <w:vAlign w:val="center"/>
          </w:tcPr>
          <w:p>
            <w:pPr>
              <w:jc w:val="center"/>
              <w:rPr>
                <w:b/>
                <w:color w:val="000000"/>
                <w:szCs w:val="21"/>
              </w:rPr>
            </w:pPr>
            <w:r>
              <w:rPr>
                <w:b/>
                <w:color w:val="000000"/>
                <w:szCs w:val="21"/>
              </w:rPr>
              <w:t>县</w:t>
            </w:r>
          </w:p>
        </w:tc>
        <w:tc>
          <w:tcPr>
            <w:tcW w:w="253" w:type="pct"/>
            <w:vMerge w:val="continue"/>
            <w:vAlign w:val="center"/>
          </w:tcPr>
          <w:p/>
        </w:tc>
        <w:tc>
          <w:tcPr>
            <w:tcW w:w="471" w:type="pct"/>
            <w:vMerge w:val="continue"/>
            <w:vAlign w:val="center"/>
          </w:tcPr>
          <w:p/>
        </w:tc>
        <w:tc>
          <w:tcPr>
            <w:tcW w:w="347" w:type="pct"/>
            <w:vMerge w:val="continue"/>
            <w:vAlign w:val="center"/>
          </w:tcPr>
          <w:p/>
        </w:tc>
        <w:tc>
          <w:tcPr>
            <w:tcW w:w="529" w:type="pct"/>
            <w:vMerge w:val="continue"/>
            <w:vAlign w:val="center"/>
          </w:tcPr>
          <w:p/>
        </w:tc>
        <w:tc>
          <w:tcPr>
            <w:tcW w:w="877" w:type="pct"/>
            <w:gridSpan w:val="2"/>
            <w:vMerge w:val="continue"/>
            <w:vAlign w:val="center"/>
          </w:tcPr>
          <w:p/>
        </w:tc>
        <w:tc>
          <w:tcPr>
            <w:tcW w:w="1027"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jc w:val="center"/>
        </w:trPr>
        <w:tc>
          <w:tcPr>
            <w:tcW w:w="588" w:type="pct"/>
            <w:vAlign w:val="center"/>
          </w:tcPr>
          <w:p>
            <w:pPr>
              <w:widowControl/>
              <w:jc w:val="center"/>
              <w:rPr>
                <w:color w:val="000000"/>
                <w:kern w:val="0"/>
                <w:szCs w:val="21"/>
              </w:rPr>
            </w:pPr>
            <w:r>
              <w:rPr>
                <w:color w:val="000000"/>
                <w:kern w:val="0"/>
                <w:szCs w:val="21"/>
              </w:rPr>
              <w:t>ZH43051120001</w:t>
            </w:r>
          </w:p>
        </w:tc>
        <w:tc>
          <w:tcPr>
            <w:tcW w:w="445" w:type="pct"/>
            <w:vAlign w:val="center"/>
          </w:tcPr>
          <w:p>
            <w:pPr>
              <w:widowControl/>
              <w:jc w:val="center"/>
              <w:rPr>
                <w:color w:val="000000"/>
                <w:kern w:val="0"/>
                <w:szCs w:val="21"/>
              </w:rPr>
            </w:pPr>
            <w:r>
              <w:rPr>
                <w:color w:val="000000"/>
                <w:szCs w:val="21"/>
              </w:rPr>
              <w:t>茶元头街道\陈家桥乡\田江街道\新滩镇街道\状元洲街道</w:t>
            </w:r>
          </w:p>
        </w:tc>
        <w:tc>
          <w:tcPr>
            <w:tcW w:w="152" w:type="pct"/>
            <w:vAlign w:val="center"/>
          </w:tcPr>
          <w:p>
            <w:pPr>
              <w:widowControl/>
              <w:jc w:val="center"/>
              <w:rPr>
                <w:color w:val="000000"/>
                <w:kern w:val="0"/>
                <w:szCs w:val="21"/>
              </w:rPr>
            </w:pPr>
            <w:r>
              <w:rPr>
                <w:color w:val="000000"/>
                <w:kern w:val="0"/>
                <w:szCs w:val="21"/>
              </w:rPr>
              <w:t>湖南</w:t>
            </w:r>
          </w:p>
        </w:tc>
        <w:tc>
          <w:tcPr>
            <w:tcW w:w="153" w:type="pct"/>
            <w:vAlign w:val="center"/>
          </w:tcPr>
          <w:p>
            <w:pPr>
              <w:widowControl/>
              <w:jc w:val="center"/>
              <w:rPr>
                <w:color w:val="000000"/>
                <w:kern w:val="0"/>
                <w:szCs w:val="21"/>
              </w:rPr>
            </w:pPr>
            <w:r>
              <w:rPr>
                <w:color w:val="000000"/>
                <w:kern w:val="0"/>
                <w:szCs w:val="21"/>
              </w:rPr>
              <w:t>邵阳</w:t>
            </w:r>
          </w:p>
        </w:tc>
        <w:tc>
          <w:tcPr>
            <w:tcW w:w="153" w:type="pct"/>
            <w:vAlign w:val="center"/>
          </w:tcPr>
          <w:p>
            <w:pPr>
              <w:widowControl/>
              <w:jc w:val="center"/>
              <w:rPr>
                <w:color w:val="000000"/>
                <w:kern w:val="0"/>
                <w:szCs w:val="21"/>
              </w:rPr>
            </w:pPr>
            <w:r>
              <w:rPr>
                <w:color w:val="000000"/>
                <w:kern w:val="0"/>
                <w:szCs w:val="21"/>
              </w:rPr>
              <w:t>北塔区</w:t>
            </w:r>
          </w:p>
        </w:tc>
        <w:tc>
          <w:tcPr>
            <w:tcW w:w="253" w:type="pct"/>
            <w:vAlign w:val="center"/>
          </w:tcPr>
          <w:p>
            <w:pPr>
              <w:widowControl/>
              <w:jc w:val="center"/>
              <w:rPr>
                <w:color w:val="000000"/>
                <w:kern w:val="0"/>
                <w:szCs w:val="21"/>
              </w:rPr>
            </w:pPr>
            <w:r>
              <w:rPr>
                <w:color w:val="000000"/>
                <w:kern w:val="0"/>
                <w:szCs w:val="21"/>
              </w:rPr>
              <w:t>重点管控单元</w:t>
            </w:r>
          </w:p>
        </w:tc>
        <w:tc>
          <w:tcPr>
            <w:tcW w:w="471" w:type="pct"/>
            <w:vAlign w:val="center"/>
          </w:tcPr>
          <w:p>
            <w:pPr>
              <w:widowControl/>
              <w:jc w:val="center"/>
              <w:rPr>
                <w:color w:val="000000"/>
                <w:kern w:val="0"/>
                <w:szCs w:val="21"/>
              </w:rPr>
            </w:pPr>
            <w:r>
              <w:rPr>
                <w:color w:val="000000"/>
                <w:kern w:val="0"/>
                <w:szCs w:val="21"/>
              </w:rPr>
              <w:t>82.78</w:t>
            </w:r>
          </w:p>
        </w:tc>
        <w:tc>
          <w:tcPr>
            <w:tcW w:w="347" w:type="pct"/>
            <w:vAlign w:val="center"/>
          </w:tcPr>
          <w:p>
            <w:pPr>
              <w:jc w:val="center"/>
              <w:rPr>
                <w:color w:val="000000"/>
                <w:szCs w:val="21"/>
              </w:rPr>
            </w:pPr>
            <w:r>
              <w:rPr>
                <w:color w:val="000000"/>
                <w:szCs w:val="21"/>
              </w:rPr>
              <w:t>茶元头街道\陈家桥乡\田江街道\新滩镇街道\状元洲街道</w:t>
            </w:r>
          </w:p>
        </w:tc>
        <w:tc>
          <w:tcPr>
            <w:tcW w:w="529" w:type="pct"/>
            <w:vAlign w:val="center"/>
          </w:tcPr>
          <w:p>
            <w:pPr>
              <w:widowControl/>
              <w:jc w:val="left"/>
              <w:rPr>
                <w:b/>
                <w:bCs/>
                <w:color w:val="000000"/>
                <w:szCs w:val="21"/>
              </w:rPr>
            </w:pPr>
            <w:r>
              <w:rPr>
                <w:b/>
                <w:bCs/>
                <w:color w:val="000000"/>
                <w:szCs w:val="21"/>
              </w:rPr>
              <w:t>茶元头街道：</w:t>
            </w:r>
            <w:r>
              <w:rPr>
                <w:color w:val="000000"/>
                <w:szCs w:val="21"/>
              </w:rPr>
              <w:t>农产品主产区；</w:t>
            </w:r>
            <w:r>
              <w:rPr>
                <w:b/>
                <w:bCs/>
                <w:color w:val="000000"/>
                <w:szCs w:val="21"/>
              </w:rPr>
              <w:t>陈家桥、</w:t>
            </w:r>
          </w:p>
          <w:p>
            <w:pPr>
              <w:widowControl/>
              <w:jc w:val="left"/>
              <w:rPr>
                <w:color w:val="000000"/>
                <w:kern w:val="0"/>
                <w:szCs w:val="21"/>
              </w:rPr>
            </w:pPr>
            <w:r>
              <w:rPr>
                <w:b/>
                <w:bCs/>
                <w:color w:val="000000"/>
                <w:szCs w:val="21"/>
              </w:rPr>
              <w:t>田江街道、新滩镇街道：</w:t>
            </w:r>
            <w:r>
              <w:rPr>
                <w:color w:val="000000"/>
                <w:szCs w:val="21"/>
              </w:rPr>
              <w:t>城市化地区；</w:t>
            </w:r>
            <w:r>
              <w:rPr>
                <w:b/>
                <w:bCs/>
                <w:color w:val="000000"/>
                <w:szCs w:val="21"/>
              </w:rPr>
              <w:t>状元洲街道：</w:t>
            </w:r>
            <w:r>
              <w:t>城市化地区/历史文化资源富集区</w:t>
            </w:r>
          </w:p>
        </w:tc>
        <w:tc>
          <w:tcPr>
            <w:tcW w:w="877" w:type="pct"/>
            <w:gridSpan w:val="2"/>
            <w:vAlign w:val="center"/>
          </w:tcPr>
          <w:p>
            <w:pPr>
              <w:jc w:val="left"/>
              <w:rPr>
                <w:color w:val="000000"/>
                <w:kern w:val="0"/>
                <w:szCs w:val="21"/>
              </w:rPr>
            </w:pPr>
            <w:r>
              <w:rPr>
                <w:color w:val="000000"/>
                <w:kern w:val="0"/>
                <w:szCs w:val="21"/>
              </w:rPr>
              <w:t>农业种植、畜禽养殖、农副产品加工、食品加工、造纸、酒和饮料制造、纺织、服装、木材加工、家具制造、印刷、非金属矿物制品、压延加工、金属制品、商贸物流、建材、羽（毛）绒加工、制鞋、废弃资源综合利用、机械和电子加工、生物医疗、发制品、机动车修理等</w:t>
            </w:r>
          </w:p>
          <w:p>
            <w:pPr>
              <w:jc w:val="left"/>
              <w:rPr>
                <w:color w:val="000000"/>
                <w:szCs w:val="21"/>
              </w:rPr>
            </w:pPr>
            <w:r>
              <w:rPr>
                <w:b/>
                <w:bCs/>
                <w:color w:val="000000"/>
                <w:kern w:val="0"/>
                <w:szCs w:val="21"/>
              </w:rPr>
              <w:t>新滩镇街道:</w:t>
            </w:r>
            <w:r>
              <w:rPr>
                <w:color w:val="000000"/>
                <w:szCs w:val="21"/>
              </w:rPr>
              <w:t>农业种植、畜牧养殖、食品加工、农副产品加工商品零售批发、餐饮、服务业等</w:t>
            </w:r>
          </w:p>
          <w:p>
            <w:pPr>
              <w:jc w:val="left"/>
              <w:rPr>
                <w:color w:val="000000"/>
                <w:szCs w:val="21"/>
              </w:rPr>
            </w:pPr>
            <w:r>
              <w:rPr>
                <w:b/>
                <w:bCs/>
                <w:color w:val="000000"/>
                <w:szCs w:val="21"/>
              </w:rPr>
              <w:t>状元洲街道:</w:t>
            </w:r>
            <w:r>
              <w:rPr>
                <w:color w:val="000000"/>
                <w:szCs w:val="21"/>
              </w:rPr>
              <w:t>农业种植、食品加工、仓储物流、农副产品食品加工、家具、商品零售批发、餐饮、服务业等。</w:t>
            </w:r>
          </w:p>
        </w:tc>
        <w:tc>
          <w:tcPr>
            <w:tcW w:w="1027" w:type="pct"/>
            <w:gridSpan w:val="2"/>
            <w:vAlign w:val="center"/>
          </w:tcPr>
          <w:p>
            <w:pPr>
              <w:widowControl/>
              <w:jc w:val="left"/>
              <w:rPr>
                <w:color w:val="000000"/>
                <w:kern w:val="0"/>
                <w:szCs w:val="21"/>
              </w:rPr>
            </w:pPr>
            <w:r>
              <w:rPr>
                <w:color w:val="000000"/>
                <w:kern w:val="0"/>
                <w:szCs w:val="21"/>
              </w:rPr>
              <w:t>区内污水管网不完善，部分生活污水未配套建设截污管网。</w:t>
            </w:r>
          </w:p>
          <w:p>
            <w:pPr>
              <w:widowControl/>
              <w:jc w:val="left"/>
              <w:rPr>
                <w:color w:val="000000"/>
                <w:kern w:val="0"/>
                <w:szCs w:val="21"/>
              </w:rPr>
            </w:pPr>
            <w:r>
              <w:rPr>
                <w:b/>
                <w:bCs/>
                <w:color w:val="000000"/>
                <w:kern w:val="0"/>
                <w:szCs w:val="21"/>
              </w:rPr>
              <w:t>新滩镇街道:</w:t>
            </w:r>
            <w:r>
              <w:rPr>
                <w:color w:val="000000"/>
                <w:kern w:val="0"/>
                <w:szCs w:val="21"/>
              </w:rPr>
              <w:t>秸秆焚烧、熏腊肉、砂石场、建筑工地扬尘部分生活污水未接入管网等。</w:t>
            </w:r>
          </w:p>
          <w:p>
            <w:pPr>
              <w:widowControl/>
              <w:jc w:val="left"/>
              <w:rPr>
                <w:color w:val="000000"/>
                <w:kern w:val="0"/>
                <w:szCs w:val="21"/>
              </w:rPr>
            </w:pPr>
            <w:r>
              <w:rPr>
                <w:b/>
                <w:bCs/>
                <w:color w:val="000000"/>
                <w:szCs w:val="21"/>
              </w:rPr>
              <w:t>状元洲街道:</w:t>
            </w:r>
            <w:r>
              <w:rPr>
                <w:color w:val="000000"/>
                <w:szCs w:val="21"/>
              </w:rPr>
              <w:t>秸秆焚烧、重腊肉、砂石厂、餐饮油烟、建筑工地扬尘、部分生活污水未接入管网等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jc w:val="center"/>
        </w:trPr>
        <w:tc>
          <w:tcPr>
            <w:tcW w:w="588" w:type="pct"/>
            <w:vAlign w:val="center"/>
          </w:tcPr>
          <w:p>
            <w:pPr>
              <w:widowControl/>
              <w:spacing w:line="400" w:lineRule="exact"/>
              <w:jc w:val="center"/>
              <w:rPr>
                <w:b/>
                <w:color w:val="000000"/>
                <w:kern w:val="0"/>
                <w:szCs w:val="21"/>
              </w:rPr>
            </w:pPr>
            <w:r>
              <w:rPr>
                <w:b/>
                <w:color w:val="000000"/>
                <w:kern w:val="0"/>
                <w:szCs w:val="21"/>
              </w:rPr>
              <w:t>主要属性</w:t>
            </w:r>
          </w:p>
        </w:tc>
        <w:tc>
          <w:tcPr>
            <w:tcW w:w="4409" w:type="pct"/>
            <w:gridSpan w:val="11"/>
            <w:vAlign w:val="center"/>
          </w:tcPr>
          <w:p>
            <w:pPr>
              <w:spacing w:line="400" w:lineRule="exact"/>
              <w:jc w:val="left"/>
            </w:pPr>
            <w:r>
              <w:rPr>
                <w:b/>
                <w:bCs/>
              </w:rPr>
              <w:t>茶元头街道</w:t>
            </w:r>
            <w:r>
              <w:t>：</w:t>
            </w:r>
          </w:p>
          <w:p>
            <w:pPr>
              <w:numPr>
                <w:ilvl w:val="0"/>
                <w:numId w:val="11"/>
              </w:numPr>
              <w:spacing w:line="400" w:lineRule="exact"/>
              <w:jc w:val="left"/>
            </w:pPr>
            <w:r>
              <w:t>一般生态空间；生物多样性保护功能重要区</w:t>
            </w:r>
          </w:p>
          <w:p>
            <w:pPr>
              <w:numPr>
                <w:ilvl w:val="0"/>
                <w:numId w:val="11"/>
              </w:numPr>
              <w:spacing w:line="400" w:lineRule="exact"/>
            </w:pPr>
            <w:r>
              <w:t>水环境优先保护区/水环境一般管控区；水源地（县级及以上）；邵阳市主城区资江城西水厂饮用水水源保护区、邵阳市主城区资江桂花渡水厂饮用水水源保护区；</w:t>
            </w:r>
          </w:p>
          <w:p>
            <w:pPr>
              <w:numPr>
                <w:ilvl w:val="0"/>
                <w:numId w:val="11"/>
              </w:numPr>
              <w:spacing w:line="400" w:lineRule="exact"/>
            </w:pPr>
            <w:r>
              <w:t>大气环境受体敏感重点管控区/大气环境弱扩散重点管控区；农用地优先保护区/一般管控区；</w:t>
            </w:r>
          </w:p>
          <w:p>
            <w:pPr>
              <w:numPr>
                <w:ilvl w:val="0"/>
                <w:numId w:val="11"/>
              </w:numPr>
              <w:spacing w:line="400" w:lineRule="exact"/>
            </w:pPr>
            <w:r>
              <w:t>农产品主产区；高污染燃料禁燃区</w:t>
            </w:r>
          </w:p>
          <w:p>
            <w:pPr>
              <w:spacing w:line="400" w:lineRule="exact"/>
              <w:jc w:val="left"/>
              <w:rPr>
                <w:szCs w:val="21"/>
              </w:rPr>
            </w:pPr>
            <w:r>
              <w:rPr>
                <w:b/>
                <w:bCs/>
                <w:szCs w:val="21"/>
              </w:rPr>
              <w:t>陈家桥乡</w:t>
            </w:r>
            <w:r>
              <w:rPr>
                <w:szCs w:val="21"/>
              </w:rPr>
              <w:t>：</w:t>
            </w:r>
          </w:p>
          <w:p>
            <w:pPr>
              <w:numPr>
                <w:ilvl w:val="0"/>
                <w:numId w:val="11"/>
              </w:numPr>
              <w:spacing w:line="400" w:lineRule="exact"/>
              <w:jc w:val="left"/>
            </w:pPr>
            <w:r>
              <w:t>一般生态空间；水土流失敏感区\生物多样性保护功能重要区\水源涵养重要区</w:t>
            </w:r>
          </w:p>
          <w:p>
            <w:pPr>
              <w:numPr>
                <w:ilvl w:val="0"/>
                <w:numId w:val="11"/>
              </w:numPr>
              <w:spacing w:line="400" w:lineRule="exact"/>
            </w:pPr>
            <w:r>
              <w:t>水环境工业污染重点管控区/水环境一般管控区；工业园区；邵阳经济开发区；</w:t>
            </w:r>
          </w:p>
          <w:p>
            <w:pPr>
              <w:numPr>
                <w:ilvl w:val="0"/>
                <w:numId w:val="11"/>
              </w:numPr>
              <w:spacing w:line="400" w:lineRule="exact"/>
            </w:pPr>
            <w:r>
              <w:t>大气环境高排放重点管控区/大气环境受体敏感重点管控区/大气环境布局敏感重点管控区/大气环境弱扩散重点管控区；宝庆工业园区/邵阳经济开发区/新邵经济开发区；</w:t>
            </w:r>
          </w:p>
          <w:p>
            <w:pPr>
              <w:numPr>
                <w:ilvl w:val="0"/>
                <w:numId w:val="11"/>
              </w:numPr>
              <w:spacing w:line="400" w:lineRule="exact"/>
            </w:pPr>
            <w:r>
              <w:t>农用地优先保护区/建设用地重点管控区/一般管控区；中高风险企业用地/重点行业企业重点区域；邵阳经济开发区；</w:t>
            </w:r>
          </w:p>
          <w:p>
            <w:pPr>
              <w:numPr>
                <w:ilvl w:val="0"/>
                <w:numId w:val="11"/>
              </w:numPr>
              <w:spacing w:line="400" w:lineRule="exact"/>
            </w:pPr>
            <w:r>
              <w:t>城市化地区；高污染燃料禁燃区</w:t>
            </w:r>
          </w:p>
          <w:p>
            <w:pPr>
              <w:spacing w:line="400" w:lineRule="exact"/>
              <w:jc w:val="left"/>
              <w:rPr>
                <w:szCs w:val="21"/>
              </w:rPr>
            </w:pPr>
            <w:r>
              <w:rPr>
                <w:b/>
                <w:bCs/>
                <w:szCs w:val="21"/>
              </w:rPr>
              <w:t>田江街道</w:t>
            </w:r>
            <w:r>
              <w:rPr>
                <w:szCs w:val="21"/>
              </w:rPr>
              <w:t>：</w:t>
            </w:r>
          </w:p>
          <w:p>
            <w:pPr>
              <w:numPr>
                <w:ilvl w:val="0"/>
                <w:numId w:val="11"/>
              </w:numPr>
              <w:spacing w:line="400" w:lineRule="exact"/>
              <w:jc w:val="left"/>
            </w:pPr>
            <w:r>
              <w:t>一般生态空间；生物多样性保护功能重要区</w:t>
            </w:r>
          </w:p>
          <w:p>
            <w:pPr>
              <w:numPr>
                <w:ilvl w:val="0"/>
                <w:numId w:val="11"/>
              </w:numPr>
              <w:spacing w:line="400" w:lineRule="exact"/>
            </w:pPr>
            <w:r>
              <w:t>水环境工业园重点管控区；工业园区、污水处理厂；邵阳经济开发区、邵阳市江北污水处理厂；</w:t>
            </w:r>
          </w:p>
          <w:p>
            <w:pPr>
              <w:numPr>
                <w:ilvl w:val="0"/>
                <w:numId w:val="11"/>
              </w:numPr>
              <w:spacing w:line="400" w:lineRule="exact"/>
            </w:pPr>
            <w:r>
              <w:t>大气环境高排放重点管控区/大气环境受体敏感重点管控区/大气环境布局敏感重点管控区；宝庆工业园区/邵阳经济开发区；</w:t>
            </w:r>
          </w:p>
          <w:p>
            <w:pPr>
              <w:numPr>
                <w:ilvl w:val="0"/>
                <w:numId w:val="11"/>
              </w:numPr>
              <w:spacing w:line="400" w:lineRule="exact"/>
            </w:pPr>
            <w:r>
              <w:t>建设用地重点管控区；中高风险企业用地/重点行业企业重点区域；邵阳经济开发区；</w:t>
            </w:r>
          </w:p>
          <w:p>
            <w:pPr>
              <w:numPr>
                <w:ilvl w:val="0"/>
                <w:numId w:val="11"/>
              </w:numPr>
              <w:spacing w:line="400" w:lineRule="exact"/>
              <w:rPr>
                <w:szCs w:val="21"/>
              </w:rPr>
            </w:pPr>
            <w:r>
              <w:t>城市化地区；高污染燃料禁燃区</w:t>
            </w:r>
          </w:p>
          <w:p>
            <w:pPr>
              <w:spacing w:line="400" w:lineRule="exact"/>
              <w:jc w:val="left"/>
              <w:rPr>
                <w:szCs w:val="21"/>
              </w:rPr>
            </w:pPr>
            <w:r>
              <w:rPr>
                <w:b/>
                <w:bCs/>
                <w:szCs w:val="21"/>
              </w:rPr>
              <w:t>新滩镇街道</w:t>
            </w:r>
            <w:r>
              <w:rPr>
                <w:szCs w:val="21"/>
              </w:rPr>
              <w:t>：</w:t>
            </w:r>
          </w:p>
          <w:p>
            <w:pPr>
              <w:numPr>
                <w:ilvl w:val="0"/>
                <w:numId w:val="11"/>
              </w:numPr>
              <w:spacing w:line="400" w:lineRule="exact"/>
              <w:jc w:val="left"/>
            </w:pPr>
            <w:r>
              <w:t>红线/一般生态空间；生物多样性保护功能重要区\三区三线生态红线\水土流失敏感区</w:t>
            </w:r>
          </w:p>
          <w:p>
            <w:pPr>
              <w:numPr>
                <w:ilvl w:val="0"/>
                <w:numId w:val="11"/>
              </w:numPr>
              <w:spacing w:line="400" w:lineRule="exact"/>
            </w:pPr>
            <w:r>
              <w:t>水环境优先保护区/水环境工业污染重点管控区；水源地（县级及以上）/工业园区；邵阳市主城区资江城西水厂饮用水水源保护区、邵阳市主城区资江桂花渡水厂饮用水水源保护区/邵阳经济开发区（汇水）；</w:t>
            </w:r>
          </w:p>
          <w:p>
            <w:pPr>
              <w:numPr>
                <w:ilvl w:val="0"/>
                <w:numId w:val="11"/>
              </w:numPr>
              <w:spacing w:line="400" w:lineRule="exact"/>
            </w:pPr>
            <w:r>
              <w:t>大气环境受体敏感重点管控区；农用地优先保护区/建设用地重点管控区/一般管控区；中高风险企业用地/重点行业企业重点区域；</w:t>
            </w:r>
          </w:p>
          <w:p>
            <w:pPr>
              <w:numPr>
                <w:ilvl w:val="0"/>
                <w:numId w:val="11"/>
              </w:numPr>
              <w:spacing w:line="400" w:lineRule="exact"/>
              <w:rPr>
                <w:szCs w:val="21"/>
              </w:rPr>
            </w:pPr>
            <w:r>
              <w:t>城市化地区；高污染燃料禁燃区</w:t>
            </w:r>
          </w:p>
          <w:p>
            <w:pPr>
              <w:spacing w:line="400" w:lineRule="exact"/>
              <w:jc w:val="left"/>
              <w:rPr>
                <w:szCs w:val="21"/>
              </w:rPr>
            </w:pPr>
            <w:r>
              <w:rPr>
                <w:b/>
                <w:bCs/>
                <w:szCs w:val="21"/>
              </w:rPr>
              <w:t>状元洲街道</w:t>
            </w:r>
            <w:r>
              <w:rPr>
                <w:szCs w:val="21"/>
              </w:rPr>
              <w:t>：</w:t>
            </w:r>
          </w:p>
          <w:p>
            <w:pPr>
              <w:numPr>
                <w:ilvl w:val="0"/>
                <w:numId w:val="11"/>
              </w:numPr>
              <w:spacing w:line="400" w:lineRule="exact"/>
              <w:jc w:val="left"/>
            </w:pPr>
            <w:r>
              <w:t>红线/一般生态空间；三区三线生态红线\水源涵养重要区\生物多样性保护功能重要区</w:t>
            </w:r>
          </w:p>
          <w:p>
            <w:pPr>
              <w:numPr>
                <w:ilvl w:val="0"/>
                <w:numId w:val="11"/>
              </w:numPr>
              <w:spacing w:line="400" w:lineRule="exact"/>
            </w:pPr>
            <w:r>
              <w:t>水环境优先保护区/水环境工业园重点管控区；水源地（县级及以上）/工业园区；邵阳市主城区资江城西水厂饮用水水源保护区、邵阳市主城区资江工业街水厂饮用水水源保护区/邵阳经济开发区（汇水）；</w:t>
            </w:r>
          </w:p>
          <w:p>
            <w:pPr>
              <w:numPr>
                <w:ilvl w:val="0"/>
                <w:numId w:val="11"/>
              </w:numPr>
              <w:spacing w:line="400" w:lineRule="exact"/>
            </w:pPr>
            <w:r>
              <w:t>大气环境受体敏感重点管控区；建设用地重点管控区；中高风险企业用地/重点行业企业重点区域；</w:t>
            </w:r>
          </w:p>
          <w:p>
            <w:pPr>
              <w:numPr>
                <w:ilvl w:val="0"/>
                <w:numId w:val="11"/>
              </w:numPr>
              <w:spacing w:line="400" w:lineRule="exact"/>
            </w:pPr>
            <w:r>
              <w:t>城市化地区/历史文化资源富集区；高污染燃料禁燃区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jc w:val="center"/>
        </w:trPr>
        <w:tc>
          <w:tcPr>
            <w:tcW w:w="588" w:type="pct"/>
            <w:vAlign w:val="center"/>
          </w:tcPr>
          <w:p>
            <w:pPr>
              <w:widowControl/>
              <w:spacing w:line="400" w:lineRule="exact"/>
              <w:jc w:val="center"/>
              <w:rPr>
                <w:b/>
                <w:color w:val="000000"/>
                <w:szCs w:val="21"/>
              </w:rPr>
            </w:pPr>
            <w:r>
              <w:rPr>
                <w:b/>
                <w:color w:val="000000"/>
                <w:szCs w:val="21"/>
              </w:rPr>
              <w:t>管控维度</w:t>
            </w:r>
          </w:p>
        </w:tc>
        <w:tc>
          <w:tcPr>
            <w:tcW w:w="3225" w:type="pct"/>
            <w:gridSpan w:val="9"/>
            <w:vAlign w:val="center"/>
          </w:tcPr>
          <w:p>
            <w:pPr>
              <w:spacing w:line="400" w:lineRule="exact"/>
              <w:jc w:val="center"/>
              <w:rPr>
                <w:b/>
                <w:color w:val="000000"/>
                <w:szCs w:val="21"/>
              </w:rPr>
            </w:pPr>
            <w:r>
              <w:rPr>
                <w:b/>
                <w:color w:val="000000"/>
                <w:kern w:val="0"/>
                <w:szCs w:val="21"/>
              </w:rPr>
              <w:t>管控要求</w:t>
            </w:r>
          </w:p>
        </w:tc>
        <w:tc>
          <w:tcPr>
            <w:tcW w:w="1184"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jc w:val="center"/>
        </w:trPr>
        <w:tc>
          <w:tcPr>
            <w:tcW w:w="588" w:type="pct"/>
            <w:vAlign w:val="center"/>
          </w:tcPr>
          <w:p>
            <w:pPr>
              <w:widowControl/>
              <w:spacing w:line="400" w:lineRule="exact"/>
              <w:jc w:val="center"/>
              <w:rPr>
                <w:color w:val="000000"/>
                <w:szCs w:val="21"/>
              </w:rPr>
            </w:pPr>
            <w:r>
              <w:rPr>
                <w:color w:val="000000"/>
                <w:szCs w:val="21"/>
              </w:rPr>
              <w:t>空间布局约束</w:t>
            </w:r>
          </w:p>
        </w:tc>
        <w:tc>
          <w:tcPr>
            <w:tcW w:w="3225" w:type="pct"/>
            <w:gridSpan w:val="9"/>
            <w:vAlign w:val="center"/>
          </w:tcPr>
          <w:p>
            <w:pPr>
              <w:pStyle w:val="8"/>
              <w:spacing w:before="0" w:beforeAutospacing="0" w:after="0" w:afterAutospacing="0" w:line="400" w:lineRule="exact"/>
              <w:jc w:val="both"/>
              <w:rPr>
                <w:rFonts w:ascii="Times New Roman" w:hAnsi="Times New Roman" w:cs="Times New Roman"/>
                <w:kern w:val="2"/>
                <w:sz w:val="21"/>
                <w:szCs w:val="21"/>
              </w:rPr>
            </w:pPr>
            <w:r>
              <w:rPr>
                <w:rFonts w:ascii="Times New Roman" w:hAnsi="Times New Roman" w:cs="Times New Roman"/>
                <w:kern w:val="2"/>
                <w:sz w:val="21"/>
                <w:szCs w:val="21"/>
              </w:rPr>
              <w:t>（1.1）禁止侵占自然湿地等水源涵养空间，已侵占的限期予以恢复；强化水源涵养林建设与保护，积极推进退耕还林还草还湿、湿地保护恢复、水土流失等生态保护修复工程。</w:t>
            </w:r>
          </w:p>
          <w:p>
            <w:pPr>
              <w:pStyle w:val="8"/>
              <w:spacing w:before="0" w:beforeAutospacing="0" w:after="0" w:afterAutospacing="0" w:line="400" w:lineRule="exact"/>
              <w:jc w:val="both"/>
              <w:rPr>
                <w:rFonts w:ascii="Times New Roman" w:hAnsi="Times New Roman" w:cs="Times New Roman"/>
                <w:szCs w:val="21"/>
              </w:rPr>
            </w:pPr>
            <w:r>
              <w:rPr>
                <w:rFonts w:ascii="Times New Roman" w:hAnsi="Times New Roman" w:cs="Times New Roman"/>
                <w:kern w:val="2"/>
                <w:sz w:val="21"/>
                <w:szCs w:val="21"/>
              </w:rPr>
              <w:t>（1.2）在永久基本农田集中区域，不得规划新建可能造成土壤污染的建设项目。</w:t>
            </w:r>
          </w:p>
        </w:tc>
        <w:tc>
          <w:tcPr>
            <w:tcW w:w="1184" w:type="pct"/>
            <w:gridSpan w:val="2"/>
            <w:vMerge w:val="restart"/>
          </w:tcPr>
          <w:p>
            <w:pPr>
              <w:spacing w:line="400" w:lineRule="exact"/>
            </w:pPr>
            <w:r>
              <w:t>（1.1）（1.2）（2.1.1）（2.1.2）（2.2.1）（2.2.2）（2.3.1）（2.3.2）（2.3.3）（2.3.4）（3.1）（3.2）（3.3）（4.1.1）（4.1.2）（4.1.3）《北塔区“十四五”生态环境保护规划》</w:t>
            </w:r>
          </w:p>
          <w:p>
            <w:pPr>
              <w:pStyle w:val="9"/>
              <w:spacing w:after="0" w:line="400" w:lineRule="exact"/>
              <w:ind w:left="0" w:leftChars="0" w:firstLine="0" w:firstLineChars="0"/>
            </w:pPr>
            <w:r>
              <w:t>（4.2）《邵阳市水利局邵阳市发展和改革委员会关于印发“十四五”用水量和强度双控目标的通知》</w:t>
            </w:r>
          </w:p>
          <w:p>
            <w:pPr>
              <w:tabs>
                <w:tab w:val="left" w:pos="1021"/>
              </w:tabs>
              <w:spacing w:line="400" w:lineRule="exact"/>
              <w:rPr>
                <w:kern w:val="0"/>
                <w:szCs w:val="20"/>
              </w:rPr>
            </w:pPr>
            <w:r>
              <w:rPr>
                <w:color w:val="000000"/>
                <w:szCs w:val="21"/>
              </w:rPr>
              <w:t>（4.3）《邵阳市国民经济和社会发展第十四个五年规划和二〇三五年远景目标纲要》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jc w:val="center"/>
        </w:trPr>
        <w:tc>
          <w:tcPr>
            <w:tcW w:w="588" w:type="pct"/>
            <w:vAlign w:val="center"/>
          </w:tcPr>
          <w:p>
            <w:pPr>
              <w:widowControl/>
              <w:spacing w:line="400" w:lineRule="exact"/>
              <w:jc w:val="center"/>
              <w:rPr>
                <w:color w:val="000000"/>
                <w:szCs w:val="21"/>
              </w:rPr>
            </w:pPr>
            <w:r>
              <w:rPr>
                <w:color w:val="000000"/>
                <w:szCs w:val="21"/>
              </w:rPr>
              <w:t>污染物排放管控</w:t>
            </w:r>
          </w:p>
        </w:tc>
        <w:tc>
          <w:tcPr>
            <w:tcW w:w="3225" w:type="pct"/>
            <w:gridSpan w:val="9"/>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pPr>
            <w:r>
              <w:t>（2.1.1）补齐城乡污水收集和处理设施短板，加强生活源污染治理，完善城市污水管网建设，实现建成区污水管网全覆盖，改造老旧破损管网及检查井，系统解决管网漏损问题。到2025年，基本消除城中村、老旧城区和城乡接合部生活污水收集处理设施空白区，城市生活污水集中收集率达到70%。</w:t>
            </w:r>
          </w:p>
          <w:p>
            <w:pPr>
              <w:tabs>
                <w:tab w:val="left" w:pos="1021"/>
              </w:tabs>
              <w:spacing w:line="400" w:lineRule="exact"/>
              <w:ind w:firstLine="420" w:firstLineChars="200"/>
            </w:pPr>
            <w:r>
              <w:t>（2.1.2）实施</w:t>
            </w:r>
            <w:r>
              <w:rPr>
                <w:lang w:val="zh-CN"/>
              </w:rPr>
              <w:t>农村生活污水治理规划，</w:t>
            </w:r>
            <w:r>
              <w:t>以环境敏感区周边村庄、乡镇政府驻地和中心村为重点梯次推进农村生活污水治理</w:t>
            </w:r>
            <w:r>
              <w:rPr>
                <w:lang w:val="zh-CN"/>
              </w:rPr>
              <w:t>，</w:t>
            </w:r>
            <w:r>
              <w:t>推动城镇污水处理设施和服务向城镇近郊农村延伸。</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pPr>
            <w:r>
              <w:t>（2.2.1）推进使用先进生产工艺设备，减少无组织排放；实行重点排放源排放浓度与去除效率双重控制；加强汽修行业VOCs综合治理，加大餐饮油烟污染治理力度，推进城市餐饮油烟治理全覆盖。</w:t>
            </w:r>
          </w:p>
          <w:p>
            <w:pPr>
              <w:tabs>
                <w:tab w:val="left" w:pos="1021"/>
              </w:tabs>
              <w:spacing w:line="400" w:lineRule="exact"/>
              <w:ind w:firstLine="420" w:firstLineChars="200"/>
              <w:rPr>
                <w:color w:val="000000"/>
                <w:szCs w:val="21"/>
              </w:rPr>
            </w:pPr>
            <w:r>
              <w:t>（2.2.2）城市建成区内房屋建筑和市政基础设施工程施工工地严格落实扬尘防控“七个100%”。</w:t>
            </w:r>
          </w:p>
          <w:p>
            <w:pPr>
              <w:pStyle w:val="9"/>
              <w:spacing w:after="0" w:line="400" w:lineRule="exact"/>
              <w:ind w:left="0" w:leftChars="0" w:firstLine="0" w:firstLineChars="0"/>
              <w:rPr>
                <w:color w:val="000000"/>
                <w:szCs w:val="21"/>
              </w:rPr>
            </w:pPr>
            <w:r>
              <w:rPr>
                <w:color w:val="000000"/>
                <w:szCs w:val="21"/>
              </w:rPr>
              <w:t>（2.3）固体废物：</w:t>
            </w:r>
          </w:p>
          <w:p>
            <w:pPr>
              <w:pStyle w:val="9"/>
              <w:spacing w:after="0" w:line="400" w:lineRule="exact"/>
              <w:ind w:left="0" w:leftChars="0"/>
              <w:rPr>
                <w:lang w:val="zh-CN"/>
              </w:rPr>
            </w:pPr>
            <w:r>
              <w:rPr>
                <w:lang w:val="zh-CN"/>
              </w:rPr>
              <w:t>（</w:t>
            </w:r>
            <w:r>
              <w:t>2.3.1）</w:t>
            </w:r>
            <w:r>
              <w:rPr>
                <w:lang w:val="zh-CN"/>
              </w:rPr>
              <w:t>强化生活垃圾分类管理，实施生活垃圾分类制度，到2025年，市城区基本建成生活垃圾分类处理系统，城市生活垃圾无害化处置率达到100%，城市生活垃圾资源化利用率达到60%。</w:t>
            </w:r>
          </w:p>
          <w:p>
            <w:pPr>
              <w:pStyle w:val="9"/>
              <w:spacing w:after="0" w:line="400" w:lineRule="exact"/>
              <w:ind w:left="0" w:leftChars="0"/>
              <w:rPr>
                <w:lang w:val="zh-CN"/>
              </w:rPr>
            </w:pPr>
            <w:r>
              <w:rPr>
                <w:lang w:val="zh-CN"/>
              </w:rPr>
              <w:t>（</w:t>
            </w:r>
            <w:r>
              <w:t>2.3.2）</w:t>
            </w:r>
            <w:r>
              <w:rPr>
                <w:lang w:val="zh-CN"/>
              </w:rPr>
              <w:t>实现农村生活垃圾收转运设施基本覆盖并稳定运行。开展农村</w:t>
            </w:r>
            <w:r>
              <w:t>生活垃圾就地分类，优先推进城郊村庄垃圾分类，</w:t>
            </w:r>
            <w:r>
              <w:rPr>
                <w:lang w:val="zh-CN"/>
              </w:rPr>
              <w:t>确保有害垃圾</w:t>
            </w:r>
            <w:r>
              <w:t>和厨余垃圾</w:t>
            </w:r>
            <w:r>
              <w:rPr>
                <w:lang w:val="zh-CN"/>
              </w:rPr>
              <w:t>单独投放。到2025年，农村生活垃圾分类收集处理的行政村比例达到30%。</w:t>
            </w:r>
          </w:p>
          <w:p>
            <w:pPr>
              <w:widowControl/>
              <w:adjustRightInd w:val="0"/>
              <w:snapToGrid w:val="0"/>
              <w:spacing w:line="400" w:lineRule="exact"/>
              <w:ind w:firstLine="420" w:firstLineChars="200"/>
              <w:jc w:val="left"/>
              <w:rPr>
                <w:lang w:val="zh-CN"/>
              </w:rPr>
            </w:pPr>
            <w:r>
              <w:rPr>
                <w:lang w:val="zh-CN"/>
              </w:rPr>
              <w:t>（</w:t>
            </w:r>
            <w:r>
              <w:t>2.3.3）根据土地承载能力确定畜禽养殖规模，超过土地承载能力的区域和规模养殖场，逐步调减养殖总量，</w:t>
            </w:r>
            <w:r>
              <w:rPr>
                <w:lang w:val="zh-CN"/>
              </w:rPr>
              <w:t>加大畜禽粪污资源化利用推进力度，到2025年，全区畜禽粪污综合利用率达到80%以上，基本解决畜禽规模养殖场粪污处理和资源化利用问题。</w:t>
            </w:r>
          </w:p>
          <w:p>
            <w:pPr>
              <w:tabs>
                <w:tab w:val="left" w:pos="1021"/>
              </w:tabs>
              <w:spacing w:line="400" w:lineRule="exact"/>
              <w:ind w:firstLine="420" w:firstLineChars="200"/>
              <w:rPr>
                <w:color w:val="000000"/>
                <w:szCs w:val="21"/>
              </w:rPr>
            </w:pPr>
            <w:r>
              <w:rPr>
                <w:lang w:val="zh-CN"/>
              </w:rPr>
              <w:t>（</w:t>
            </w:r>
            <w:r>
              <w:t>2.3.4）全面禁止废塑料进口，推广使用可降解塑料制品、塑料替代产品。</w:t>
            </w:r>
          </w:p>
        </w:tc>
        <w:tc>
          <w:tcPr>
            <w:tcW w:w="1184"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jc w:val="center"/>
        </w:trPr>
        <w:tc>
          <w:tcPr>
            <w:tcW w:w="588" w:type="pct"/>
            <w:vAlign w:val="center"/>
          </w:tcPr>
          <w:p>
            <w:pPr>
              <w:widowControl/>
              <w:spacing w:line="400" w:lineRule="exact"/>
              <w:jc w:val="center"/>
              <w:rPr>
                <w:color w:val="000000"/>
                <w:szCs w:val="21"/>
              </w:rPr>
            </w:pPr>
            <w:r>
              <w:rPr>
                <w:color w:val="000000"/>
                <w:szCs w:val="21"/>
              </w:rPr>
              <w:t>环境风险防控</w:t>
            </w:r>
          </w:p>
        </w:tc>
        <w:tc>
          <w:tcPr>
            <w:tcW w:w="3225" w:type="pct"/>
            <w:gridSpan w:val="9"/>
            <w:vAlign w:val="center"/>
          </w:tcPr>
          <w:p>
            <w:pPr>
              <w:tabs>
                <w:tab w:val="left" w:pos="1021"/>
              </w:tabs>
              <w:spacing w:line="400" w:lineRule="exact"/>
            </w:pPr>
            <w:r>
              <w:t>（3.1）持续推进耕地周边涉镉等重金属重点行业企业排查整治，识别和排查耕地污染成因；以腾退工矿企业用地、用途变更为住宅和公共管理与公共服务用地的地块为重点，依法开展土壤污染状况调查和风险评估。</w:t>
            </w:r>
          </w:p>
          <w:p>
            <w:pPr>
              <w:tabs>
                <w:tab w:val="left" w:pos="1021"/>
              </w:tabs>
              <w:spacing w:line="400" w:lineRule="exact"/>
            </w:pPr>
            <w:r>
              <w:t>（3.2）持续开展固体废物和危险废物贮存场所周边土壤与地下水环境状况调查评估。</w:t>
            </w:r>
          </w:p>
          <w:p>
            <w:pPr>
              <w:tabs>
                <w:tab w:val="left" w:pos="1021"/>
              </w:tabs>
              <w:spacing w:line="400" w:lineRule="exact"/>
            </w:pPr>
            <w:r>
              <w:t>（3.3）严格污染地块用途管制，列入建设用地土壤污染风险管控和修复名录的地块，不得作为住宅、公共管理与公共服务用地；未达到土壤污染风险评估报告要求的地块，禁止开工建设与风险管控、修复无关的项目；未完成土壤污染状况调查或风险评估的地块，杜绝进入用地程序。</w:t>
            </w:r>
          </w:p>
        </w:tc>
        <w:tc>
          <w:tcPr>
            <w:tcW w:w="1184"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jc w:val="center"/>
        </w:trPr>
        <w:tc>
          <w:tcPr>
            <w:tcW w:w="588" w:type="pct"/>
            <w:vAlign w:val="center"/>
          </w:tcPr>
          <w:p>
            <w:pPr>
              <w:widowControl/>
              <w:spacing w:line="400" w:lineRule="exact"/>
              <w:jc w:val="center"/>
              <w:rPr>
                <w:color w:val="000000"/>
                <w:szCs w:val="21"/>
              </w:rPr>
            </w:pPr>
            <w:r>
              <w:rPr>
                <w:color w:val="000000"/>
                <w:szCs w:val="21"/>
              </w:rPr>
              <w:t>资源开发效率要求</w:t>
            </w:r>
          </w:p>
        </w:tc>
        <w:tc>
          <w:tcPr>
            <w:tcW w:w="3225" w:type="pct"/>
            <w:gridSpan w:val="9"/>
          </w:tcPr>
          <w:p>
            <w:pPr>
              <w:tabs>
                <w:tab w:val="left" w:pos="1021"/>
              </w:tabs>
              <w:spacing w:line="400" w:lineRule="exact"/>
            </w:pPr>
            <w:r>
              <w:t>（4.1）能源</w:t>
            </w:r>
          </w:p>
          <w:p>
            <w:pPr>
              <w:tabs>
                <w:tab w:val="left" w:pos="1021"/>
              </w:tabs>
              <w:spacing w:line="400" w:lineRule="exact"/>
              <w:ind w:firstLine="420" w:firstLineChars="200"/>
            </w:pPr>
            <w:r>
              <w:t>（4.1.1）优化能源结构，构建清洁低碳、安全高效的现代能源体系，控制化石能源消费总量，合理控制煤炭消费总量，提升煤炭清洁化利用率。</w:t>
            </w:r>
          </w:p>
          <w:p>
            <w:pPr>
              <w:tabs>
                <w:tab w:val="left" w:pos="1021"/>
              </w:tabs>
              <w:spacing w:line="400" w:lineRule="exact"/>
              <w:ind w:firstLine="420" w:firstLineChars="200"/>
            </w:pPr>
            <w:r>
              <w:t>（4.1.2）深入推进“气化邵阳工程”，基本实现天然气“县县通、全覆盖”。</w:t>
            </w:r>
          </w:p>
          <w:p>
            <w:pPr>
              <w:tabs>
                <w:tab w:val="left" w:pos="1021"/>
              </w:tabs>
              <w:spacing w:line="400" w:lineRule="exact"/>
              <w:ind w:firstLine="420" w:firstLineChars="200"/>
            </w:pPr>
            <w:r>
              <w:t>（4.1.3）加快推进以光伏发电为主的新能源发展，加快工业、建筑、交通等领域电气化发展，推行清洁能源替代，逐步改善农村用能结构，提倡使用太阳能、石油液化气、电、沼气等清洁能源。</w:t>
            </w:r>
          </w:p>
          <w:p>
            <w:pPr>
              <w:pStyle w:val="9"/>
              <w:spacing w:after="0" w:line="400" w:lineRule="exact"/>
              <w:ind w:left="0" w:leftChars="0" w:firstLine="0" w:firstLineChars="0"/>
            </w:pPr>
            <w:r>
              <w:t>（4.2）水资源：到2025年，北塔区用水总量0.366亿立方米，万元地区生产总值用水量比2020年下降21.34%，万元工业增加值用水量比2020年下降20.31%，农田灌溉水有效利用系数0.588。</w:t>
            </w:r>
          </w:p>
          <w:p>
            <w:pPr>
              <w:tabs>
                <w:tab w:val="left" w:pos="1021"/>
              </w:tabs>
              <w:spacing w:line="400" w:lineRule="exact"/>
              <w:rPr>
                <w:color w:val="000000"/>
                <w:szCs w:val="21"/>
              </w:rPr>
            </w:pPr>
            <w:r>
              <w:rPr>
                <w:color w:val="000000"/>
                <w:szCs w:val="21"/>
              </w:rPr>
              <w:t>（4.3）土地资源：确保全市耕地保有量不低于39.5万公顷，永久基本农田保护面积不低于34.3万公顷。</w:t>
            </w:r>
          </w:p>
        </w:tc>
        <w:tc>
          <w:tcPr>
            <w:tcW w:w="1184" w:type="pct"/>
            <w:gridSpan w:val="2"/>
            <w:vMerge w:val="continue"/>
            <w:vAlign w:val="center"/>
          </w:tcPr>
          <w:p>
            <w:pPr>
              <w:spacing w:line="400" w:lineRule="exact"/>
            </w:pPr>
          </w:p>
        </w:tc>
      </w:tr>
    </w:tbl>
    <w:p>
      <w:pPr>
        <w:spacing w:line="400" w:lineRule="exact"/>
      </w:pPr>
    </w:p>
    <w:p>
      <w:pPr>
        <w:rPr>
          <w:rStyle w:val="20"/>
          <w:rFonts w:ascii="Times New Roman" w:hAnsi="Times New Roman" w:cs="Times New Roman"/>
        </w:rPr>
      </w:pPr>
      <w:r>
        <w:rPr>
          <w:rStyle w:val="20"/>
          <w:rFonts w:ascii="Times New Roman" w:hAnsi="Times New Roman" w:cs="Times New Roman"/>
        </w:rPr>
        <w:br w:type="page"/>
      </w:r>
    </w:p>
    <w:p>
      <w:pPr>
        <w:pStyle w:val="2"/>
        <w:rPr>
          <w:rFonts w:ascii="Times New Roman" w:hAnsi="Times New Roman" w:cs="Times New Roman"/>
          <w:color w:val="000000"/>
          <w:szCs w:val="32"/>
        </w:rPr>
      </w:pPr>
      <w:bookmarkStart w:id="33" w:name="_Toc3363"/>
      <w:r>
        <w:rPr>
          <w:rStyle w:val="20"/>
          <w:rFonts w:ascii="Times New Roman" w:hAnsi="Times New Roman" w:cs="Times New Roman"/>
          <w:b/>
          <w:bCs/>
        </w:rPr>
        <w:t>2-</w:t>
      </w:r>
      <w:r>
        <w:rPr>
          <w:rFonts w:ascii="Times New Roman" w:hAnsi="Times New Roman" w:cs="Times New Roman"/>
          <w:color w:val="000000"/>
          <w:szCs w:val="32"/>
        </w:rPr>
        <w:t>4邵东市</w:t>
      </w:r>
      <w:bookmarkEnd w:id="30"/>
      <w:bookmarkEnd w:id="33"/>
    </w:p>
    <w:tbl>
      <w:tblPr>
        <w:tblStyle w:val="10"/>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63"/>
        <w:gridCol w:w="431"/>
        <w:gridCol w:w="511"/>
        <w:gridCol w:w="627"/>
        <w:gridCol w:w="862"/>
        <w:gridCol w:w="797"/>
        <w:gridCol w:w="1364"/>
        <w:gridCol w:w="1060"/>
        <w:gridCol w:w="2367"/>
        <w:gridCol w:w="173"/>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vAlign w:val="center"/>
          </w:tcPr>
          <w:p>
            <w:pPr>
              <w:widowControl/>
              <w:jc w:val="center"/>
              <w:rPr>
                <w:b/>
                <w:color w:val="000000"/>
                <w:kern w:val="0"/>
                <w:szCs w:val="21"/>
              </w:rPr>
            </w:pPr>
            <w:r>
              <w:rPr>
                <w:b/>
                <w:color w:val="000000"/>
                <w:kern w:val="0"/>
                <w:szCs w:val="21"/>
              </w:rPr>
              <w:t>环境管控单元编码</w:t>
            </w:r>
          </w:p>
        </w:tc>
        <w:tc>
          <w:tcPr>
            <w:tcW w:w="632" w:type="pct"/>
            <w:vMerge w:val="restart"/>
            <w:vAlign w:val="center"/>
          </w:tcPr>
          <w:p>
            <w:pPr>
              <w:widowControl/>
              <w:jc w:val="center"/>
              <w:rPr>
                <w:b/>
                <w:color w:val="000000"/>
                <w:kern w:val="0"/>
                <w:szCs w:val="21"/>
              </w:rPr>
            </w:pPr>
            <w:r>
              <w:rPr>
                <w:b/>
                <w:color w:val="000000"/>
                <w:kern w:val="0"/>
                <w:szCs w:val="21"/>
              </w:rPr>
              <w:t>单元名称</w:t>
            </w:r>
          </w:p>
        </w:tc>
        <w:tc>
          <w:tcPr>
            <w:tcW w:w="561" w:type="pct"/>
            <w:gridSpan w:val="3"/>
            <w:vAlign w:val="center"/>
          </w:tcPr>
          <w:p>
            <w:pPr>
              <w:widowControl/>
              <w:jc w:val="center"/>
              <w:rPr>
                <w:b/>
                <w:color w:val="000000"/>
                <w:kern w:val="0"/>
                <w:szCs w:val="21"/>
              </w:rPr>
            </w:pPr>
            <w:r>
              <w:rPr>
                <w:b/>
                <w:color w:val="000000"/>
                <w:kern w:val="0"/>
                <w:szCs w:val="21"/>
              </w:rPr>
              <w:t>行政区划</w:t>
            </w:r>
          </w:p>
        </w:tc>
        <w:tc>
          <w:tcPr>
            <w:tcW w:w="309" w:type="pct"/>
            <w:vMerge w:val="restart"/>
            <w:vAlign w:val="center"/>
          </w:tcPr>
          <w:p>
            <w:pPr>
              <w:widowControl/>
              <w:jc w:val="center"/>
              <w:rPr>
                <w:b/>
                <w:color w:val="000000"/>
                <w:kern w:val="0"/>
                <w:szCs w:val="21"/>
              </w:rPr>
            </w:pPr>
            <w:r>
              <w:rPr>
                <w:b/>
                <w:color w:val="000000"/>
                <w:kern w:val="0"/>
                <w:szCs w:val="21"/>
              </w:rPr>
              <w:t>单元分类</w:t>
            </w:r>
          </w:p>
        </w:tc>
        <w:tc>
          <w:tcPr>
            <w:tcW w:w="285"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89" w:type="pct"/>
            <w:vMerge w:val="restart"/>
            <w:vAlign w:val="center"/>
          </w:tcPr>
          <w:p>
            <w:pPr>
              <w:jc w:val="center"/>
              <w:rPr>
                <w:b/>
                <w:color w:val="000000"/>
                <w:kern w:val="0"/>
                <w:szCs w:val="21"/>
              </w:rPr>
            </w:pPr>
            <w:r>
              <w:rPr>
                <w:b/>
                <w:color w:val="000000"/>
                <w:kern w:val="0"/>
                <w:szCs w:val="21"/>
              </w:rPr>
              <w:t>涉及乡镇(街道)</w:t>
            </w:r>
          </w:p>
        </w:tc>
        <w:tc>
          <w:tcPr>
            <w:tcW w:w="380" w:type="pct"/>
            <w:vMerge w:val="restart"/>
            <w:vAlign w:val="center"/>
          </w:tcPr>
          <w:p>
            <w:pPr>
              <w:jc w:val="center"/>
              <w:rPr>
                <w:b/>
                <w:color w:val="000000"/>
                <w:kern w:val="0"/>
                <w:szCs w:val="21"/>
              </w:rPr>
            </w:pPr>
            <w:r>
              <w:rPr>
                <w:b/>
                <w:color w:val="000000"/>
                <w:kern w:val="0"/>
                <w:szCs w:val="21"/>
              </w:rPr>
              <w:t>主体功能定位</w:t>
            </w:r>
          </w:p>
        </w:tc>
        <w:tc>
          <w:tcPr>
            <w:tcW w:w="848" w:type="pct"/>
            <w:vMerge w:val="restart"/>
            <w:vAlign w:val="center"/>
          </w:tcPr>
          <w:p>
            <w:pPr>
              <w:jc w:val="center"/>
              <w:rPr>
                <w:b/>
                <w:color w:val="000000"/>
                <w:kern w:val="0"/>
                <w:szCs w:val="21"/>
              </w:rPr>
            </w:pPr>
            <w:r>
              <w:rPr>
                <w:b/>
                <w:color w:val="000000"/>
                <w:kern w:val="0"/>
                <w:szCs w:val="21"/>
              </w:rPr>
              <w:t>经济产业布局</w:t>
            </w:r>
          </w:p>
        </w:tc>
        <w:tc>
          <w:tcPr>
            <w:tcW w:w="1140" w:type="pct"/>
            <w:gridSpan w:val="2"/>
            <w:vMerge w:val="restart"/>
            <w:vAlign w:val="center"/>
          </w:tcPr>
          <w:p>
            <w:pPr>
              <w:jc w:val="center"/>
              <w:rPr>
                <w:b/>
                <w:color w:val="000000"/>
                <w:kern w:val="0"/>
                <w:szCs w:val="21"/>
              </w:rPr>
            </w:pPr>
            <w:r>
              <w:rPr>
                <w:b/>
                <w:color w:val="000000"/>
                <w:kern w:val="0"/>
                <w:szCs w:val="21"/>
              </w:rPr>
              <w:t>主要环境问题</w:t>
            </w:r>
            <w:r>
              <w:rPr>
                <w:b/>
                <w:bCs/>
                <w:color w:val="000000"/>
                <w:kern w:val="0"/>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52" w:type="pct"/>
            <w:vMerge w:val="continue"/>
            <w:vAlign w:val="center"/>
          </w:tcPr>
          <w:p/>
        </w:tc>
        <w:tc>
          <w:tcPr>
            <w:tcW w:w="632" w:type="pct"/>
            <w:vMerge w:val="continue"/>
            <w:vAlign w:val="center"/>
          </w:tcPr>
          <w:p/>
        </w:tc>
        <w:tc>
          <w:tcPr>
            <w:tcW w:w="154" w:type="pct"/>
            <w:vAlign w:val="center"/>
          </w:tcPr>
          <w:p>
            <w:pPr>
              <w:jc w:val="center"/>
              <w:rPr>
                <w:b/>
                <w:color w:val="000000"/>
                <w:szCs w:val="21"/>
              </w:rPr>
            </w:pPr>
            <w:r>
              <w:rPr>
                <w:b/>
                <w:color w:val="000000"/>
                <w:szCs w:val="21"/>
              </w:rPr>
              <w:t>省</w:t>
            </w:r>
          </w:p>
        </w:tc>
        <w:tc>
          <w:tcPr>
            <w:tcW w:w="182" w:type="pct"/>
            <w:vAlign w:val="center"/>
          </w:tcPr>
          <w:p>
            <w:pPr>
              <w:jc w:val="center"/>
              <w:rPr>
                <w:b/>
                <w:color w:val="000000"/>
                <w:szCs w:val="21"/>
              </w:rPr>
            </w:pPr>
            <w:r>
              <w:rPr>
                <w:b/>
                <w:color w:val="000000"/>
                <w:szCs w:val="21"/>
              </w:rPr>
              <w:t>市</w:t>
            </w:r>
          </w:p>
        </w:tc>
        <w:tc>
          <w:tcPr>
            <w:tcW w:w="224" w:type="pct"/>
            <w:vAlign w:val="center"/>
          </w:tcPr>
          <w:p>
            <w:pPr>
              <w:jc w:val="center"/>
              <w:rPr>
                <w:b/>
                <w:color w:val="000000"/>
                <w:szCs w:val="21"/>
              </w:rPr>
            </w:pPr>
            <w:r>
              <w:rPr>
                <w:b/>
                <w:color w:val="000000"/>
                <w:szCs w:val="21"/>
              </w:rPr>
              <w:t>县</w:t>
            </w:r>
          </w:p>
        </w:tc>
        <w:tc>
          <w:tcPr>
            <w:tcW w:w="309" w:type="pct"/>
            <w:vMerge w:val="continue"/>
            <w:vAlign w:val="center"/>
          </w:tcPr>
          <w:p/>
        </w:tc>
        <w:tc>
          <w:tcPr>
            <w:tcW w:w="285" w:type="pct"/>
            <w:vMerge w:val="continue"/>
            <w:vAlign w:val="center"/>
          </w:tcPr>
          <w:p/>
        </w:tc>
        <w:tc>
          <w:tcPr>
            <w:tcW w:w="489" w:type="pct"/>
            <w:vMerge w:val="continue"/>
            <w:vAlign w:val="center"/>
          </w:tcPr>
          <w:p/>
        </w:tc>
        <w:tc>
          <w:tcPr>
            <w:tcW w:w="380" w:type="pct"/>
            <w:vMerge w:val="continue"/>
            <w:vAlign w:val="center"/>
          </w:tcPr>
          <w:p/>
        </w:tc>
        <w:tc>
          <w:tcPr>
            <w:tcW w:w="848" w:type="pct"/>
            <w:vMerge w:val="continue"/>
            <w:vAlign w:val="center"/>
          </w:tcPr>
          <w:p/>
        </w:tc>
        <w:tc>
          <w:tcPr>
            <w:tcW w:w="1140"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Align w:val="center"/>
          </w:tcPr>
          <w:p>
            <w:pPr>
              <w:widowControl/>
              <w:jc w:val="center"/>
              <w:rPr>
                <w:strike/>
                <w:color w:val="000000"/>
                <w:kern w:val="0"/>
                <w:szCs w:val="21"/>
              </w:rPr>
            </w:pPr>
            <w:r>
              <w:rPr>
                <w:color w:val="000000"/>
                <w:kern w:val="0"/>
                <w:szCs w:val="21"/>
              </w:rPr>
              <w:t>ZH43052110001</w:t>
            </w:r>
          </w:p>
        </w:tc>
        <w:tc>
          <w:tcPr>
            <w:tcW w:w="632" w:type="pct"/>
            <w:vAlign w:val="center"/>
          </w:tcPr>
          <w:p>
            <w:pPr>
              <w:widowControl/>
              <w:jc w:val="center"/>
              <w:rPr>
                <w:color w:val="000000"/>
                <w:kern w:val="0"/>
                <w:szCs w:val="21"/>
              </w:rPr>
            </w:pPr>
            <w:r>
              <w:rPr>
                <w:color w:val="000000"/>
                <w:kern w:val="0"/>
                <w:szCs w:val="21"/>
              </w:rPr>
              <w:t>野鸡坪镇/堡面前乡/佘田桥镇</w:t>
            </w:r>
          </w:p>
        </w:tc>
        <w:tc>
          <w:tcPr>
            <w:tcW w:w="154" w:type="pct"/>
            <w:vAlign w:val="center"/>
          </w:tcPr>
          <w:p>
            <w:pPr>
              <w:widowControl/>
              <w:jc w:val="center"/>
              <w:rPr>
                <w:color w:val="000000"/>
                <w:kern w:val="0"/>
                <w:szCs w:val="21"/>
              </w:rPr>
            </w:pPr>
            <w:r>
              <w:rPr>
                <w:color w:val="000000"/>
                <w:kern w:val="0"/>
                <w:szCs w:val="21"/>
              </w:rPr>
              <w:t>湖南省</w:t>
            </w:r>
          </w:p>
        </w:tc>
        <w:tc>
          <w:tcPr>
            <w:tcW w:w="182" w:type="pct"/>
            <w:vAlign w:val="center"/>
          </w:tcPr>
          <w:p>
            <w:pPr>
              <w:widowControl/>
              <w:jc w:val="center"/>
              <w:rPr>
                <w:color w:val="000000"/>
                <w:kern w:val="0"/>
                <w:szCs w:val="21"/>
              </w:rPr>
            </w:pPr>
            <w:r>
              <w:rPr>
                <w:color w:val="000000"/>
                <w:kern w:val="0"/>
                <w:szCs w:val="21"/>
              </w:rPr>
              <w:t>邵阳市</w:t>
            </w:r>
          </w:p>
        </w:tc>
        <w:tc>
          <w:tcPr>
            <w:tcW w:w="224" w:type="pct"/>
            <w:vAlign w:val="center"/>
          </w:tcPr>
          <w:p>
            <w:pPr>
              <w:widowControl/>
              <w:jc w:val="center"/>
              <w:rPr>
                <w:color w:val="000000"/>
                <w:kern w:val="0"/>
                <w:szCs w:val="21"/>
              </w:rPr>
            </w:pPr>
            <w:r>
              <w:rPr>
                <w:color w:val="000000"/>
                <w:kern w:val="0"/>
                <w:szCs w:val="21"/>
              </w:rPr>
              <w:t>邵东市</w:t>
            </w:r>
          </w:p>
        </w:tc>
        <w:tc>
          <w:tcPr>
            <w:tcW w:w="309" w:type="pct"/>
            <w:vAlign w:val="center"/>
          </w:tcPr>
          <w:p>
            <w:pPr>
              <w:widowControl/>
              <w:jc w:val="center"/>
              <w:rPr>
                <w:strike/>
                <w:color w:val="000000"/>
                <w:kern w:val="0"/>
                <w:szCs w:val="21"/>
              </w:rPr>
            </w:pPr>
            <w:r>
              <w:rPr>
                <w:color w:val="000000"/>
                <w:kern w:val="0"/>
                <w:szCs w:val="21"/>
              </w:rPr>
              <w:t>优先管控单元</w:t>
            </w:r>
          </w:p>
        </w:tc>
        <w:tc>
          <w:tcPr>
            <w:tcW w:w="285" w:type="pct"/>
            <w:vAlign w:val="center"/>
          </w:tcPr>
          <w:p>
            <w:pPr>
              <w:widowControl/>
              <w:jc w:val="center"/>
              <w:rPr>
                <w:color w:val="000000"/>
                <w:kern w:val="0"/>
                <w:szCs w:val="21"/>
              </w:rPr>
            </w:pPr>
            <w:r>
              <w:rPr>
                <w:color w:val="000000"/>
                <w:kern w:val="0"/>
                <w:szCs w:val="21"/>
              </w:rPr>
              <w:t>184.53</w:t>
            </w:r>
          </w:p>
        </w:tc>
        <w:tc>
          <w:tcPr>
            <w:tcW w:w="489" w:type="pct"/>
            <w:vAlign w:val="center"/>
          </w:tcPr>
          <w:p>
            <w:pPr>
              <w:widowControl/>
              <w:jc w:val="center"/>
              <w:rPr>
                <w:color w:val="000000"/>
                <w:kern w:val="0"/>
                <w:szCs w:val="21"/>
              </w:rPr>
            </w:pPr>
            <w:r>
              <w:rPr>
                <w:color w:val="000000"/>
                <w:kern w:val="0"/>
                <w:szCs w:val="21"/>
              </w:rPr>
              <w:t>野鸡坪镇/堡面前乡/佘田桥镇</w:t>
            </w:r>
          </w:p>
        </w:tc>
        <w:tc>
          <w:tcPr>
            <w:tcW w:w="380" w:type="pct"/>
            <w:vAlign w:val="center"/>
          </w:tcPr>
          <w:p>
            <w:pPr>
              <w:widowControl/>
              <w:jc w:val="left"/>
              <w:rPr>
                <w:color w:val="000000"/>
                <w:szCs w:val="21"/>
              </w:rPr>
            </w:pPr>
            <w:r>
              <w:rPr>
                <w:b/>
                <w:bCs/>
                <w:color w:val="000000"/>
                <w:kern w:val="0"/>
                <w:szCs w:val="21"/>
              </w:rPr>
              <w:t>野鸡坪镇/堡面前乡/佘田桥镇</w:t>
            </w:r>
            <w:r>
              <w:rPr>
                <w:color w:val="000000"/>
                <w:kern w:val="0"/>
                <w:szCs w:val="21"/>
              </w:rPr>
              <w:t>：</w:t>
            </w:r>
            <w:r>
              <w:rPr>
                <w:color w:val="000000"/>
                <w:szCs w:val="21"/>
              </w:rPr>
              <w:t>重点生态功能区</w:t>
            </w:r>
          </w:p>
        </w:tc>
        <w:tc>
          <w:tcPr>
            <w:tcW w:w="848" w:type="pct"/>
            <w:vAlign w:val="center"/>
          </w:tcPr>
          <w:p>
            <w:pPr>
              <w:widowControl/>
              <w:jc w:val="center"/>
              <w:rPr>
                <w:color w:val="000000"/>
                <w:kern w:val="0"/>
                <w:szCs w:val="21"/>
              </w:rPr>
            </w:pPr>
            <w:r>
              <w:rPr>
                <w:rFonts w:hint="eastAsia"/>
                <w:color w:val="000000"/>
                <w:kern w:val="0"/>
                <w:szCs w:val="21"/>
                <w:highlight w:val="none"/>
              </w:rPr>
              <w:t>农业种植、休闲农业、畜禽养殖、农副产品加工、食品加工、电子信息、五金、铸造、金属表面处理、塑料制品、家具制造、</w:t>
            </w:r>
            <w:r>
              <w:rPr>
                <w:rFonts w:hint="eastAsia"/>
                <w:color w:val="auto"/>
                <w:kern w:val="0"/>
                <w:szCs w:val="21"/>
                <w:highlight w:val="none"/>
                <w:shd w:val="clear"/>
              </w:rPr>
              <w:t>机电设备制造</w:t>
            </w:r>
            <w:r>
              <w:rPr>
                <w:rFonts w:hint="eastAsia"/>
                <w:color w:val="000000"/>
                <w:kern w:val="0"/>
                <w:szCs w:val="21"/>
                <w:highlight w:val="none"/>
              </w:rPr>
              <w:t>、制鞋、服装加工、建筑材料制造、废旧资源利用、铅锌采选、餐饮、旅游、康养产业、教育产业</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光伏、风电、新能源、储能等</w:t>
            </w:r>
          </w:p>
        </w:tc>
        <w:tc>
          <w:tcPr>
            <w:tcW w:w="1140" w:type="pct"/>
            <w:gridSpan w:val="2"/>
          </w:tcPr>
          <w:p>
            <w:pPr>
              <w:widowControl/>
              <w:rPr>
                <w:b/>
                <w:color w:val="000000"/>
                <w:kern w:val="0"/>
                <w:szCs w:val="21"/>
              </w:rPr>
            </w:pPr>
            <w:r>
              <w:rPr>
                <w:b/>
                <w:color w:val="000000"/>
                <w:kern w:val="0"/>
                <w:szCs w:val="21"/>
              </w:rPr>
              <w:t>主要环境问题：</w:t>
            </w:r>
          </w:p>
          <w:p>
            <w:pPr>
              <w:widowControl/>
              <w:rPr>
                <w:color w:val="000000"/>
                <w:kern w:val="0"/>
                <w:szCs w:val="21"/>
              </w:rPr>
            </w:pPr>
            <w:r>
              <w:rPr>
                <w:b/>
                <w:bCs/>
                <w:color w:val="000000"/>
                <w:kern w:val="0"/>
                <w:szCs w:val="21"/>
              </w:rPr>
              <w:t>野鸡坪镇：</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声环境质量有待提升、大气污染</w:t>
            </w:r>
            <w:r>
              <w:rPr>
                <w:color w:val="000000"/>
                <w:kern w:val="0"/>
                <w:szCs w:val="21"/>
              </w:rPr>
              <w:t>。</w:t>
            </w:r>
          </w:p>
          <w:p>
            <w:pPr>
              <w:widowControl/>
              <w:rPr>
                <w:color w:val="000000"/>
                <w:kern w:val="0"/>
                <w:szCs w:val="21"/>
              </w:rPr>
            </w:pPr>
            <w:r>
              <w:rPr>
                <w:b/>
                <w:bCs/>
                <w:color w:val="000000"/>
                <w:kern w:val="0"/>
                <w:szCs w:val="21"/>
              </w:rPr>
              <w:t>堡面前乡：</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声环境质量有待提升、大气污染、</w:t>
            </w:r>
            <w:r>
              <w:rPr>
                <w:color w:val="000000"/>
                <w:kern w:val="0"/>
                <w:szCs w:val="21"/>
              </w:rPr>
              <w:t>企业工矿场地生态恢复缓慢。</w:t>
            </w:r>
          </w:p>
          <w:p>
            <w:pPr>
              <w:widowControl/>
              <w:rPr>
                <w:b/>
                <w:bCs/>
                <w:color w:val="000000"/>
                <w:kern w:val="0"/>
              </w:rPr>
            </w:pPr>
            <w:r>
              <w:rPr>
                <w:b/>
                <w:bCs/>
                <w:color w:val="000000"/>
                <w:kern w:val="0"/>
                <w:szCs w:val="21"/>
              </w:rPr>
              <w:t>佘田桥镇：</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声环境质量有待提升、大气污染</w:t>
            </w: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widowControl/>
              <w:spacing w:line="400" w:lineRule="exact"/>
              <w:jc w:val="center"/>
              <w:rPr>
                <w:b/>
                <w:color w:val="000000"/>
                <w:kern w:val="0"/>
                <w:szCs w:val="21"/>
              </w:rPr>
            </w:pPr>
            <w:r>
              <w:rPr>
                <w:b/>
                <w:color w:val="000000"/>
                <w:kern w:val="0"/>
                <w:szCs w:val="21"/>
              </w:rPr>
              <w:t>主要属性</w:t>
            </w:r>
          </w:p>
        </w:tc>
        <w:tc>
          <w:tcPr>
            <w:tcW w:w="4647" w:type="pct"/>
            <w:gridSpan w:val="11"/>
            <w:vAlign w:val="center"/>
          </w:tcPr>
          <w:p>
            <w:pPr>
              <w:spacing w:line="400" w:lineRule="exact"/>
              <w:rPr>
                <w:b/>
                <w:bCs/>
                <w:color w:val="000000"/>
                <w:kern w:val="0"/>
                <w:szCs w:val="21"/>
              </w:rPr>
            </w:pPr>
            <w:r>
              <w:rPr>
                <w:b/>
                <w:bCs/>
                <w:color w:val="000000"/>
                <w:kern w:val="0"/>
                <w:szCs w:val="21"/>
              </w:rPr>
              <w:t>野鸡坪镇:</w:t>
            </w:r>
          </w:p>
          <w:p>
            <w:pPr>
              <w:spacing w:line="400" w:lineRule="exact"/>
              <w:rPr>
                <w:color w:val="000000"/>
                <w:szCs w:val="21"/>
              </w:rPr>
            </w:pPr>
            <w:r>
              <w:rPr>
                <w:b/>
                <w:bCs/>
                <w:szCs w:val="21"/>
              </w:rPr>
              <w:t>生态红线：</w:t>
            </w:r>
            <w:r>
              <w:rPr>
                <w:color w:val="000000"/>
                <w:kern w:val="0"/>
                <w:szCs w:val="21"/>
              </w:rPr>
              <w:t>一般生态空间、风景名胜区/水源涵养重要区/原生态红线/水土流失敏感区</w:t>
            </w:r>
          </w:p>
          <w:p>
            <w:pPr>
              <w:spacing w:line="400" w:lineRule="exact"/>
              <w:rPr>
                <w:color w:val="000000"/>
                <w:kern w:val="0"/>
                <w:szCs w:val="21"/>
              </w:rPr>
            </w:pPr>
            <w:r>
              <w:rPr>
                <w:b/>
                <w:bCs/>
                <w:szCs w:val="21"/>
              </w:rPr>
              <w:t>环境质量底线：</w:t>
            </w:r>
            <w:r>
              <w:rPr>
                <w:color w:val="000000"/>
                <w:kern w:val="0"/>
                <w:szCs w:val="21"/>
              </w:rPr>
              <w:t>水环境一般管控区;大气环境优先保护区/其他区域;建设用地重点管控区/其他重点管控区/一般管控区;重点生态功能区</w:t>
            </w:r>
          </w:p>
          <w:p>
            <w:pPr>
              <w:spacing w:line="400" w:lineRule="exact"/>
              <w:rPr>
                <w:b/>
                <w:bCs/>
                <w:color w:val="000000"/>
                <w:kern w:val="0"/>
                <w:szCs w:val="21"/>
              </w:rPr>
            </w:pPr>
            <w:r>
              <w:rPr>
                <w:b/>
                <w:bCs/>
                <w:color w:val="000000"/>
                <w:kern w:val="0"/>
                <w:szCs w:val="21"/>
              </w:rPr>
              <w:t>堡面前乡:</w:t>
            </w:r>
          </w:p>
          <w:p>
            <w:pPr>
              <w:spacing w:line="400" w:lineRule="exact"/>
              <w:rPr>
                <w:color w:val="000000"/>
                <w:szCs w:val="21"/>
              </w:rPr>
            </w:pPr>
            <w:r>
              <w:rPr>
                <w:b/>
                <w:bCs/>
                <w:szCs w:val="21"/>
              </w:rPr>
              <w:t>生态红线：</w:t>
            </w:r>
            <w:r>
              <w:rPr>
                <w:color w:val="000000"/>
                <w:kern w:val="0"/>
                <w:szCs w:val="21"/>
              </w:rPr>
              <w:t>红线/一般生态空间/风景名胜区/水源涵养重要区/生物多样性保护功能重要区/三区三线生态红线</w:t>
            </w:r>
          </w:p>
          <w:p>
            <w:pPr>
              <w:spacing w:line="400" w:lineRule="exact"/>
              <w:rPr>
                <w:color w:val="000000"/>
                <w:kern w:val="0"/>
                <w:szCs w:val="21"/>
              </w:rPr>
            </w:pPr>
            <w:r>
              <w:rPr>
                <w:b/>
                <w:bCs/>
                <w:szCs w:val="21"/>
              </w:rPr>
              <w:t>环境质量底线：</w:t>
            </w:r>
            <w:r>
              <w:rPr>
                <w:color w:val="000000"/>
                <w:kern w:val="0"/>
                <w:szCs w:val="21"/>
              </w:rPr>
              <w:t>水环境一般管控区;大气环境优先保护区/大气环境受体敏感重点管控区/其他区域;农用地优先保护区/建设用地重点管控区/其他重点管控区/一般管控区;重点生态功能区</w:t>
            </w:r>
          </w:p>
          <w:p>
            <w:pPr>
              <w:spacing w:line="400" w:lineRule="exact"/>
              <w:rPr>
                <w:b/>
                <w:bCs/>
                <w:color w:val="000000"/>
                <w:kern w:val="0"/>
                <w:szCs w:val="21"/>
              </w:rPr>
            </w:pPr>
            <w:r>
              <w:rPr>
                <w:b/>
                <w:bCs/>
                <w:color w:val="000000"/>
                <w:kern w:val="0"/>
                <w:szCs w:val="21"/>
              </w:rPr>
              <w:t>佘田桥镇:</w:t>
            </w:r>
          </w:p>
          <w:p>
            <w:pPr>
              <w:spacing w:line="400" w:lineRule="exact"/>
              <w:rPr>
                <w:color w:val="000000"/>
                <w:szCs w:val="21"/>
              </w:rPr>
            </w:pPr>
            <w:r>
              <w:rPr>
                <w:b/>
                <w:bCs/>
                <w:szCs w:val="21"/>
              </w:rPr>
              <w:t>生态红线：</w:t>
            </w:r>
            <w:r>
              <w:rPr>
                <w:color w:val="000000"/>
                <w:kern w:val="0"/>
                <w:szCs w:val="21"/>
              </w:rPr>
              <w:t>一般生态空间/风景名胜区/水源涵养重要区/生物多样性保护功能重要区/水土流失敏感区/原生态红线</w:t>
            </w:r>
          </w:p>
          <w:p>
            <w:pPr>
              <w:spacing w:line="400" w:lineRule="exact"/>
              <w:rPr>
                <w:color w:val="000000"/>
                <w:kern w:val="0"/>
                <w:szCs w:val="21"/>
              </w:rPr>
            </w:pPr>
            <w:r>
              <w:rPr>
                <w:b/>
                <w:bCs/>
                <w:szCs w:val="21"/>
              </w:rPr>
              <w:t>环境质量底线：</w:t>
            </w:r>
            <w:r>
              <w:rPr>
                <w:color w:val="000000"/>
                <w:kern w:val="0"/>
                <w:szCs w:val="21"/>
              </w:rPr>
              <w:t>水环境一般管控区;大气环境优先保护区/大气环境受体敏感重点管控区/其他区域;农用地优先保护区/建设用地重点管控区/其他重点管控区/一般管控区;重点生态功能区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widowControl/>
              <w:spacing w:line="400" w:lineRule="exact"/>
              <w:jc w:val="center"/>
              <w:rPr>
                <w:b/>
                <w:color w:val="000000"/>
                <w:szCs w:val="21"/>
              </w:rPr>
            </w:pPr>
            <w:r>
              <w:rPr>
                <w:b/>
                <w:color w:val="000000"/>
                <w:szCs w:val="21"/>
              </w:rPr>
              <w:t>管控维度</w:t>
            </w:r>
          </w:p>
        </w:tc>
        <w:tc>
          <w:tcPr>
            <w:tcW w:w="3569" w:type="pct"/>
            <w:gridSpan w:val="10"/>
            <w:vAlign w:val="center"/>
          </w:tcPr>
          <w:p>
            <w:pPr>
              <w:spacing w:line="400" w:lineRule="exact"/>
              <w:jc w:val="center"/>
              <w:rPr>
                <w:b/>
                <w:color w:val="000000"/>
                <w:szCs w:val="21"/>
              </w:rPr>
            </w:pPr>
            <w:r>
              <w:rPr>
                <w:b/>
                <w:color w:val="000000"/>
                <w:kern w:val="0"/>
                <w:szCs w:val="21"/>
              </w:rPr>
              <w:t>管控要求</w:t>
            </w:r>
          </w:p>
        </w:tc>
        <w:tc>
          <w:tcPr>
            <w:tcW w:w="1078" w:type="pct"/>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widowControl/>
              <w:spacing w:line="400" w:lineRule="exact"/>
              <w:jc w:val="center"/>
              <w:rPr>
                <w:color w:val="000000"/>
                <w:szCs w:val="21"/>
              </w:rPr>
            </w:pPr>
            <w:r>
              <w:rPr>
                <w:color w:val="000000"/>
                <w:szCs w:val="21"/>
              </w:rPr>
              <w:t>空间布局约束</w:t>
            </w:r>
          </w:p>
        </w:tc>
        <w:tc>
          <w:tcPr>
            <w:tcW w:w="3569" w:type="pct"/>
            <w:gridSpan w:val="10"/>
            <w:vAlign w:val="center"/>
          </w:tcPr>
          <w:p>
            <w:pPr>
              <w:tabs>
                <w:tab w:val="left" w:pos="1021"/>
              </w:tabs>
              <w:spacing w:line="40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（1.4）严禁公路和河流两侧、自然保护区等生态敏感地区的私挖乱采。</w:t>
            </w:r>
          </w:p>
        </w:tc>
        <w:tc>
          <w:tcPr>
            <w:tcW w:w="1078" w:type="pct"/>
            <w:vMerge w:val="restart"/>
            <w:vAlign w:val="center"/>
          </w:tcPr>
          <w:p>
            <w:pPr>
              <w:tabs>
                <w:tab w:val="left" w:pos="1021"/>
              </w:tabs>
              <w:spacing w:line="400" w:lineRule="exact"/>
              <w:rPr>
                <w:strike/>
                <w:color w:val="000000"/>
                <w:szCs w:val="21"/>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400" w:lineRule="exact"/>
              <w:rPr>
                <w:color w:val="000000"/>
                <w:szCs w:val="21"/>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Align w:val="center"/>
          </w:tcPr>
          <w:p>
            <w:pPr>
              <w:widowControl/>
              <w:spacing w:line="400" w:lineRule="exact"/>
              <w:jc w:val="center"/>
              <w:rPr>
                <w:color w:val="000000"/>
                <w:szCs w:val="21"/>
              </w:rPr>
            </w:pPr>
            <w:r>
              <w:rPr>
                <w:color w:val="000000"/>
                <w:szCs w:val="21"/>
              </w:rPr>
              <w:t>污染物排放管控</w:t>
            </w:r>
          </w:p>
        </w:tc>
        <w:tc>
          <w:tcPr>
            <w:tcW w:w="3569" w:type="pct"/>
            <w:gridSpan w:val="10"/>
            <w:vAlign w:val="center"/>
          </w:tcPr>
          <w:p>
            <w:pPr>
              <w:tabs>
                <w:tab w:val="left" w:pos="1021"/>
              </w:tabs>
              <w:spacing w:line="40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40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（2.3）固体废弃物：推动塑料污染全链条治理，强化生活垃圾分类管理。</w:t>
            </w:r>
          </w:p>
        </w:tc>
        <w:tc>
          <w:tcPr>
            <w:tcW w:w="1078"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widowControl/>
              <w:spacing w:line="400" w:lineRule="exact"/>
              <w:jc w:val="center"/>
              <w:rPr>
                <w:color w:val="000000"/>
                <w:szCs w:val="21"/>
              </w:rPr>
            </w:pPr>
            <w:r>
              <w:rPr>
                <w:color w:val="000000"/>
                <w:szCs w:val="21"/>
              </w:rPr>
              <w:t>环境风险防控</w:t>
            </w:r>
          </w:p>
        </w:tc>
        <w:tc>
          <w:tcPr>
            <w:tcW w:w="3569" w:type="pct"/>
            <w:gridSpan w:val="10"/>
            <w:vAlign w:val="center"/>
          </w:tcPr>
          <w:p>
            <w:pPr>
              <w:tabs>
                <w:tab w:val="left" w:pos="1021"/>
              </w:tabs>
              <w:spacing w:line="400" w:lineRule="exact"/>
              <w:rPr>
                <w:color w:val="000000" w:themeColor="text1"/>
                <w:szCs w:val="21"/>
                <w14:textFill>
                  <w14:solidFill>
                    <w14:schemeClr w14:val="tx1"/>
                  </w14:solidFill>
                </w14:textFill>
              </w:rPr>
            </w:pPr>
            <w:r>
              <w:rPr>
                <w:szCs w:val="21"/>
              </w:rPr>
              <w:t>（3.1）按省级、市级生态环境准入总体清单中与环境风险防控相关条文执行。</w:t>
            </w:r>
          </w:p>
        </w:tc>
        <w:tc>
          <w:tcPr>
            <w:tcW w:w="1078"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widowControl/>
              <w:spacing w:line="400" w:lineRule="exact"/>
              <w:jc w:val="center"/>
              <w:rPr>
                <w:color w:val="000000"/>
                <w:szCs w:val="21"/>
              </w:rPr>
            </w:pPr>
            <w:r>
              <w:rPr>
                <w:color w:val="000000"/>
                <w:szCs w:val="21"/>
              </w:rPr>
              <w:t>资源开发效率要求</w:t>
            </w:r>
          </w:p>
        </w:tc>
        <w:tc>
          <w:tcPr>
            <w:tcW w:w="3569" w:type="pct"/>
            <w:gridSpan w:val="10"/>
          </w:tcPr>
          <w:p>
            <w:pPr>
              <w:tabs>
                <w:tab w:val="left" w:pos="1021"/>
              </w:tabs>
              <w:spacing w:line="400" w:lineRule="exact"/>
              <w:rPr>
                <w:color w:val="000000"/>
                <w:szCs w:val="21"/>
              </w:rPr>
            </w:pPr>
            <w:r>
              <w:rPr>
                <w:color w:val="000000" w:themeColor="text1"/>
                <w:szCs w:val="21"/>
                <w14:textFill>
                  <w14:solidFill>
                    <w14:schemeClr w14:val="tx1"/>
                  </w14:solidFill>
                </w14:textFill>
              </w:rPr>
              <w:t>（4.1）能源：</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w:t>
            </w:r>
            <w:r>
              <w:rPr>
                <w:color w:val="000000"/>
                <w:kern w:val="0"/>
                <w:szCs w:val="21"/>
              </w:rPr>
              <w:t>野鸡坪镇</w:t>
            </w:r>
            <w:r>
              <w:rPr>
                <w:color w:val="000000" w:themeColor="text1"/>
                <w:szCs w:val="21"/>
                <w14:textFill>
                  <w14:solidFill>
                    <w14:schemeClr w14:val="tx1"/>
                  </w14:solidFill>
                </w14:textFill>
              </w:rPr>
              <w:t>耕地保有量为3.90万亩，永久基本农田保护面积为3.69万亩；</w:t>
            </w:r>
            <w:r>
              <w:rPr>
                <w:color w:val="000000"/>
                <w:kern w:val="0"/>
                <w:szCs w:val="21"/>
              </w:rPr>
              <w:t>堡面前乡</w:t>
            </w:r>
            <w:r>
              <w:rPr>
                <w:color w:val="000000" w:themeColor="text1"/>
                <w:szCs w:val="21"/>
                <w14:textFill>
                  <w14:solidFill>
                    <w14:schemeClr w14:val="tx1"/>
                  </w14:solidFill>
                </w14:textFill>
              </w:rPr>
              <w:t>耕地保有量为0.67万亩，永久基本农田保护面积为0.61万亩，生态保护红线面积为683.01万亩；</w:t>
            </w:r>
            <w:r>
              <w:rPr>
                <w:color w:val="000000"/>
                <w:kern w:val="0"/>
                <w:szCs w:val="21"/>
              </w:rPr>
              <w:t>佘田桥镇</w:t>
            </w:r>
            <w:r>
              <w:rPr>
                <w:color w:val="000000" w:themeColor="text1"/>
                <w:szCs w:val="21"/>
                <w14:textFill>
                  <w14:solidFill>
                    <w14:schemeClr w14:val="tx1"/>
                  </w14:solidFill>
                </w14:textFill>
              </w:rPr>
              <w:t>耕地保有量为1.87万亩，永久基本农田保护面积为1.73万亩。</w:t>
            </w:r>
          </w:p>
        </w:tc>
        <w:tc>
          <w:tcPr>
            <w:tcW w:w="1078" w:type="pct"/>
            <w:vMerge w:val="continue"/>
            <w:vAlign w:val="center"/>
          </w:tcPr>
          <w:p/>
        </w:tc>
      </w:tr>
    </w:tbl>
    <w:p>
      <w:pPr>
        <w:widowControl/>
        <w:jc w:val="center"/>
        <w:rPr>
          <w:b/>
          <w:color w:val="000000"/>
          <w:kern w:val="0"/>
          <w:szCs w:val="21"/>
        </w:rPr>
      </w:pPr>
      <w:r>
        <w:rPr>
          <w:b/>
          <w:color w:val="000000"/>
          <w:kern w:val="0"/>
          <w:szCs w:val="21"/>
        </w:rPr>
        <w:br w:type="page"/>
      </w:r>
    </w:p>
    <w:tbl>
      <w:tblPr>
        <w:tblStyle w:val="10"/>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53"/>
        <w:gridCol w:w="433"/>
        <w:gridCol w:w="511"/>
        <w:gridCol w:w="627"/>
        <w:gridCol w:w="862"/>
        <w:gridCol w:w="917"/>
        <w:gridCol w:w="1238"/>
        <w:gridCol w:w="1060"/>
        <w:gridCol w:w="2367"/>
        <w:gridCol w:w="176"/>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Merge w:val="restart"/>
            <w:vAlign w:val="center"/>
          </w:tcPr>
          <w:p>
            <w:pPr>
              <w:widowControl/>
              <w:jc w:val="center"/>
              <w:rPr>
                <w:b/>
                <w:color w:val="000000"/>
                <w:kern w:val="0"/>
                <w:szCs w:val="21"/>
              </w:rPr>
            </w:pPr>
            <w:r>
              <w:rPr>
                <w:b/>
                <w:color w:val="000000"/>
                <w:kern w:val="0"/>
                <w:szCs w:val="21"/>
              </w:rPr>
              <w:t>环境管控单元编码</w:t>
            </w:r>
          </w:p>
        </w:tc>
        <w:tc>
          <w:tcPr>
            <w:tcW w:w="700" w:type="pct"/>
            <w:vMerge w:val="restart"/>
            <w:vAlign w:val="center"/>
          </w:tcPr>
          <w:p>
            <w:pPr>
              <w:widowControl/>
              <w:jc w:val="center"/>
              <w:rPr>
                <w:b/>
                <w:color w:val="000000"/>
                <w:kern w:val="0"/>
                <w:szCs w:val="21"/>
              </w:rPr>
            </w:pPr>
            <w:r>
              <w:rPr>
                <w:b/>
                <w:color w:val="000000"/>
                <w:kern w:val="0"/>
                <w:szCs w:val="21"/>
              </w:rPr>
              <w:t>单元名称</w:t>
            </w:r>
          </w:p>
        </w:tc>
        <w:tc>
          <w:tcPr>
            <w:tcW w:w="563" w:type="pct"/>
            <w:gridSpan w:val="3"/>
            <w:vAlign w:val="center"/>
          </w:tcPr>
          <w:p>
            <w:pPr>
              <w:widowControl/>
              <w:jc w:val="center"/>
              <w:rPr>
                <w:b/>
                <w:color w:val="000000"/>
                <w:kern w:val="0"/>
                <w:szCs w:val="21"/>
              </w:rPr>
            </w:pPr>
            <w:r>
              <w:rPr>
                <w:b/>
                <w:color w:val="000000"/>
                <w:kern w:val="0"/>
                <w:szCs w:val="21"/>
              </w:rPr>
              <w:t>行政区划</w:t>
            </w:r>
          </w:p>
        </w:tc>
        <w:tc>
          <w:tcPr>
            <w:tcW w:w="309" w:type="pct"/>
            <w:vMerge w:val="restart"/>
            <w:vAlign w:val="center"/>
          </w:tcPr>
          <w:p>
            <w:pPr>
              <w:widowControl/>
              <w:jc w:val="center"/>
              <w:rPr>
                <w:b/>
                <w:color w:val="000000"/>
                <w:kern w:val="0"/>
                <w:szCs w:val="21"/>
              </w:rPr>
            </w:pPr>
            <w:r>
              <w:rPr>
                <w:b/>
                <w:color w:val="000000"/>
                <w:kern w:val="0"/>
                <w:szCs w:val="21"/>
              </w:rPr>
              <w:t>单元分类</w:t>
            </w:r>
          </w:p>
        </w:tc>
        <w:tc>
          <w:tcPr>
            <w:tcW w:w="328"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43" w:type="pct"/>
            <w:vMerge w:val="restart"/>
            <w:vAlign w:val="center"/>
          </w:tcPr>
          <w:p>
            <w:pPr>
              <w:jc w:val="center"/>
              <w:rPr>
                <w:b/>
                <w:color w:val="000000"/>
                <w:kern w:val="0"/>
                <w:szCs w:val="21"/>
              </w:rPr>
            </w:pPr>
            <w:r>
              <w:rPr>
                <w:b/>
                <w:color w:val="000000"/>
                <w:kern w:val="0"/>
                <w:szCs w:val="21"/>
              </w:rPr>
              <w:t>涉及乡镇(街道)</w:t>
            </w:r>
          </w:p>
        </w:tc>
        <w:tc>
          <w:tcPr>
            <w:tcW w:w="380" w:type="pct"/>
            <w:vMerge w:val="restart"/>
            <w:vAlign w:val="center"/>
          </w:tcPr>
          <w:p>
            <w:pPr>
              <w:jc w:val="center"/>
              <w:rPr>
                <w:b/>
                <w:color w:val="000000"/>
                <w:kern w:val="0"/>
                <w:szCs w:val="21"/>
              </w:rPr>
            </w:pPr>
            <w:r>
              <w:rPr>
                <w:b/>
                <w:color w:val="000000"/>
                <w:kern w:val="0"/>
                <w:szCs w:val="21"/>
              </w:rPr>
              <w:t>主体功能定位</w:t>
            </w:r>
          </w:p>
        </w:tc>
        <w:tc>
          <w:tcPr>
            <w:tcW w:w="848" w:type="pct"/>
            <w:vMerge w:val="restart"/>
            <w:vAlign w:val="center"/>
          </w:tcPr>
          <w:p>
            <w:pPr>
              <w:jc w:val="center"/>
              <w:rPr>
                <w:b/>
                <w:color w:val="000000"/>
                <w:kern w:val="0"/>
                <w:szCs w:val="21"/>
              </w:rPr>
            </w:pPr>
            <w:r>
              <w:rPr>
                <w:b/>
                <w:color w:val="000000"/>
                <w:kern w:val="0"/>
                <w:szCs w:val="21"/>
              </w:rPr>
              <w:t>经济产业布局</w:t>
            </w:r>
          </w:p>
        </w:tc>
        <w:tc>
          <w:tcPr>
            <w:tcW w:w="1141"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4" w:type="pct"/>
            <w:vMerge w:val="continue"/>
            <w:vAlign w:val="center"/>
          </w:tcPr>
          <w:p/>
        </w:tc>
        <w:tc>
          <w:tcPr>
            <w:tcW w:w="700" w:type="pct"/>
            <w:vMerge w:val="continue"/>
            <w:vAlign w:val="center"/>
          </w:tcPr>
          <w:p/>
        </w:tc>
        <w:tc>
          <w:tcPr>
            <w:tcW w:w="155" w:type="pct"/>
            <w:vAlign w:val="center"/>
          </w:tcPr>
          <w:p>
            <w:pPr>
              <w:jc w:val="center"/>
              <w:rPr>
                <w:b/>
                <w:color w:val="000000"/>
                <w:szCs w:val="21"/>
              </w:rPr>
            </w:pPr>
            <w:r>
              <w:rPr>
                <w:b/>
                <w:color w:val="000000"/>
                <w:szCs w:val="21"/>
              </w:rPr>
              <w:t>省</w:t>
            </w:r>
          </w:p>
        </w:tc>
        <w:tc>
          <w:tcPr>
            <w:tcW w:w="182" w:type="pct"/>
            <w:vAlign w:val="center"/>
          </w:tcPr>
          <w:p>
            <w:pPr>
              <w:jc w:val="center"/>
              <w:rPr>
                <w:b/>
                <w:color w:val="000000"/>
                <w:szCs w:val="21"/>
              </w:rPr>
            </w:pPr>
            <w:r>
              <w:rPr>
                <w:b/>
                <w:color w:val="000000"/>
                <w:szCs w:val="21"/>
              </w:rPr>
              <w:t>市</w:t>
            </w:r>
          </w:p>
        </w:tc>
        <w:tc>
          <w:tcPr>
            <w:tcW w:w="224" w:type="pct"/>
            <w:vAlign w:val="center"/>
          </w:tcPr>
          <w:p>
            <w:pPr>
              <w:jc w:val="center"/>
              <w:rPr>
                <w:b/>
                <w:color w:val="000000"/>
                <w:szCs w:val="21"/>
              </w:rPr>
            </w:pPr>
            <w:r>
              <w:rPr>
                <w:b/>
                <w:color w:val="000000"/>
                <w:szCs w:val="21"/>
              </w:rPr>
              <w:t>县</w:t>
            </w:r>
          </w:p>
        </w:tc>
        <w:tc>
          <w:tcPr>
            <w:tcW w:w="309" w:type="pct"/>
            <w:vMerge w:val="continue"/>
            <w:vAlign w:val="center"/>
          </w:tcPr>
          <w:p/>
        </w:tc>
        <w:tc>
          <w:tcPr>
            <w:tcW w:w="328" w:type="pct"/>
            <w:vMerge w:val="continue"/>
            <w:vAlign w:val="center"/>
          </w:tcPr>
          <w:p/>
        </w:tc>
        <w:tc>
          <w:tcPr>
            <w:tcW w:w="443" w:type="pct"/>
            <w:vMerge w:val="continue"/>
            <w:vAlign w:val="center"/>
          </w:tcPr>
          <w:p/>
        </w:tc>
        <w:tc>
          <w:tcPr>
            <w:tcW w:w="380" w:type="pct"/>
            <w:vMerge w:val="continue"/>
            <w:vAlign w:val="center"/>
          </w:tcPr>
          <w:p/>
        </w:tc>
        <w:tc>
          <w:tcPr>
            <w:tcW w:w="848" w:type="pct"/>
            <w:vMerge w:val="continue"/>
            <w:vAlign w:val="center"/>
          </w:tcPr>
          <w:p/>
        </w:tc>
        <w:tc>
          <w:tcPr>
            <w:tcW w:w="1141"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pPr>
              <w:widowControl/>
              <w:jc w:val="center"/>
              <w:rPr>
                <w:strike/>
                <w:color w:val="000000"/>
                <w:kern w:val="0"/>
                <w:szCs w:val="21"/>
              </w:rPr>
            </w:pPr>
            <w:r>
              <w:rPr>
                <w:color w:val="000000"/>
                <w:kern w:val="0"/>
                <w:szCs w:val="21"/>
              </w:rPr>
              <w:t>ZH43052120001</w:t>
            </w:r>
          </w:p>
        </w:tc>
        <w:tc>
          <w:tcPr>
            <w:tcW w:w="700" w:type="pct"/>
            <w:vAlign w:val="center"/>
          </w:tcPr>
          <w:p>
            <w:pPr>
              <w:widowControl/>
              <w:jc w:val="center"/>
              <w:rPr>
                <w:color w:val="000000"/>
                <w:kern w:val="0"/>
                <w:szCs w:val="21"/>
              </w:rPr>
            </w:pPr>
            <w:r>
              <w:rPr>
                <w:color w:val="000000"/>
                <w:kern w:val="0"/>
                <w:szCs w:val="21"/>
              </w:rPr>
              <w:t>简家陇镇</w:t>
            </w:r>
          </w:p>
        </w:tc>
        <w:tc>
          <w:tcPr>
            <w:tcW w:w="155" w:type="pct"/>
            <w:vAlign w:val="center"/>
          </w:tcPr>
          <w:p>
            <w:pPr>
              <w:widowControl/>
              <w:jc w:val="center"/>
              <w:rPr>
                <w:color w:val="000000"/>
                <w:kern w:val="0"/>
                <w:szCs w:val="21"/>
              </w:rPr>
            </w:pPr>
            <w:r>
              <w:rPr>
                <w:color w:val="000000"/>
                <w:kern w:val="0"/>
                <w:szCs w:val="21"/>
              </w:rPr>
              <w:t>湖南省</w:t>
            </w:r>
          </w:p>
        </w:tc>
        <w:tc>
          <w:tcPr>
            <w:tcW w:w="182" w:type="pct"/>
            <w:vAlign w:val="center"/>
          </w:tcPr>
          <w:p>
            <w:pPr>
              <w:widowControl/>
              <w:jc w:val="center"/>
              <w:rPr>
                <w:color w:val="000000"/>
                <w:kern w:val="0"/>
                <w:szCs w:val="21"/>
              </w:rPr>
            </w:pPr>
            <w:r>
              <w:rPr>
                <w:color w:val="000000"/>
                <w:kern w:val="0"/>
                <w:szCs w:val="21"/>
              </w:rPr>
              <w:t>邵阳市</w:t>
            </w:r>
          </w:p>
        </w:tc>
        <w:tc>
          <w:tcPr>
            <w:tcW w:w="224" w:type="pct"/>
            <w:vAlign w:val="center"/>
          </w:tcPr>
          <w:p>
            <w:pPr>
              <w:widowControl/>
              <w:jc w:val="center"/>
              <w:rPr>
                <w:color w:val="000000"/>
                <w:kern w:val="0"/>
                <w:szCs w:val="21"/>
              </w:rPr>
            </w:pPr>
            <w:r>
              <w:rPr>
                <w:color w:val="000000"/>
                <w:kern w:val="0"/>
                <w:szCs w:val="21"/>
              </w:rPr>
              <w:t>邵东市</w:t>
            </w:r>
          </w:p>
        </w:tc>
        <w:tc>
          <w:tcPr>
            <w:tcW w:w="309" w:type="pct"/>
            <w:vAlign w:val="center"/>
          </w:tcPr>
          <w:p>
            <w:pPr>
              <w:widowControl/>
              <w:jc w:val="center"/>
              <w:rPr>
                <w:strike/>
                <w:color w:val="000000"/>
                <w:kern w:val="0"/>
                <w:szCs w:val="21"/>
              </w:rPr>
            </w:pPr>
            <w:r>
              <w:rPr>
                <w:color w:val="000000"/>
                <w:kern w:val="0"/>
                <w:szCs w:val="21"/>
              </w:rPr>
              <w:t>重点管控单元</w:t>
            </w:r>
          </w:p>
        </w:tc>
        <w:tc>
          <w:tcPr>
            <w:tcW w:w="328" w:type="pct"/>
            <w:vAlign w:val="center"/>
          </w:tcPr>
          <w:p>
            <w:pPr>
              <w:widowControl/>
              <w:jc w:val="center"/>
              <w:rPr>
                <w:color w:val="000000"/>
                <w:kern w:val="0"/>
                <w:szCs w:val="21"/>
              </w:rPr>
            </w:pPr>
            <w:r>
              <w:rPr>
                <w:color w:val="000000"/>
                <w:kern w:val="0"/>
                <w:szCs w:val="21"/>
              </w:rPr>
              <w:t>118.68</w:t>
            </w:r>
          </w:p>
        </w:tc>
        <w:tc>
          <w:tcPr>
            <w:tcW w:w="443" w:type="pct"/>
            <w:vAlign w:val="center"/>
          </w:tcPr>
          <w:p>
            <w:pPr>
              <w:widowControl/>
              <w:jc w:val="center"/>
              <w:rPr>
                <w:color w:val="000000"/>
                <w:kern w:val="0"/>
                <w:szCs w:val="21"/>
              </w:rPr>
            </w:pPr>
            <w:r>
              <w:rPr>
                <w:color w:val="000000"/>
                <w:kern w:val="0"/>
                <w:szCs w:val="21"/>
              </w:rPr>
              <w:t>简家陇镇</w:t>
            </w:r>
          </w:p>
        </w:tc>
        <w:tc>
          <w:tcPr>
            <w:tcW w:w="380" w:type="pct"/>
            <w:vAlign w:val="center"/>
          </w:tcPr>
          <w:p>
            <w:pPr>
              <w:jc w:val="center"/>
              <w:rPr>
                <w:color w:val="000000"/>
                <w:szCs w:val="21"/>
              </w:rPr>
            </w:pPr>
            <w:r>
              <w:rPr>
                <w:color w:val="000000"/>
                <w:szCs w:val="21"/>
              </w:rPr>
              <w:t>重点生态功能区、能源资源富集区</w:t>
            </w:r>
          </w:p>
        </w:tc>
        <w:tc>
          <w:tcPr>
            <w:tcW w:w="848" w:type="pct"/>
            <w:vAlign w:val="center"/>
          </w:tcPr>
          <w:p>
            <w:pPr>
              <w:widowControl/>
              <w:jc w:val="center"/>
              <w:rPr>
                <w:color w:val="000000"/>
                <w:kern w:val="0"/>
                <w:szCs w:val="21"/>
              </w:rPr>
            </w:pPr>
            <w:r>
              <w:rPr>
                <w:rFonts w:hint="eastAsia"/>
                <w:color w:val="000000"/>
                <w:kern w:val="0"/>
                <w:szCs w:val="21"/>
                <w:highlight w:val="none"/>
              </w:rPr>
              <w:t>农业种植、休闲农业、畜禽养殖、农副产品加工、食品加工、电子信息、五金、铸造、金属表面处理、塑料制品、家具制造、机电设备制造、制鞋、服装加工、建筑材料制造、废旧资源利用、铅锌采选、非金属矿物制品业、涂料制造</w:t>
            </w:r>
            <w:r>
              <w:rPr>
                <w:rFonts w:hint="eastAsia"/>
                <w:color w:val="000000"/>
                <w:kern w:val="0"/>
                <w:szCs w:val="21"/>
                <w:highlight w:val="none"/>
                <w:lang w:eastAsia="zh-CN"/>
              </w:rPr>
              <w:t>、</w:t>
            </w:r>
            <w:r>
              <w:rPr>
                <w:rFonts w:hint="eastAsia"/>
                <w:color w:val="000000"/>
                <w:kern w:val="0"/>
                <w:szCs w:val="21"/>
                <w:highlight w:val="none"/>
              </w:rPr>
              <w:t>餐饮、旅游、康养产业、教育产业</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光伏、风电、新能源、储能等</w:t>
            </w:r>
          </w:p>
        </w:tc>
        <w:tc>
          <w:tcPr>
            <w:tcW w:w="1141" w:type="pct"/>
            <w:gridSpan w:val="2"/>
          </w:tcPr>
          <w:p>
            <w:pPr>
              <w:widowControl/>
              <w:rPr>
                <w:strike/>
                <w:color w:val="000000"/>
                <w:kern w:val="0"/>
                <w:szCs w:val="21"/>
              </w:rPr>
            </w:pPr>
            <w:r>
              <w:rPr>
                <w:b/>
                <w:color w:val="000000"/>
                <w:kern w:val="0"/>
                <w:szCs w:val="21"/>
              </w:rPr>
              <w:t>主要环境问题：</w:t>
            </w:r>
          </w:p>
          <w:p>
            <w:pPr>
              <w:widowControl/>
              <w:rPr>
                <w:b/>
                <w:color w:val="000000"/>
                <w:kern w:val="0"/>
                <w:szCs w:val="21"/>
              </w:rPr>
            </w:pP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pPr>
              <w:widowControl/>
              <w:spacing w:line="400" w:lineRule="exact"/>
              <w:jc w:val="center"/>
              <w:rPr>
                <w:b/>
                <w:color w:val="000000"/>
                <w:kern w:val="0"/>
                <w:szCs w:val="21"/>
              </w:rPr>
            </w:pPr>
            <w:r>
              <w:rPr>
                <w:b/>
                <w:color w:val="000000"/>
                <w:kern w:val="0"/>
                <w:szCs w:val="21"/>
              </w:rPr>
              <w:t>主要属性</w:t>
            </w:r>
          </w:p>
        </w:tc>
        <w:tc>
          <w:tcPr>
            <w:tcW w:w="4715" w:type="pct"/>
            <w:gridSpan w:val="11"/>
            <w:vAlign w:val="center"/>
          </w:tcPr>
          <w:p>
            <w:pPr>
              <w:spacing w:line="400" w:lineRule="exact"/>
              <w:rPr>
                <w:b/>
                <w:bCs/>
                <w:color w:val="000000"/>
                <w:kern w:val="0"/>
                <w:szCs w:val="21"/>
              </w:rPr>
            </w:pPr>
            <w:r>
              <w:rPr>
                <w:b/>
                <w:bCs/>
                <w:color w:val="000000"/>
                <w:kern w:val="0"/>
                <w:szCs w:val="21"/>
              </w:rPr>
              <w:t>简家陇镇:</w:t>
            </w:r>
          </w:p>
          <w:p>
            <w:pPr>
              <w:spacing w:line="400" w:lineRule="exact"/>
              <w:rPr>
                <w:color w:val="000000"/>
                <w:szCs w:val="21"/>
              </w:rPr>
            </w:pPr>
            <w:r>
              <w:rPr>
                <w:b/>
                <w:bCs/>
                <w:szCs w:val="21"/>
              </w:rPr>
              <w:t>生态红线：</w:t>
            </w:r>
            <w:r>
              <w:rPr>
                <w:color w:val="000000"/>
                <w:kern w:val="0"/>
                <w:szCs w:val="21"/>
              </w:rPr>
              <w:t>一般生态空间/水源涵养重要区/水土流失敏感区/生物多样性保护功能重要区</w:t>
            </w:r>
          </w:p>
          <w:p>
            <w:pPr>
              <w:spacing w:line="400" w:lineRule="exact"/>
              <w:rPr>
                <w:color w:val="000000"/>
                <w:kern w:val="0"/>
                <w:szCs w:val="21"/>
              </w:rPr>
            </w:pPr>
            <w:r>
              <w:rPr>
                <w:b/>
                <w:bCs/>
                <w:szCs w:val="21"/>
              </w:rPr>
              <w:t>环境质量底线：</w:t>
            </w:r>
            <w:r>
              <w:rPr>
                <w:color w:val="000000"/>
                <w:kern w:val="0"/>
                <w:szCs w:val="21"/>
              </w:rPr>
              <w:t>水环境其他重点管控区/水环境一般管控区;大气环境优先保护区/大气环境受体敏感重点管控区/其他区域;建设用地重点管控区/其他重点管控区/一般管控区;重点生态功能区/能源资源富集区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pPr>
              <w:widowControl/>
              <w:spacing w:line="400" w:lineRule="exact"/>
              <w:jc w:val="center"/>
              <w:rPr>
                <w:b/>
                <w:color w:val="000000"/>
                <w:szCs w:val="21"/>
              </w:rPr>
            </w:pPr>
            <w:r>
              <w:rPr>
                <w:b/>
                <w:color w:val="000000"/>
                <w:szCs w:val="21"/>
              </w:rPr>
              <w:t>管控维度</w:t>
            </w:r>
          </w:p>
        </w:tc>
        <w:tc>
          <w:tcPr>
            <w:tcW w:w="3637" w:type="pct"/>
            <w:gridSpan w:val="10"/>
            <w:vAlign w:val="center"/>
          </w:tcPr>
          <w:p>
            <w:pPr>
              <w:spacing w:line="400" w:lineRule="exact"/>
              <w:jc w:val="center"/>
              <w:rPr>
                <w:b/>
                <w:color w:val="000000"/>
                <w:szCs w:val="21"/>
              </w:rPr>
            </w:pPr>
            <w:r>
              <w:rPr>
                <w:b/>
                <w:color w:val="000000"/>
                <w:kern w:val="0"/>
                <w:szCs w:val="21"/>
              </w:rPr>
              <w:t>管控要求</w:t>
            </w:r>
          </w:p>
        </w:tc>
        <w:tc>
          <w:tcPr>
            <w:tcW w:w="1078" w:type="pct"/>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pPr>
              <w:widowControl/>
              <w:spacing w:line="400" w:lineRule="exact"/>
              <w:jc w:val="center"/>
              <w:rPr>
                <w:color w:val="000000"/>
                <w:szCs w:val="21"/>
              </w:rPr>
            </w:pPr>
            <w:r>
              <w:rPr>
                <w:color w:val="000000"/>
                <w:szCs w:val="21"/>
              </w:rPr>
              <w:t>空间布局约束</w:t>
            </w:r>
          </w:p>
        </w:tc>
        <w:tc>
          <w:tcPr>
            <w:tcW w:w="3637" w:type="pct"/>
            <w:gridSpan w:val="10"/>
            <w:vAlign w:val="center"/>
          </w:tcPr>
          <w:p>
            <w:pPr>
              <w:tabs>
                <w:tab w:val="left" w:pos="1021"/>
              </w:tabs>
              <w:spacing w:line="40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（1.4）严禁公路和河流两侧、自然保护区等生态敏感地区的私挖乱采。</w:t>
            </w:r>
          </w:p>
        </w:tc>
        <w:tc>
          <w:tcPr>
            <w:tcW w:w="1078" w:type="pct"/>
            <w:vMerge w:val="restart"/>
            <w:vAlign w:val="center"/>
          </w:tcPr>
          <w:p>
            <w:pPr>
              <w:tabs>
                <w:tab w:val="left" w:pos="1021"/>
              </w:tabs>
              <w:spacing w:line="400" w:lineRule="exac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（1.2）（1.4）（2.1.1）（2.3）（3.1）（3.2）（3.3）（3.4）（4.1.1）（4.1.2）（4.1.3）《邵东市“十四五”生态环境保护规划》（2021-2025）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4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284" w:type="pct"/>
            <w:vAlign w:val="center"/>
          </w:tcPr>
          <w:p>
            <w:pPr>
              <w:widowControl/>
              <w:spacing w:line="400" w:lineRule="exact"/>
              <w:jc w:val="center"/>
              <w:rPr>
                <w:color w:val="000000"/>
                <w:szCs w:val="21"/>
              </w:rPr>
            </w:pPr>
            <w:r>
              <w:rPr>
                <w:color w:val="000000"/>
                <w:szCs w:val="21"/>
              </w:rPr>
              <w:t>污染物排放管控</w:t>
            </w:r>
          </w:p>
        </w:tc>
        <w:tc>
          <w:tcPr>
            <w:tcW w:w="3637" w:type="pct"/>
            <w:gridSpan w:val="10"/>
            <w:vAlign w:val="center"/>
          </w:tcPr>
          <w:p>
            <w:pPr>
              <w:tabs>
                <w:tab w:val="left" w:pos="1021"/>
              </w:tabs>
              <w:spacing w:line="40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40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40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1078"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pPr>
              <w:widowControl/>
              <w:spacing w:line="400" w:lineRule="exact"/>
              <w:jc w:val="center"/>
              <w:rPr>
                <w:color w:val="000000"/>
                <w:szCs w:val="21"/>
              </w:rPr>
            </w:pPr>
            <w:r>
              <w:rPr>
                <w:color w:val="000000"/>
                <w:szCs w:val="21"/>
              </w:rPr>
              <w:t>环境风险防控</w:t>
            </w:r>
          </w:p>
        </w:tc>
        <w:tc>
          <w:tcPr>
            <w:tcW w:w="3637" w:type="pct"/>
            <w:gridSpan w:val="10"/>
            <w:vAlign w:val="center"/>
          </w:tcPr>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p>
          <w:p>
            <w:pPr>
              <w:pStyle w:val="9"/>
              <w:spacing w:line="400" w:lineRule="exact"/>
              <w:ind w:left="0" w:leftChars="0" w:firstLine="0" w:firstLineChars="0"/>
            </w:pPr>
            <w:r>
              <w:t>（3.3）强化受污染耕地管控，建立健全受污染耕地安全利用长效机制。</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（3.4）全面排查尾矿库，分级分类推进尾矿库整治工作，拉条挂账建立问题清单，明确责任主体、治理措施、时限要求等，按照“一库一策”加快实施治理。</w:t>
            </w:r>
          </w:p>
        </w:tc>
        <w:tc>
          <w:tcPr>
            <w:tcW w:w="1078"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pPr>
              <w:widowControl/>
              <w:spacing w:line="400" w:lineRule="exact"/>
              <w:jc w:val="center"/>
              <w:rPr>
                <w:color w:val="000000"/>
                <w:szCs w:val="21"/>
              </w:rPr>
            </w:pPr>
            <w:r>
              <w:rPr>
                <w:color w:val="000000"/>
                <w:szCs w:val="21"/>
              </w:rPr>
              <w:t>资源开发效率要求</w:t>
            </w:r>
          </w:p>
        </w:tc>
        <w:tc>
          <w:tcPr>
            <w:tcW w:w="3637" w:type="pct"/>
            <w:gridSpan w:val="10"/>
          </w:tcPr>
          <w:p>
            <w:pPr>
              <w:tabs>
                <w:tab w:val="left" w:pos="1021"/>
              </w:tabs>
              <w:spacing w:line="400" w:lineRule="exact"/>
              <w:rPr>
                <w:color w:val="000000"/>
                <w:szCs w:val="21"/>
              </w:rPr>
            </w:pPr>
            <w:r>
              <w:rPr>
                <w:color w:val="000000" w:themeColor="text1"/>
                <w:szCs w:val="21"/>
                <w14:textFill>
                  <w14:solidFill>
                    <w14:schemeClr w14:val="tx1"/>
                  </w14:solidFill>
                </w14:textFill>
              </w:rPr>
              <w:t>（4.1）能源：</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到2025年，耕地保有量为4.39万亩，永久基本农田保护面积为4.09万亩。</w:t>
            </w:r>
          </w:p>
          <w:p>
            <w:pPr>
              <w:tabs>
                <w:tab w:val="left" w:pos="1021"/>
              </w:tabs>
              <w:spacing w:line="400" w:lineRule="exact"/>
              <w:rPr>
                <w:color w:val="000000"/>
                <w:szCs w:val="21"/>
              </w:rPr>
            </w:pPr>
          </w:p>
        </w:tc>
        <w:tc>
          <w:tcPr>
            <w:tcW w:w="1078" w:type="pct"/>
            <w:vMerge w:val="continue"/>
            <w:vAlign w:val="center"/>
          </w:tcPr>
          <w:p>
            <w:pPr>
              <w:spacing w:line="400" w:lineRule="exact"/>
            </w:pPr>
          </w:p>
        </w:tc>
      </w:tr>
    </w:tbl>
    <w:p>
      <w:pPr>
        <w:rPr>
          <w:b/>
          <w:color w:val="000000"/>
          <w:sz w:val="28"/>
          <w:szCs w:val="32"/>
        </w:rPr>
      </w:pPr>
    </w:p>
    <w:p>
      <w:pPr>
        <w:rPr>
          <w:b/>
          <w:color w:val="000000"/>
          <w:sz w:val="28"/>
          <w:szCs w:val="32"/>
        </w:rPr>
      </w:pPr>
    </w:p>
    <w:p>
      <w:pPr>
        <w:widowControl/>
        <w:rPr>
          <w:b/>
          <w:color w:val="000000"/>
          <w:kern w:val="0"/>
          <w:szCs w:val="21"/>
        </w:rPr>
      </w:pPr>
      <w:r>
        <w:rPr>
          <w:b/>
          <w:color w:val="000000"/>
          <w:kern w:val="0"/>
          <w:szCs w:val="21"/>
        </w:rPr>
        <w:br w:type="page"/>
      </w:r>
    </w:p>
    <w:tbl>
      <w:tblPr>
        <w:tblStyle w:val="10"/>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88"/>
        <w:gridCol w:w="379"/>
        <w:gridCol w:w="467"/>
        <w:gridCol w:w="456"/>
        <w:gridCol w:w="946"/>
        <w:gridCol w:w="941"/>
        <w:gridCol w:w="1194"/>
        <w:gridCol w:w="1608"/>
        <w:gridCol w:w="2445"/>
        <w:gridCol w:w="753"/>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widowControl/>
              <w:jc w:val="center"/>
              <w:rPr>
                <w:b/>
                <w:color w:val="000000"/>
                <w:kern w:val="0"/>
                <w:szCs w:val="21"/>
              </w:rPr>
            </w:pPr>
            <w:r>
              <w:rPr>
                <w:b/>
                <w:color w:val="000000"/>
                <w:kern w:val="0"/>
                <w:szCs w:val="21"/>
              </w:rPr>
              <w:t>环境管控单元编码</w:t>
            </w:r>
          </w:p>
        </w:tc>
        <w:tc>
          <w:tcPr>
            <w:tcW w:w="381" w:type="pct"/>
            <w:vMerge w:val="restart"/>
            <w:vAlign w:val="center"/>
          </w:tcPr>
          <w:p>
            <w:pPr>
              <w:widowControl/>
              <w:jc w:val="center"/>
              <w:rPr>
                <w:b/>
                <w:color w:val="000000"/>
                <w:kern w:val="0"/>
                <w:szCs w:val="21"/>
              </w:rPr>
            </w:pPr>
            <w:r>
              <w:rPr>
                <w:b/>
                <w:color w:val="000000"/>
                <w:kern w:val="0"/>
                <w:szCs w:val="21"/>
              </w:rPr>
              <w:t>单元名称</w:t>
            </w:r>
          </w:p>
        </w:tc>
        <w:tc>
          <w:tcPr>
            <w:tcW w:w="457" w:type="pct"/>
            <w:gridSpan w:val="3"/>
            <w:vAlign w:val="center"/>
          </w:tcPr>
          <w:p>
            <w:pPr>
              <w:widowControl/>
              <w:jc w:val="center"/>
              <w:rPr>
                <w:b/>
                <w:color w:val="000000"/>
                <w:kern w:val="0"/>
                <w:szCs w:val="21"/>
              </w:rPr>
            </w:pPr>
            <w:r>
              <w:rPr>
                <w:b/>
                <w:color w:val="000000"/>
                <w:kern w:val="0"/>
                <w:szCs w:val="21"/>
              </w:rPr>
              <w:t>行政区划</w:t>
            </w:r>
          </w:p>
        </w:tc>
        <w:tc>
          <w:tcPr>
            <w:tcW w:w="331" w:type="pct"/>
            <w:vMerge w:val="restart"/>
            <w:vAlign w:val="center"/>
          </w:tcPr>
          <w:p>
            <w:pPr>
              <w:widowControl/>
              <w:jc w:val="center"/>
              <w:rPr>
                <w:b/>
                <w:color w:val="000000"/>
                <w:kern w:val="0"/>
                <w:szCs w:val="21"/>
              </w:rPr>
            </w:pPr>
            <w:r>
              <w:rPr>
                <w:b/>
                <w:color w:val="000000"/>
                <w:kern w:val="0"/>
                <w:szCs w:val="21"/>
              </w:rPr>
              <w:t>单元分类</w:t>
            </w:r>
          </w:p>
        </w:tc>
        <w:tc>
          <w:tcPr>
            <w:tcW w:w="330"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18" w:type="pct"/>
            <w:vMerge w:val="restart"/>
            <w:vAlign w:val="center"/>
          </w:tcPr>
          <w:p>
            <w:pPr>
              <w:jc w:val="center"/>
              <w:rPr>
                <w:b/>
                <w:color w:val="000000"/>
                <w:kern w:val="0"/>
                <w:szCs w:val="21"/>
              </w:rPr>
            </w:pPr>
            <w:r>
              <w:rPr>
                <w:b/>
                <w:color w:val="000000"/>
                <w:kern w:val="0"/>
                <w:szCs w:val="21"/>
              </w:rPr>
              <w:t>涉及乡镇(街道)</w:t>
            </w:r>
          </w:p>
        </w:tc>
        <w:tc>
          <w:tcPr>
            <w:tcW w:w="564" w:type="pct"/>
            <w:vMerge w:val="restart"/>
            <w:vAlign w:val="center"/>
          </w:tcPr>
          <w:p>
            <w:pPr>
              <w:jc w:val="center"/>
              <w:rPr>
                <w:b/>
                <w:color w:val="000000"/>
                <w:kern w:val="0"/>
                <w:szCs w:val="21"/>
              </w:rPr>
            </w:pPr>
            <w:r>
              <w:rPr>
                <w:b/>
                <w:color w:val="000000"/>
                <w:kern w:val="0"/>
                <w:szCs w:val="21"/>
              </w:rPr>
              <w:t>主体功能定位</w:t>
            </w:r>
          </w:p>
        </w:tc>
        <w:tc>
          <w:tcPr>
            <w:tcW w:w="857" w:type="pct"/>
            <w:vMerge w:val="restart"/>
            <w:vAlign w:val="center"/>
          </w:tcPr>
          <w:p>
            <w:pPr>
              <w:jc w:val="center"/>
              <w:rPr>
                <w:b/>
                <w:color w:val="000000"/>
                <w:kern w:val="0"/>
                <w:szCs w:val="21"/>
              </w:rPr>
            </w:pPr>
            <w:r>
              <w:rPr>
                <w:b/>
                <w:color w:val="000000"/>
                <w:kern w:val="0"/>
                <w:szCs w:val="21"/>
              </w:rPr>
              <w:t>经济产业布局</w:t>
            </w:r>
          </w:p>
        </w:tc>
        <w:tc>
          <w:tcPr>
            <w:tcW w:w="1372"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5" w:type="pct"/>
            <w:vMerge w:val="continue"/>
            <w:vAlign w:val="center"/>
          </w:tcPr>
          <w:p/>
        </w:tc>
        <w:tc>
          <w:tcPr>
            <w:tcW w:w="381" w:type="pct"/>
            <w:vMerge w:val="continue"/>
            <w:vAlign w:val="center"/>
          </w:tcPr>
          <w:p/>
        </w:tc>
        <w:tc>
          <w:tcPr>
            <w:tcW w:w="133" w:type="pct"/>
            <w:vAlign w:val="center"/>
          </w:tcPr>
          <w:p>
            <w:pPr>
              <w:jc w:val="center"/>
              <w:rPr>
                <w:b/>
                <w:color w:val="000000"/>
                <w:szCs w:val="21"/>
              </w:rPr>
            </w:pPr>
            <w:r>
              <w:rPr>
                <w:b/>
                <w:color w:val="000000"/>
                <w:szCs w:val="21"/>
              </w:rPr>
              <w:t>省</w:t>
            </w:r>
          </w:p>
        </w:tc>
        <w:tc>
          <w:tcPr>
            <w:tcW w:w="164" w:type="pct"/>
            <w:vAlign w:val="center"/>
          </w:tcPr>
          <w:p>
            <w:pPr>
              <w:jc w:val="center"/>
              <w:rPr>
                <w:b/>
                <w:color w:val="000000"/>
                <w:szCs w:val="21"/>
              </w:rPr>
            </w:pPr>
            <w:r>
              <w:rPr>
                <w:b/>
                <w:color w:val="000000"/>
                <w:szCs w:val="21"/>
              </w:rPr>
              <w:t>市</w:t>
            </w:r>
          </w:p>
        </w:tc>
        <w:tc>
          <w:tcPr>
            <w:tcW w:w="159" w:type="pct"/>
            <w:vAlign w:val="center"/>
          </w:tcPr>
          <w:p>
            <w:pPr>
              <w:jc w:val="center"/>
              <w:rPr>
                <w:b/>
                <w:color w:val="000000"/>
                <w:szCs w:val="21"/>
              </w:rPr>
            </w:pPr>
            <w:r>
              <w:rPr>
                <w:b/>
                <w:color w:val="000000"/>
                <w:szCs w:val="21"/>
              </w:rPr>
              <w:t>县</w:t>
            </w:r>
          </w:p>
        </w:tc>
        <w:tc>
          <w:tcPr>
            <w:tcW w:w="331" w:type="pct"/>
            <w:vMerge w:val="continue"/>
            <w:vAlign w:val="center"/>
          </w:tcPr>
          <w:p/>
        </w:tc>
        <w:tc>
          <w:tcPr>
            <w:tcW w:w="330" w:type="pct"/>
            <w:vMerge w:val="continue"/>
            <w:vAlign w:val="center"/>
          </w:tcPr>
          <w:p/>
        </w:tc>
        <w:tc>
          <w:tcPr>
            <w:tcW w:w="418" w:type="pct"/>
            <w:vMerge w:val="continue"/>
            <w:vAlign w:val="center"/>
          </w:tcPr>
          <w:p/>
        </w:tc>
        <w:tc>
          <w:tcPr>
            <w:tcW w:w="564" w:type="pct"/>
            <w:vMerge w:val="continue"/>
            <w:vAlign w:val="center"/>
          </w:tcPr>
          <w:p/>
        </w:tc>
        <w:tc>
          <w:tcPr>
            <w:tcW w:w="857" w:type="pct"/>
            <w:vMerge w:val="continue"/>
            <w:vAlign w:val="center"/>
          </w:tcPr>
          <w:p/>
        </w:tc>
        <w:tc>
          <w:tcPr>
            <w:tcW w:w="1372"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widowControl/>
              <w:jc w:val="center"/>
              <w:rPr>
                <w:strike/>
                <w:color w:val="000000"/>
                <w:kern w:val="0"/>
                <w:szCs w:val="21"/>
              </w:rPr>
            </w:pPr>
            <w:r>
              <w:rPr>
                <w:color w:val="000000"/>
                <w:kern w:val="0"/>
                <w:szCs w:val="21"/>
              </w:rPr>
              <w:t>ZH43052120005</w:t>
            </w:r>
          </w:p>
        </w:tc>
        <w:tc>
          <w:tcPr>
            <w:tcW w:w="381" w:type="pct"/>
            <w:vAlign w:val="center"/>
          </w:tcPr>
          <w:p>
            <w:pPr>
              <w:widowControl/>
              <w:jc w:val="center"/>
              <w:rPr>
                <w:color w:val="000000"/>
                <w:kern w:val="0"/>
                <w:szCs w:val="21"/>
              </w:rPr>
            </w:pPr>
            <w:r>
              <w:rPr>
                <w:color w:val="000000"/>
                <w:kern w:val="0"/>
                <w:szCs w:val="21"/>
              </w:rPr>
              <w:t>水东江镇/杨桥镇</w:t>
            </w:r>
          </w:p>
        </w:tc>
        <w:tc>
          <w:tcPr>
            <w:tcW w:w="133" w:type="pct"/>
            <w:vAlign w:val="center"/>
          </w:tcPr>
          <w:p>
            <w:pPr>
              <w:widowControl/>
              <w:jc w:val="center"/>
              <w:rPr>
                <w:color w:val="000000"/>
                <w:kern w:val="0"/>
                <w:szCs w:val="21"/>
              </w:rPr>
            </w:pPr>
            <w:r>
              <w:rPr>
                <w:color w:val="000000"/>
                <w:kern w:val="0"/>
                <w:szCs w:val="21"/>
              </w:rPr>
              <w:t>湖南省</w:t>
            </w:r>
          </w:p>
        </w:tc>
        <w:tc>
          <w:tcPr>
            <w:tcW w:w="164" w:type="pct"/>
            <w:vAlign w:val="center"/>
          </w:tcPr>
          <w:p>
            <w:pPr>
              <w:widowControl/>
              <w:jc w:val="center"/>
              <w:rPr>
                <w:color w:val="000000"/>
                <w:kern w:val="0"/>
                <w:szCs w:val="21"/>
              </w:rPr>
            </w:pPr>
            <w:r>
              <w:rPr>
                <w:color w:val="000000"/>
                <w:kern w:val="0"/>
                <w:szCs w:val="21"/>
              </w:rPr>
              <w:t>邵阳市</w:t>
            </w:r>
          </w:p>
        </w:tc>
        <w:tc>
          <w:tcPr>
            <w:tcW w:w="159" w:type="pct"/>
            <w:vAlign w:val="center"/>
          </w:tcPr>
          <w:p>
            <w:pPr>
              <w:widowControl/>
              <w:jc w:val="center"/>
              <w:rPr>
                <w:color w:val="000000"/>
                <w:kern w:val="0"/>
                <w:szCs w:val="21"/>
              </w:rPr>
            </w:pPr>
            <w:r>
              <w:rPr>
                <w:color w:val="000000"/>
                <w:kern w:val="0"/>
                <w:szCs w:val="21"/>
              </w:rPr>
              <w:t>邵东市</w:t>
            </w:r>
          </w:p>
        </w:tc>
        <w:tc>
          <w:tcPr>
            <w:tcW w:w="331" w:type="pct"/>
            <w:vAlign w:val="center"/>
          </w:tcPr>
          <w:p>
            <w:pPr>
              <w:widowControl/>
              <w:jc w:val="center"/>
              <w:rPr>
                <w:strike/>
                <w:color w:val="000000"/>
                <w:kern w:val="0"/>
                <w:szCs w:val="21"/>
              </w:rPr>
            </w:pPr>
            <w:r>
              <w:rPr>
                <w:color w:val="000000"/>
                <w:kern w:val="0"/>
                <w:szCs w:val="21"/>
              </w:rPr>
              <w:t>重点管控单元</w:t>
            </w:r>
          </w:p>
        </w:tc>
        <w:tc>
          <w:tcPr>
            <w:tcW w:w="330" w:type="pct"/>
            <w:vAlign w:val="center"/>
          </w:tcPr>
          <w:p>
            <w:pPr>
              <w:widowControl/>
              <w:jc w:val="center"/>
              <w:rPr>
                <w:color w:val="000000"/>
                <w:kern w:val="0"/>
                <w:szCs w:val="21"/>
              </w:rPr>
            </w:pPr>
            <w:r>
              <w:rPr>
                <w:color w:val="000000"/>
                <w:kern w:val="0"/>
                <w:szCs w:val="21"/>
              </w:rPr>
              <w:t>150.20</w:t>
            </w:r>
          </w:p>
        </w:tc>
        <w:tc>
          <w:tcPr>
            <w:tcW w:w="418" w:type="pct"/>
            <w:vAlign w:val="center"/>
          </w:tcPr>
          <w:p>
            <w:pPr>
              <w:widowControl/>
              <w:jc w:val="center"/>
              <w:rPr>
                <w:color w:val="000000"/>
                <w:kern w:val="0"/>
                <w:szCs w:val="21"/>
              </w:rPr>
            </w:pPr>
            <w:r>
              <w:rPr>
                <w:color w:val="000000"/>
                <w:kern w:val="0"/>
                <w:szCs w:val="21"/>
              </w:rPr>
              <w:t>水东江镇/杨桥镇</w:t>
            </w:r>
          </w:p>
        </w:tc>
        <w:tc>
          <w:tcPr>
            <w:tcW w:w="564" w:type="pct"/>
            <w:vAlign w:val="center"/>
          </w:tcPr>
          <w:p>
            <w:pPr>
              <w:widowControl/>
              <w:jc w:val="center"/>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水东江镇</w:t>
            </w:r>
            <w:r>
              <w:rPr>
                <w:color w:val="000000" w:themeColor="text1"/>
                <w:kern w:val="0"/>
                <w:szCs w:val="21"/>
                <w14:textFill>
                  <w14:solidFill>
                    <w14:schemeClr w14:val="tx1"/>
                  </w14:solidFill>
                </w14:textFill>
              </w:rPr>
              <w:t>：重点生态功能区</w:t>
            </w:r>
          </w:p>
          <w:p>
            <w:pPr>
              <w:widowControl/>
              <w:jc w:val="left"/>
              <w:rPr>
                <w:color w:val="000000"/>
                <w:szCs w:val="21"/>
              </w:rPr>
            </w:pPr>
            <w:r>
              <w:rPr>
                <w:b/>
                <w:bCs/>
                <w:color w:val="000000" w:themeColor="text1"/>
                <w:kern w:val="0"/>
                <w:szCs w:val="21"/>
                <w14:textFill>
                  <w14:solidFill>
                    <w14:schemeClr w14:val="tx1"/>
                  </w14:solidFill>
                </w14:textFill>
              </w:rPr>
              <w:t>杨桥镇</w:t>
            </w:r>
            <w:r>
              <w:rPr>
                <w:color w:val="000000" w:themeColor="text1"/>
                <w:kern w:val="0"/>
                <w:szCs w:val="21"/>
                <w14:textFill>
                  <w14:solidFill>
                    <w14:schemeClr w14:val="tx1"/>
                  </w14:solidFill>
                </w14:textFill>
              </w:rPr>
              <w:t>：农产品主产区</w:t>
            </w:r>
          </w:p>
        </w:tc>
        <w:tc>
          <w:tcPr>
            <w:tcW w:w="857" w:type="pct"/>
          </w:tcPr>
          <w:p>
            <w:pPr>
              <w:widowControl/>
              <w:jc w:val="left"/>
              <w:rPr>
                <w:rFonts w:hint="eastAsia" w:eastAsia="宋体"/>
                <w:color w:val="000000"/>
                <w:kern w:val="0"/>
                <w:szCs w:val="21"/>
                <w:highlight w:val="none"/>
                <w:lang w:eastAsia="zh-CN"/>
              </w:rPr>
            </w:pPr>
            <w:r>
              <w:rPr>
                <w:rFonts w:hint="eastAsia"/>
                <w:color w:val="000000"/>
                <w:kern w:val="0"/>
                <w:szCs w:val="21"/>
                <w:highlight w:val="none"/>
              </w:rPr>
              <w:t>农业种植、休闲农业、畜禽养殖、农副产品加工、食品加工、矿泉水、纺织、电子信息、五金、铸造、金属表面处理、塑料制品、家具制造、机电设备制造、制鞋、服装加工、建材、废旧资源利用、铅锌采选、旅游、康养产业、教育产业</w:t>
            </w:r>
            <w:r>
              <w:rPr>
                <w:rFonts w:hint="eastAsia"/>
                <w:color w:val="000000"/>
                <w:kern w:val="0"/>
                <w:szCs w:val="21"/>
                <w:highlight w:val="none"/>
                <w:lang w:eastAsia="zh-CN"/>
              </w:rPr>
              <w:t>、</w:t>
            </w:r>
          </w:p>
          <w:p>
            <w:pPr>
              <w:widowControl/>
              <w:jc w:val="left"/>
              <w:rPr>
                <w:b/>
                <w:bCs/>
                <w:color w:val="000000" w:themeColor="text1"/>
                <w:kern w:val="0"/>
                <w:szCs w:val="21"/>
                <w14:textFill>
                  <w14:solidFill>
                    <w14:schemeClr w14:val="tx1"/>
                  </w14:solidFill>
                </w14:textFill>
              </w:rPr>
            </w:pPr>
            <w:r>
              <w:rPr>
                <w:rFonts w:hint="eastAsia"/>
                <w:color w:val="000000"/>
                <w:kern w:val="0"/>
                <w:szCs w:val="21"/>
                <w:highlight w:val="none"/>
                <w:lang w:val="en-US" w:eastAsia="zh-CN"/>
              </w:rPr>
              <w:t>光伏、风电、新能源、储能</w:t>
            </w:r>
            <w:r>
              <w:rPr>
                <w:rFonts w:hint="eastAsia"/>
                <w:color w:val="000000"/>
                <w:kern w:val="0"/>
                <w:szCs w:val="21"/>
                <w:highlight w:val="none"/>
              </w:rPr>
              <w:t>等</w:t>
            </w:r>
          </w:p>
        </w:tc>
        <w:tc>
          <w:tcPr>
            <w:tcW w:w="1372" w:type="pct"/>
            <w:gridSpan w:val="2"/>
            <w:vAlign w:val="center"/>
          </w:tcPr>
          <w:p>
            <w:pPr>
              <w:widowControl/>
              <w:rPr>
                <w:b/>
                <w:color w:val="000000"/>
                <w:kern w:val="0"/>
                <w:szCs w:val="21"/>
              </w:rPr>
            </w:pPr>
            <w:r>
              <w:rPr>
                <w:b/>
                <w:color w:val="000000"/>
                <w:kern w:val="0"/>
                <w:szCs w:val="21"/>
              </w:rPr>
              <w:t>主要环境问题：</w:t>
            </w:r>
          </w:p>
          <w:p>
            <w:pPr>
              <w:widowControl/>
              <w:rPr>
                <w:color w:val="000000"/>
                <w:kern w:val="0"/>
                <w:szCs w:val="21"/>
              </w:rPr>
            </w:pPr>
            <w:r>
              <w:rPr>
                <w:b/>
                <w:bCs/>
                <w:color w:val="000000" w:themeColor="text1"/>
                <w:kern w:val="0"/>
                <w:szCs w:val="21"/>
                <w14:textFill>
                  <w14:solidFill>
                    <w14:schemeClr w14:val="tx1"/>
                  </w14:solidFill>
                </w14:textFill>
              </w:rPr>
              <w:t>水东江镇、杨桥镇：</w:t>
            </w:r>
            <w:r>
              <w:rPr>
                <w:color w:val="000000" w:themeColor="text1"/>
                <w:kern w:val="0"/>
                <w:szCs w:val="21"/>
                <w14:textFill>
                  <w14:solidFill>
                    <w14:schemeClr w14:val="tx1"/>
                  </w14:solidFill>
                </w14:textFill>
              </w:rPr>
              <w:t>农村面源污染未得到有效治理；部分企业地块土壤污染，声环境质量有待提升、空气质量有待提升、</w:t>
            </w:r>
            <w:r>
              <w:rPr>
                <w:color w:val="000000"/>
                <w:kern w:val="0"/>
                <w:szCs w:val="21"/>
              </w:rPr>
              <w:t>企业工矿场地生态恢复缓慢。</w:t>
            </w:r>
          </w:p>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widowControl/>
              <w:spacing w:line="380" w:lineRule="exact"/>
              <w:jc w:val="center"/>
              <w:rPr>
                <w:b/>
                <w:color w:val="000000"/>
                <w:kern w:val="0"/>
                <w:szCs w:val="21"/>
              </w:rPr>
            </w:pPr>
            <w:r>
              <w:rPr>
                <w:b/>
                <w:color w:val="000000"/>
                <w:kern w:val="0"/>
                <w:szCs w:val="21"/>
              </w:rPr>
              <w:t>主要属性</w:t>
            </w:r>
          </w:p>
        </w:tc>
        <w:tc>
          <w:tcPr>
            <w:tcW w:w="4714" w:type="pct"/>
            <w:gridSpan w:val="11"/>
            <w:vAlign w:val="center"/>
          </w:tcPr>
          <w:p>
            <w:pPr>
              <w:spacing w:line="380" w:lineRule="exact"/>
              <w:rPr>
                <w:b/>
                <w:bCs/>
                <w:color w:val="000000"/>
                <w:kern w:val="0"/>
                <w:szCs w:val="21"/>
              </w:rPr>
            </w:pPr>
            <w:r>
              <w:rPr>
                <w:b/>
                <w:bCs/>
                <w:color w:val="000000"/>
                <w:kern w:val="0"/>
                <w:szCs w:val="21"/>
              </w:rPr>
              <w:t>水东江镇:</w:t>
            </w:r>
          </w:p>
          <w:p>
            <w:pPr>
              <w:spacing w:line="380" w:lineRule="exact"/>
              <w:rPr>
                <w:color w:val="000000"/>
                <w:szCs w:val="21"/>
              </w:rPr>
            </w:pPr>
            <w:r>
              <w:rPr>
                <w:b/>
                <w:bCs/>
                <w:szCs w:val="21"/>
              </w:rPr>
              <w:t>生态红线：</w:t>
            </w:r>
            <w:r>
              <w:rPr>
                <w:color w:val="000000"/>
                <w:kern w:val="0"/>
                <w:szCs w:val="21"/>
              </w:rPr>
              <w:t>一般生态空间/水源涵养重要区/风景名胜区/水土流失敏感区</w:t>
            </w:r>
          </w:p>
          <w:p>
            <w:pPr>
              <w:spacing w:line="380" w:lineRule="exact"/>
              <w:rPr>
                <w:color w:val="000000"/>
                <w:kern w:val="0"/>
                <w:szCs w:val="21"/>
              </w:rPr>
            </w:pPr>
            <w:r>
              <w:rPr>
                <w:b/>
                <w:bCs/>
                <w:szCs w:val="21"/>
              </w:rPr>
              <w:t>环境质量底线：</w:t>
            </w:r>
            <w:r>
              <w:rPr>
                <w:color w:val="000000"/>
                <w:kern w:val="0"/>
                <w:szCs w:val="21"/>
              </w:rPr>
              <w:t>水环境一般管控区;大气环境优先保护区/大气环境受体敏感重点管控区/其他区域;农用地优先保护区/建设用地重点管控区/其他重点管控区/一般管控区;重点生态功能区;高污染燃料禁燃区</w:t>
            </w:r>
          </w:p>
          <w:p>
            <w:pPr>
              <w:spacing w:line="380" w:lineRule="exact"/>
              <w:rPr>
                <w:b/>
                <w:bCs/>
                <w:color w:val="000000"/>
                <w:kern w:val="0"/>
                <w:szCs w:val="21"/>
              </w:rPr>
            </w:pPr>
            <w:r>
              <w:rPr>
                <w:b/>
                <w:bCs/>
                <w:color w:val="000000"/>
                <w:kern w:val="0"/>
                <w:szCs w:val="21"/>
              </w:rPr>
              <w:t>杨桥镇:</w:t>
            </w:r>
          </w:p>
          <w:p>
            <w:pPr>
              <w:spacing w:line="380" w:lineRule="exact"/>
              <w:rPr>
                <w:color w:val="000000"/>
                <w:szCs w:val="21"/>
              </w:rPr>
            </w:pPr>
            <w:r>
              <w:rPr>
                <w:b/>
                <w:bCs/>
                <w:szCs w:val="21"/>
              </w:rPr>
              <w:t>生态红线：</w:t>
            </w:r>
            <w:r>
              <w:rPr>
                <w:color w:val="000000"/>
                <w:kern w:val="0"/>
                <w:szCs w:val="21"/>
              </w:rPr>
              <w:t>一般生态空间/风景名胜区/水源涵养重要区/水土流失敏感区/原生态红线</w:t>
            </w:r>
          </w:p>
          <w:p>
            <w:pPr>
              <w:spacing w:line="380" w:lineRule="exact"/>
              <w:rPr>
                <w:color w:val="000000"/>
                <w:kern w:val="0"/>
                <w:szCs w:val="21"/>
              </w:rPr>
            </w:pPr>
            <w:r>
              <w:rPr>
                <w:b/>
                <w:bCs/>
                <w:szCs w:val="21"/>
              </w:rPr>
              <w:t>环境质量底线：</w:t>
            </w:r>
            <w:r>
              <w:rPr>
                <w:color w:val="000000"/>
                <w:kern w:val="0"/>
                <w:szCs w:val="21"/>
              </w:rPr>
              <w:t>水环境一般管控区;大气环境优先保护区/大气环境受体敏感重点管控区/其他区域;农用地优先保护区/建设用地重点管控区/其他重点管控区/一般管控区;农产品主产区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widowControl/>
              <w:spacing w:line="380" w:lineRule="exact"/>
              <w:jc w:val="center"/>
              <w:rPr>
                <w:b/>
                <w:color w:val="000000"/>
                <w:szCs w:val="21"/>
              </w:rPr>
            </w:pPr>
            <w:r>
              <w:rPr>
                <w:b/>
                <w:color w:val="000000"/>
                <w:szCs w:val="21"/>
              </w:rPr>
              <w:t>管控维度</w:t>
            </w:r>
          </w:p>
        </w:tc>
        <w:tc>
          <w:tcPr>
            <w:tcW w:w="3606" w:type="pct"/>
            <w:gridSpan w:val="10"/>
            <w:vAlign w:val="center"/>
          </w:tcPr>
          <w:p>
            <w:pPr>
              <w:spacing w:line="380" w:lineRule="exact"/>
              <w:jc w:val="center"/>
              <w:rPr>
                <w:b/>
                <w:color w:val="000000"/>
                <w:szCs w:val="21"/>
              </w:rPr>
            </w:pPr>
            <w:r>
              <w:rPr>
                <w:b/>
                <w:color w:val="000000"/>
                <w:kern w:val="0"/>
                <w:szCs w:val="21"/>
              </w:rPr>
              <w:t>管控要求</w:t>
            </w:r>
          </w:p>
        </w:tc>
        <w:tc>
          <w:tcPr>
            <w:tcW w:w="1108" w:type="pct"/>
            <w:vAlign w:val="center"/>
          </w:tcPr>
          <w:p>
            <w:pPr>
              <w:widowControl/>
              <w:spacing w:line="380" w:lineRule="exact"/>
              <w:jc w:val="cente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vAlign w:val="center"/>
          </w:tcPr>
          <w:p>
            <w:pPr>
              <w:widowControl/>
              <w:spacing w:line="380" w:lineRule="exact"/>
              <w:jc w:val="center"/>
              <w:rPr>
                <w:color w:val="000000"/>
                <w:szCs w:val="21"/>
              </w:rPr>
            </w:pPr>
            <w:r>
              <w:rPr>
                <w:color w:val="000000"/>
                <w:szCs w:val="21"/>
              </w:rPr>
              <w:t>空间布局约束</w:t>
            </w:r>
          </w:p>
        </w:tc>
        <w:tc>
          <w:tcPr>
            <w:tcW w:w="3606" w:type="pct"/>
            <w:gridSpan w:val="10"/>
            <w:vAlign w:val="center"/>
          </w:tcPr>
          <w:p>
            <w:pPr>
              <w:tabs>
                <w:tab w:val="left" w:pos="1021"/>
              </w:tabs>
              <w:spacing w:line="38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（1.4）严禁公路和河流两侧、自然保护区等生态敏感地区的私挖乱采。</w:t>
            </w:r>
          </w:p>
        </w:tc>
        <w:tc>
          <w:tcPr>
            <w:tcW w:w="1108" w:type="pct"/>
            <w:vMerge w:val="restart"/>
            <w:vAlign w:val="center"/>
          </w:tcPr>
          <w:p>
            <w:pPr>
              <w:tabs>
                <w:tab w:val="left" w:pos="1021"/>
              </w:tabs>
              <w:spacing w:line="380" w:lineRule="exact"/>
              <w:rPr>
                <w:strike/>
                <w:color w:val="000000"/>
                <w:szCs w:val="21"/>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（1.2）（1.4）（2.1.1）（2.3）（3.1）（4.1.1）（4.1.2）（4.1.3）《邵东市“十四五”生态环境保护规划》（2021-2025）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38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widowControl/>
              <w:spacing w:line="380" w:lineRule="exact"/>
              <w:jc w:val="center"/>
              <w:rPr>
                <w:color w:val="000000"/>
                <w:szCs w:val="21"/>
              </w:rPr>
            </w:pPr>
            <w:r>
              <w:rPr>
                <w:color w:val="000000"/>
                <w:szCs w:val="21"/>
              </w:rPr>
              <w:t>污染物排放管控</w:t>
            </w:r>
          </w:p>
        </w:tc>
        <w:tc>
          <w:tcPr>
            <w:tcW w:w="3606" w:type="pct"/>
            <w:gridSpan w:val="10"/>
            <w:vAlign w:val="center"/>
          </w:tcPr>
          <w:p>
            <w:pPr>
              <w:tabs>
                <w:tab w:val="left" w:pos="1021"/>
              </w:tabs>
              <w:spacing w:line="38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38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38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38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1108" w:type="pct"/>
            <w:vMerge w:val="continue"/>
            <w:vAlign w:val="center"/>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widowControl/>
              <w:spacing w:line="380" w:lineRule="exact"/>
              <w:jc w:val="center"/>
              <w:rPr>
                <w:color w:val="000000"/>
                <w:szCs w:val="21"/>
              </w:rPr>
            </w:pPr>
            <w:r>
              <w:rPr>
                <w:color w:val="000000"/>
                <w:szCs w:val="21"/>
              </w:rPr>
              <w:t>环境风险防控</w:t>
            </w:r>
          </w:p>
        </w:tc>
        <w:tc>
          <w:tcPr>
            <w:tcW w:w="3606" w:type="pct"/>
            <w:gridSpan w:val="10"/>
            <w:vAlign w:val="center"/>
          </w:tcPr>
          <w:p>
            <w:pPr>
              <w:pStyle w:val="9"/>
              <w:spacing w:line="380" w:lineRule="exact"/>
              <w:ind w:left="0" w:leftChars="0" w:firstLine="0" w:firstLineChars="0"/>
              <w:rPr>
                <w:color w:val="000000" w:themeColor="text1"/>
                <w:szCs w:val="21"/>
                <w14:textFill>
                  <w14:solidFill>
                    <w14:schemeClr w14:val="tx1"/>
                  </w14:solidFill>
                </w14:textFill>
              </w:rPr>
            </w:pPr>
            <w:r>
              <w:t>（3.1）强化受污染耕地管控，建立健全受污染耕地安全利用长效机制。</w:t>
            </w:r>
          </w:p>
        </w:tc>
        <w:tc>
          <w:tcPr>
            <w:tcW w:w="1108" w:type="pct"/>
            <w:vMerge w:val="continue"/>
            <w:vAlign w:val="center"/>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widowControl/>
              <w:spacing w:line="380" w:lineRule="exact"/>
              <w:jc w:val="center"/>
              <w:rPr>
                <w:color w:val="000000"/>
                <w:szCs w:val="21"/>
              </w:rPr>
            </w:pPr>
            <w:r>
              <w:rPr>
                <w:color w:val="000000"/>
                <w:szCs w:val="21"/>
              </w:rPr>
              <w:t>资源开发效率要求</w:t>
            </w:r>
          </w:p>
        </w:tc>
        <w:tc>
          <w:tcPr>
            <w:tcW w:w="3606" w:type="pct"/>
            <w:gridSpan w:val="10"/>
          </w:tcPr>
          <w:p>
            <w:pPr>
              <w:tabs>
                <w:tab w:val="left" w:pos="1021"/>
              </w:tabs>
              <w:spacing w:line="380" w:lineRule="exact"/>
              <w:ind w:firstLine="420" w:firstLineChars="200"/>
              <w:rPr>
                <w:color w:val="000000"/>
                <w:szCs w:val="21"/>
              </w:rPr>
            </w:pPr>
            <w:r>
              <w:rPr>
                <w:color w:val="000000" w:themeColor="text1"/>
                <w:szCs w:val="21"/>
                <w14:textFill>
                  <w14:solidFill>
                    <w14:schemeClr w14:val="tx1"/>
                  </w14:solidFill>
                </w14:textFill>
              </w:rPr>
              <w:t>（4.1）能源：</w:t>
            </w:r>
          </w:p>
          <w:p>
            <w:pPr>
              <w:tabs>
                <w:tab w:val="left" w:pos="1021"/>
              </w:tabs>
              <w:spacing w:line="38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380" w:lineRule="exact"/>
              <w:ind w:firstLine="420" w:firstLineChars="200"/>
              <w:rPr>
                <w:color w:val="000000"/>
                <w:szCs w:val="21"/>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w:t>
            </w:r>
            <w:r>
              <w:rPr>
                <w:color w:val="000000"/>
                <w:kern w:val="0"/>
                <w:szCs w:val="21"/>
              </w:rPr>
              <w:t>水东江镇</w:t>
            </w:r>
            <w:r>
              <w:rPr>
                <w:color w:val="000000" w:themeColor="text1"/>
                <w:szCs w:val="21"/>
                <w14:textFill>
                  <w14:solidFill>
                    <w14:schemeClr w14:val="tx1"/>
                  </w14:solidFill>
                </w14:textFill>
              </w:rPr>
              <w:t>耕地保有量为3.74万亩，永久基本农田保护面积为3.42万亩；</w:t>
            </w:r>
            <w:r>
              <w:rPr>
                <w:color w:val="000000"/>
                <w:kern w:val="0"/>
                <w:szCs w:val="21"/>
              </w:rPr>
              <w:t>杨桥镇</w:t>
            </w:r>
            <w:r>
              <w:rPr>
                <w:color w:val="000000" w:themeColor="text1"/>
                <w:szCs w:val="21"/>
                <w14:textFill>
                  <w14:solidFill>
                    <w14:schemeClr w14:val="tx1"/>
                  </w14:solidFill>
                </w14:textFill>
              </w:rPr>
              <w:t>耕地保有量为2.86万亩，永久基本农田保护面积为2.70万亩。</w:t>
            </w:r>
          </w:p>
        </w:tc>
        <w:tc>
          <w:tcPr>
            <w:tcW w:w="1108" w:type="pct"/>
            <w:vMerge w:val="continue"/>
            <w:vAlign w:val="center"/>
          </w:tcPr>
          <w:p>
            <w:pPr>
              <w:spacing w:line="380" w:lineRule="exact"/>
            </w:pPr>
          </w:p>
        </w:tc>
      </w:tr>
    </w:tbl>
    <w:p>
      <w:pPr>
        <w:widowControl/>
        <w:jc w:val="center"/>
        <w:rPr>
          <w:b/>
          <w:color w:val="000000"/>
          <w:kern w:val="0"/>
          <w:szCs w:val="21"/>
        </w:rPr>
      </w:pPr>
      <w:r>
        <w:rPr>
          <w:b/>
          <w:color w:val="000000"/>
          <w:kern w:val="0"/>
          <w:szCs w:val="21"/>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1"/>
        <w:gridCol w:w="422"/>
        <w:gridCol w:w="421"/>
        <w:gridCol w:w="574"/>
        <w:gridCol w:w="728"/>
        <w:gridCol w:w="828"/>
        <w:gridCol w:w="896"/>
        <w:gridCol w:w="1271"/>
        <w:gridCol w:w="2548"/>
        <w:gridCol w:w="2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restart"/>
            <w:vAlign w:val="center"/>
          </w:tcPr>
          <w:p>
            <w:pPr>
              <w:widowControl/>
              <w:jc w:val="center"/>
              <w:rPr>
                <w:b/>
                <w:color w:val="000000"/>
                <w:kern w:val="0"/>
                <w:szCs w:val="21"/>
              </w:rPr>
            </w:pPr>
            <w:r>
              <w:rPr>
                <w:b/>
                <w:color w:val="000000"/>
                <w:kern w:val="0"/>
                <w:szCs w:val="21"/>
              </w:rPr>
              <w:t>环境管控单元编码</w:t>
            </w:r>
          </w:p>
        </w:tc>
        <w:tc>
          <w:tcPr>
            <w:tcW w:w="900" w:type="pct"/>
            <w:vMerge w:val="restart"/>
            <w:vAlign w:val="center"/>
          </w:tcPr>
          <w:p>
            <w:pPr>
              <w:widowControl/>
              <w:jc w:val="center"/>
              <w:rPr>
                <w:b/>
                <w:color w:val="000000"/>
                <w:kern w:val="0"/>
                <w:szCs w:val="21"/>
              </w:rPr>
            </w:pPr>
            <w:r>
              <w:rPr>
                <w:b/>
                <w:color w:val="000000"/>
                <w:kern w:val="0"/>
                <w:szCs w:val="21"/>
              </w:rPr>
              <w:t>单元名称</w:t>
            </w:r>
          </w:p>
        </w:tc>
        <w:tc>
          <w:tcPr>
            <w:tcW w:w="499" w:type="pct"/>
            <w:gridSpan w:val="3"/>
            <w:vAlign w:val="center"/>
          </w:tcPr>
          <w:p>
            <w:pPr>
              <w:widowControl/>
              <w:jc w:val="center"/>
              <w:rPr>
                <w:b/>
                <w:color w:val="000000"/>
                <w:kern w:val="0"/>
                <w:szCs w:val="21"/>
              </w:rPr>
            </w:pPr>
            <w:r>
              <w:rPr>
                <w:b/>
                <w:color w:val="000000"/>
                <w:kern w:val="0"/>
                <w:szCs w:val="21"/>
              </w:rPr>
              <w:t>行政区划</w:t>
            </w:r>
          </w:p>
        </w:tc>
        <w:tc>
          <w:tcPr>
            <w:tcW w:w="257" w:type="pct"/>
            <w:vMerge w:val="restart"/>
            <w:vAlign w:val="center"/>
          </w:tcPr>
          <w:p>
            <w:pPr>
              <w:widowControl/>
              <w:jc w:val="center"/>
              <w:rPr>
                <w:b/>
                <w:color w:val="000000"/>
                <w:kern w:val="0"/>
                <w:szCs w:val="21"/>
              </w:rPr>
            </w:pPr>
            <w:r>
              <w:rPr>
                <w:b/>
                <w:color w:val="000000"/>
                <w:kern w:val="0"/>
                <w:szCs w:val="21"/>
              </w:rPr>
              <w:t>单元分类</w:t>
            </w:r>
          </w:p>
        </w:tc>
        <w:tc>
          <w:tcPr>
            <w:tcW w:w="292"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16" w:type="pct"/>
            <w:vMerge w:val="restart"/>
            <w:vAlign w:val="center"/>
          </w:tcPr>
          <w:p>
            <w:pPr>
              <w:jc w:val="center"/>
              <w:rPr>
                <w:b/>
                <w:color w:val="000000"/>
                <w:kern w:val="0"/>
                <w:szCs w:val="21"/>
              </w:rPr>
            </w:pPr>
            <w:r>
              <w:rPr>
                <w:b/>
                <w:color w:val="000000"/>
                <w:kern w:val="0"/>
                <w:szCs w:val="21"/>
              </w:rPr>
              <w:t>涉及乡镇(街道)</w:t>
            </w:r>
          </w:p>
        </w:tc>
        <w:tc>
          <w:tcPr>
            <w:tcW w:w="448" w:type="pct"/>
            <w:vMerge w:val="restart"/>
            <w:vAlign w:val="center"/>
          </w:tcPr>
          <w:p>
            <w:pPr>
              <w:jc w:val="center"/>
              <w:rPr>
                <w:b/>
                <w:color w:val="000000"/>
                <w:kern w:val="0"/>
                <w:szCs w:val="21"/>
              </w:rPr>
            </w:pPr>
            <w:r>
              <w:rPr>
                <w:b/>
                <w:color w:val="000000"/>
                <w:kern w:val="0"/>
                <w:szCs w:val="21"/>
              </w:rPr>
              <w:t>主体功能定位</w:t>
            </w:r>
          </w:p>
        </w:tc>
        <w:tc>
          <w:tcPr>
            <w:tcW w:w="905" w:type="pct"/>
            <w:gridSpan w:val="2"/>
            <w:vMerge w:val="restart"/>
            <w:vAlign w:val="center"/>
          </w:tcPr>
          <w:p>
            <w:pPr>
              <w:jc w:val="center"/>
              <w:rPr>
                <w:b/>
                <w:color w:val="000000"/>
                <w:kern w:val="0"/>
                <w:szCs w:val="21"/>
              </w:rPr>
            </w:pPr>
            <w:r>
              <w:rPr>
                <w:b/>
                <w:color w:val="000000"/>
                <w:kern w:val="0"/>
                <w:szCs w:val="21"/>
              </w:rPr>
              <w:t>经济产业布局</w:t>
            </w:r>
          </w:p>
        </w:tc>
        <w:tc>
          <w:tcPr>
            <w:tcW w:w="1093"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jc w:val="center"/>
        </w:trPr>
        <w:tc>
          <w:tcPr>
            <w:tcW w:w="287" w:type="pct"/>
            <w:vMerge w:val="continue"/>
            <w:vAlign w:val="center"/>
          </w:tcPr>
          <w:p/>
        </w:tc>
        <w:tc>
          <w:tcPr>
            <w:tcW w:w="900" w:type="pct"/>
            <w:vMerge w:val="continue"/>
            <w:vAlign w:val="center"/>
          </w:tcPr>
          <w:p/>
        </w:tc>
        <w:tc>
          <w:tcPr>
            <w:tcW w:w="148" w:type="pct"/>
            <w:vAlign w:val="center"/>
          </w:tcPr>
          <w:p>
            <w:pPr>
              <w:jc w:val="center"/>
              <w:rPr>
                <w:b/>
                <w:color w:val="000000"/>
                <w:szCs w:val="21"/>
              </w:rPr>
            </w:pPr>
            <w:r>
              <w:rPr>
                <w:b/>
                <w:color w:val="000000"/>
                <w:szCs w:val="21"/>
              </w:rPr>
              <w:t>省</w:t>
            </w:r>
          </w:p>
        </w:tc>
        <w:tc>
          <w:tcPr>
            <w:tcW w:w="148" w:type="pct"/>
            <w:vAlign w:val="center"/>
          </w:tcPr>
          <w:p>
            <w:pPr>
              <w:jc w:val="center"/>
              <w:rPr>
                <w:b/>
                <w:color w:val="000000"/>
                <w:szCs w:val="21"/>
              </w:rPr>
            </w:pPr>
            <w:r>
              <w:rPr>
                <w:b/>
                <w:color w:val="000000"/>
                <w:szCs w:val="21"/>
              </w:rPr>
              <w:t>市</w:t>
            </w:r>
          </w:p>
        </w:tc>
        <w:tc>
          <w:tcPr>
            <w:tcW w:w="202" w:type="pct"/>
            <w:vAlign w:val="center"/>
          </w:tcPr>
          <w:p>
            <w:pPr>
              <w:jc w:val="center"/>
              <w:rPr>
                <w:b/>
                <w:color w:val="000000"/>
                <w:szCs w:val="21"/>
              </w:rPr>
            </w:pPr>
            <w:r>
              <w:rPr>
                <w:b/>
                <w:color w:val="000000"/>
                <w:szCs w:val="21"/>
              </w:rPr>
              <w:t>县</w:t>
            </w:r>
          </w:p>
        </w:tc>
        <w:tc>
          <w:tcPr>
            <w:tcW w:w="257" w:type="pct"/>
            <w:vMerge w:val="continue"/>
            <w:vAlign w:val="center"/>
          </w:tcPr>
          <w:p/>
        </w:tc>
        <w:tc>
          <w:tcPr>
            <w:tcW w:w="292" w:type="pct"/>
            <w:vMerge w:val="continue"/>
            <w:vAlign w:val="center"/>
          </w:tcPr>
          <w:p/>
        </w:tc>
        <w:tc>
          <w:tcPr>
            <w:tcW w:w="316" w:type="pct"/>
            <w:vMerge w:val="continue"/>
            <w:vAlign w:val="center"/>
          </w:tcPr>
          <w:p/>
        </w:tc>
        <w:tc>
          <w:tcPr>
            <w:tcW w:w="448" w:type="pct"/>
            <w:vMerge w:val="continue"/>
            <w:vAlign w:val="center"/>
          </w:tcPr>
          <w:p/>
        </w:tc>
        <w:tc>
          <w:tcPr>
            <w:tcW w:w="905" w:type="pct"/>
            <w:gridSpan w:val="2"/>
            <w:vMerge w:val="continue"/>
            <w:vAlign w:val="center"/>
          </w:tcPr>
          <w:p/>
        </w:tc>
        <w:tc>
          <w:tcPr>
            <w:tcW w:w="109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jc w:val="center"/>
              <w:rPr>
                <w:color w:val="000000"/>
                <w:kern w:val="0"/>
                <w:szCs w:val="21"/>
              </w:rPr>
            </w:pPr>
            <w:r>
              <w:rPr>
                <w:color w:val="000000"/>
                <w:kern w:val="0"/>
                <w:szCs w:val="21"/>
              </w:rPr>
              <w:t>ZH43052120002</w:t>
            </w:r>
          </w:p>
        </w:tc>
        <w:tc>
          <w:tcPr>
            <w:tcW w:w="900" w:type="pct"/>
            <w:vAlign w:val="center"/>
          </w:tcPr>
          <w:p>
            <w:pPr>
              <w:widowControl/>
              <w:jc w:val="center"/>
              <w:rPr>
                <w:color w:val="000000"/>
                <w:kern w:val="0"/>
                <w:szCs w:val="21"/>
              </w:rPr>
            </w:pPr>
            <w:r>
              <w:rPr>
                <w:color w:val="000000"/>
                <w:szCs w:val="21"/>
              </w:rPr>
              <w:t>九龙岭镇/魏家桥镇/仙槎桥镇</w:t>
            </w:r>
          </w:p>
        </w:tc>
        <w:tc>
          <w:tcPr>
            <w:tcW w:w="148" w:type="pct"/>
            <w:vAlign w:val="center"/>
          </w:tcPr>
          <w:p>
            <w:pPr>
              <w:widowControl/>
              <w:jc w:val="center"/>
              <w:rPr>
                <w:color w:val="000000"/>
                <w:kern w:val="0"/>
                <w:szCs w:val="21"/>
              </w:rPr>
            </w:pPr>
            <w:r>
              <w:rPr>
                <w:color w:val="000000"/>
                <w:kern w:val="0"/>
                <w:szCs w:val="21"/>
              </w:rPr>
              <w:t>湖南省</w:t>
            </w:r>
          </w:p>
        </w:tc>
        <w:tc>
          <w:tcPr>
            <w:tcW w:w="148" w:type="pct"/>
            <w:vAlign w:val="center"/>
          </w:tcPr>
          <w:p>
            <w:pPr>
              <w:widowControl/>
              <w:jc w:val="center"/>
              <w:rPr>
                <w:color w:val="000000"/>
                <w:kern w:val="0"/>
                <w:szCs w:val="21"/>
              </w:rPr>
            </w:pPr>
            <w:r>
              <w:rPr>
                <w:color w:val="000000"/>
                <w:kern w:val="0"/>
                <w:szCs w:val="21"/>
              </w:rPr>
              <w:t>邵阳市</w:t>
            </w:r>
          </w:p>
        </w:tc>
        <w:tc>
          <w:tcPr>
            <w:tcW w:w="202" w:type="pct"/>
            <w:vAlign w:val="center"/>
          </w:tcPr>
          <w:p>
            <w:pPr>
              <w:widowControl/>
              <w:jc w:val="center"/>
              <w:rPr>
                <w:color w:val="000000"/>
                <w:kern w:val="0"/>
                <w:szCs w:val="21"/>
              </w:rPr>
            </w:pPr>
            <w:r>
              <w:rPr>
                <w:color w:val="000000"/>
                <w:kern w:val="0"/>
                <w:szCs w:val="21"/>
              </w:rPr>
              <w:t>邵东市</w:t>
            </w:r>
          </w:p>
        </w:tc>
        <w:tc>
          <w:tcPr>
            <w:tcW w:w="257" w:type="pct"/>
            <w:vAlign w:val="center"/>
          </w:tcPr>
          <w:p>
            <w:pPr>
              <w:widowControl/>
              <w:jc w:val="center"/>
              <w:rPr>
                <w:color w:val="000000"/>
                <w:kern w:val="0"/>
                <w:szCs w:val="21"/>
              </w:rPr>
            </w:pPr>
            <w:r>
              <w:rPr>
                <w:color w:val="000000"/>
                <w:kern w:val="0"/>
                <w:szCs w:val="21"/>
              </w:rPr>
              <w:t>重点管控单元</w:t>
            </w:r>
          </w:p>
        </w:tc>
        <w:tc>
          <w:tcPr>
            <w:tcW w:w="292" w:type="pct"/>
            <w:vAlign w:val="center"/>
          </w:tcPr>
          <w:p>
            <w:pPr>
              <w:widowControl/>
              <w:jc w:val="center"/>
              <w:rPr>
                <w:color w:val="000000"/>
                <w:kern w:val="0"/>
                <w:szCs w:val="21"/>
              </w:rPr>
            </w:pPr>
            <w:r>
              <w:rPr>
                <w:color w:val="000000"/>
                <w:kern w:val="0"/>
                <w:szCs w:val="21"/>
              </w:rPr>
              <w:t>236.32</w:t>
            </w:r>
          </w:p>
        </w:tc>
        <w:tc>
          <w:tcPr>
            <w:tcW w:w="316" w:type="pct"/>
            <w:vAlign w:val="center"/>
          </w:tcPr>
          <w:p>
            <w:pPr>
              <w:jc w:val="center"/>
              <w:rPr>
                <w:color w:val="000000"/>
                <w:szCs w:val="21"/>
              </w:rPr>
            </w:pPr>
            <w:r>
              <w:rPr>
                <w:color w:val="000000"/>
                <w:szCs w:val="21"/>
              </w:rPr>
              <w:t>九龙岭镇/魏家桥镇/仙槎桥镇</w:t>
            </w:r>
          </w:p>
        </w:tc>
        <w:tc>
          <w:tcPr>
            <w:tcW w:w="448" w:type="pct"/>
            <w:vAlign w:val="center"/>
          </w:tcPr>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仙槎桥镇</w:t>
            </w:r>
            <w:r>
              <w:rPr>
                <w:color w:val="000000" w:themeColor="text1"/>
                <w:szCs w:val="21"/>
                <w14:textFill>
                  <w14:solidFill>
                    <w14:schemeClr w14:val="tx1"/>
                  </w14:solidFill>
                </w14:textFill>
              </w:rPr>
              <w:t>：城市化地区</w:t>
            </w:r>
          </w:p>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九龙岭镇</w:t>
            </w:r>
            <w:r>
              <w:rPr>
                <w:color w:val="000000" w:themeColor="text1"/>
                <w:szCs w:val="21"/>
                <w14:textFill>
                  <w14:solidFill>
                    <w14:schemeClr w14:val="tx1"/>
                  </w14:solidFill>
                </w14:textFill>
              </w:rPr>
              <w:t>：重点生态功能区/历史文化资源富集区/能源资源富集区</w:t>
            </w:r>
          </w:p>
          <w:p>
            <w:pPr>
              <w:jc w:val="center"/>
              <w:rPr>
                <w:color w:val="000000"/>
                <w:kern w:val="0"/>
                <w:szCs w:val="21"/>
              </w:rPr>
            </w:pPr>
            <w:r>
              <w:rPr>
                <w:b/>
                <w:bCs/>
                <w:color w:val="000000" w:themeColor="text1"/>
                <w:szCs w:val="21"/>
                <w14:textFill>
                  <w14:solidFill>
                    <w14:schemeClr w14:val="tx1"/>
                  </w14:solidFill>
                </w14:textFill>
              </w:rPr>
              <w:t>魏家桥镇</w:t>
            </w:r>
            <w:r>
              <w:rPr>
                <w:color w:val="000000" w:themeColor="text1"/>
                <w:szCs w:val="21"/>
                <w14:textFill>
                  <w14:solidFill>
                    <w14:schemeClr w14:val="tx1"/>
                  </w14:solidFill>
                </w14:textFill>
              </w:rPr>
              <w:t>：农产品主产区</w:t>
            </w:r>
          </w:p>
        </w:tc>
        <w:tc>
          <w:tcPr>
            <w:tcW w:w="905" w:type="pct"/>
            <w:gridSpan w:val="2"/>
          </w:tcPr>
          <w:p>
            <w:pPr>
              <w:widowControl/>
              <w:rPr>
                <w:color w:val="000000"/>
                <w:kern w:val="0"/>
                <w:szCs w:val="21"/>
              </w:rPr>
            </w:pPr>
            <w:r>
              <w:rPr>
                <w:rFonts w:hint="eastAsia"/>
                <w:color w:val="000000"/>
                <w:kern w:val="0"/>
                <w:szCs w:val="21"/>
                <w:highlight w:val="none"/>
              </w:rPr>
              <w:t>农业种植、休</w:t>
            </w:r>
            <w:r>
              <w:rPr>
                <w:rFonts w:hint="eastAsia"/>
                <w:color w:val="000000"/>
                <w:kern w:val="0"/>
                <w:szCs w:val="21"/>
                <w:highlight w:val="none"/>
                <w:lang w:val="en-US" w:eastAsia="zh-CN"/>
              </w:rPr>
              <w:t>闲</w:t>
            </w:r>
            <w:r>
              <w:rPr>
                <w:rFonts w:hint="eastAsia"/>
                <w:color w:val="000000"/>
                <w:kern w:val="0"/>
                <w:szCs w:val="21"/>
                <w:highlight w:val="none"/>
              </w:rPr>
              <w:t>农业、畜禽养殖、农副产品加工、食品加工、锰矿开采加工、机电设备制造、制鞋、服装加工、建筑材料制造、废旧资源利用、电子信息、五金、塑料制品、康养产业、教育产业、生物制药、商贸物流</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光伏、风电、新能源、储能、金属表面处理等</w:t>
            </w:r>
          </w:p>
        </w:tc>
        <w:tc>
          <w:tcPr>
            <w:tcW w:w="1093" w:type="pct"/>
          </w:tcPr>
          <w:p>
            <w:pPr>
              <w:widowControl/>
              <w:rPr>
                <w:b/>
                <w:color w:val="000000"/>
                <w:kern w:val="0"/>
                <w:szCs w:val="21"/>
              </w:rPr>
            </w:pPr>
            <w:r>
              <w:rPr>
                <w:b/>
                <w:color w:val="000000"/>
                <w:kern w:val="0"/>
                <w:szCs w:val="21"/>
              </w:rPr>
              <w:t>主要环境问题：</w:t>
            </w:r>
          </w:p>
          <w:p>
            <w:pPr>
              <w:widowControl/>
              <w:numPr>
                <w:ilvl w:val="255"/>
                <w:numId w:val="0"/>
              </w:numPr>
              <w:rPr>
                <w:b/>
                <w:color w:val="000000"/>
                <w:kern w:val="0"/>
                <w:szCs w:val="21"/>
              </w:rPr>
            </w:pPr>
            <w:r>
              <w:rPr>
                <w:b/>
                <w:bCs/>
                <w:color w:val="000000"/>
                <w:szCs w:val="21"/>
              </w:rPr>
              <w:t>九龙岭镇、</w:t>
            </w:r>
            <w:r>
              <w:rPr>
                <w:b/>
                <w:bCs/>
                <w:color w:val="000000" w:themeColor="text1"/>
                <w:szCs w:val="21"/>
                <w14:textFill>
                  <w14:solidFill>
                    <w14:schemeClr w14:val="tx1"/>
                  </w14:solidFill>
                </w14:textFill>
              </w:rPr>
              <w:t>魏家桥镇、仙槎桥镇</w:t>
            </w:r>
            <w:r>
              <w:rPr>
                <w:b/>
                <w:bCs/>
                <w:color w:val="000000"/>
                <w:szCs w:val="21"/>
              </w:rPr>
              <w:t>：</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p>
            <w:pPr>
              <w:widowControl/>
              <w:rPr>
                <w:b/>
                <w:color w:val="000000"/>
                <w:kern w:val="0"/>
                <w:szCs w:val="21"/>
              </w:rPr>
            </w:pPr>
            <w:r>
              <w:rPr>
                <w:b/>
                <w:color w:val="000000"/>
                <w:kern w:val="0"/>
                <w:szCs w:val="21"/>
              </w:rPr>
              <w:t>重要敏感目标：</w:t>
            </w:r>
          </w:p>
          <w:p>
            <w:pPr>
              <w:widowControl/>
              <w:rPr>
                <w:b/>
                <w:color w:val="000000"/>
                <w:kern w:val="0"/>
                <w:szCs w:val="21"/>
              </w:rPr>
            </w:pPr>
            <w:r>
              <w:rPr>
                <w:b/>
                <w:bCs/>
                <w:color w:val="000000"/>
                <w:szCs w:val="21"/>
              </w:rPr>
              <w:t>九龙岭镇：</w:t>
            </w:r>
            <w:r>
              <w:rPr>
                <w:color w:val="000000"/>
                <w:szCs w:val="21"/>
              </w:rPr>
              <w:t>邵阳市邵东县黄家坝水库饮用水水源保护区、邵阳市邵东县三合水库饮用水水源保护区。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spacing w:line="400" w:lineRule="exact"/>
              <w:jc w:val="center"/>
              <w:rPr>
                <w:b/>
                <w:color w:val="000000"/>
                <w:kern w:val="0"/>
                <w:szCs w:val="21"/>
              </w:rPr>
            </w:pPr>
            <w:r>
              <w:rPr>
                <w:b/>
                <w:color w:val="000000"/>
                <w:kern w:val="0"/>
                <w:szCs w:val="21"/>
              </w:rPr>
              <w:t>主要属性</w:t>
            </w:r>
          </w:p>
        </w:tc>
        <w:tc>
          <w:tcPr>
            <w:tcW w:w="4712" w:type="pct"/>
            <w:gridSpan w:val="11"/>
            <w:vAlign w:val="center"/>
          </w:tcPr>
          <w:p>
            <w:pPr>
              <w:spacing w:line="400" w:lineRule="exact"/>
              <w:rPr>
                <w:b/>
                <w:bCs/>
                <w:color w:val="000000"/>
                <w:szCs w:val="21"/>
              </w:rPr>
            </w:pPr>
            <w:r>
              <w:rPr>
                <w:b/>
                <w:bCs/>
                <w:color w:val="000000"/>
                <w:szCs w:val="21"/>
              </w:rPr>
              <w:t>九龙岭镇：</w:t>
            </w:r>
          </w:p>
          <w:p>
            <w:pPr>
              <w:spacing w:line="400" w:lineRule="exact"/>
              <w:rPr>
                <w:color w:val="000000"/>
                <w:szCs w:val="21"/>
              </w:rPr>
            </w:pPr>
            <w:r>
              <w:rPr>
                <w:b/>
                <w:bCs/>
                <w:szCs w:val="21"/>
              </w:rPr>
              <w:t>生态红线：</w:t>
            </w:r>
            <w:r>
              <w:rPr>
                <w:color w:val="000000"/>
                <w:szCs w:val="21"/>
              </w:rPr>
              <w:t>红线/一般生态空间/水源涵养重要区/三区三线生态红线/生物多样性保护功能重要区/水土流失敏感区/原生态红线</w:t>
            </w:r>
          </w:p>
          <w:p>
            <w:pPr>
              <w:spacing w:line="400" w:lineRule="exact"/>
              <w:rPr>
                <w:color w:val="000000"/>
                <w:szCs w:val="21"/>
              </w:rPr>
            </w:pPr>
            <w:r>
              <w:rPr>
                <w:b/>
                <w:bCs/>
                <w:szCs w:val="21"/>
              </w:rPr>
              <w:t>环境质量底线：</w:t>
            </w:r>
            <w:r>
              <w:rPr>
                <w:color w:val="000000"/>
                <w:szCs w:val="21"/>
              </w:rPr>
              <w:t>水环境优先保护区/水环境其他重点管控区/水环境一般管控区;大气环境受体敏感重点管控区/其他区域;建设用地重点管控区/其他重点管控区/一般管控区;重点生态功能区/历史文化资源富集区/能源资源富集区;高污染燃料禁燃区</w:t>
            </w:r>
          </w:p>
          <w:p>
            <w:pPr>
              <w:spacing w:line="400" w:lineRule="exact"/>
              <w:rPr>
                <w:b/>
                <w:bCs/>
                <w:color w:val="000000"/>
                <w:szCs w:val="21"/>
              </w:rPr>
            </w:pPr>
            <w:r>
              <w:rPr>
                <w:b/>
                <w:bCs/>
                <w:color w:val="000000"/>
                <w:szCs w:val="21"/>
              </w:rPr>
              <w:t>魏家桥镇：</w:t>
            </w:r>
          </w:p>
          <w:p>
            <w:pPr>
              <w:spacing w:line="400" w:lineRule="exact"/>
              <w:rPr>
                <w:color w:val="000000"/>
                <w:szCs w:val="21"/>
              </w:rPr>
            </w:pPr>
            <w:r>
              <w:rPr>
                <w:b/>
                <w:bCs/>
                <w:szCs w:val="21"/>
              </w:rPr>
              <w:t>生态红线：</w:t>
            </w:r>
            <w:r>
              <w:rPr>
                <w:color w:val="000000"/>
                <w:szCs w:val="21"/>
              </w:rPr>
              <w:t>一般生态空间/水土流失敏感区</w:t>
            </w:r>
          </w:p>
          <w:p>
            <w:pPr>
              <w:spacing w:line="400" w:lineRule="exact"/>
              <w:rPr>
                <w:color w:val="000000"/>
                <w:szCs w:val="21"/>
              </w:rPr>
            </w:pPr>
            <w:r>
              <w:rPr>
                <w:b/>
                <w:bCs/>
                <w:szCs w:val="21"/>
              </w:rPr>
              <w:t>环境质量底线：</w:t>
            </w:r>
            <w:r>
              <w:rPr>
                <w:color w:val="000000"/>
                <w:szCs w:val="21"/>
              </w:rPr>
              <w:t>水源涵养重要区水环境其他重点管控区/水环境一般管控区;大气环境受体敏感重点管控区/其他区域;农用地优先保护区/建设用地重点管控区/其他重点管控区/一般管控区;农产品主产区</w:t>
            </w:r>
          </w:p>
          <w:p>
            <w:pPr>
              <w:spacing w:line="400" w:lineRule="exact"/>
              <w:rPr>
                <w:b/>
                <w:bCs/>
                <w:color w:val="000000"/>
                <w:szCs w:val="21"/>
              </w:rPr>
            </w:pPr>
            <w:r>
              <w:rPr>
                <w:b/>
                <w:bCs/>
                <w:color w:val="000000"/>
                <w:szCs w:val="21"/>
              </w:rPr>
              <w:t>仙槎桥镇：</w:t>
            </w:r>
          </w:p>
          <w:p>
            <w:pPr>
              <w:spacing w:line="400" w:lineRule="exact"/>
              <w:rPr>
                <w:color w:val="000000"/>
                <w:szCs w:val="21"/>
              </w:rPr>
            </w:pPr>
            <w:r>
              <w:rPr>
                <w:b/>
                <w:bCs/>
                <w:szCs w:val="21"/>
              </w:rPr>
              <w:t>生态红线：</w:t>
            </w:r>
            <w:r>
              <w:rPr>
                <w:color w:val="000000"/>
                <w:szCs w:val="21"/>
              </w:rPr>
              <w:t>一般生态空间/水源涵养重要区/水土流失敏感区/原生态红线</w:t>
            </w:r>
          </w:p>
          <w:p>
            <w:pPr>
              <w:spacing w:line="400" w:lineRule="exact"/>
              <w:rPr>
                <w:color w:val="000000"/>
                <w:szCs w:val="21"/>
              </w:rPr>
            </w:pPr>
            <w:r>
              <w:rPr>
                <w:b/>
                <w:bCs/>
                <w:szCs w:val="21"/>
              </w:rPr>
              <w:t>环境质量底线：</w:t>
            </w:r>
            <w:r>
              <w:rPr>
                <w:color w:val="000000"/>
                <w:szCs w:val="21"/>
              </w:rPr>
              <w:t>水环境一般管控区;大气环境高排放重点管控区/大气环境受体敏感重点管控区/其他区域;建设用地重点管控区/其他重点管控区/一般管控区;城市化地区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spacing w:line="400" w:lineRule="exact"/>
              <w:jc w:val="center"/>
              <w:rPr>
                <w:b/>
                <w:color w:val="000000"/>
                <w:szCs w:val="21"/>
              </w:rPr>
            </w:pPr>
            <w:r>
              <w:rPr>
                <w:b/>
                <w:color w:val="000000"/>
                <w:szCs w:val="21"/>
              </w:rPr>
              <w:t>管控维度</w:t>
            </w:r>
          </w:p>
        </w:tc>
        <w:tc>
          <w:tcPr>
            <w:tcW w:w="3611" w:type="pct"/>
            <w:gridSpan w:val="9"/>
            <w:vAlign w:val="center"/>
          </w:tcPr>
          <w:p>
            <w:pPr>
              <w:spacing w:line="400" w:lineRule="exact"/>
              <w:jc w:val="center"/>
              <w:rPr>
                <w:b/>
                <w:color w:val="000000"/>
                <w:szCs w:val="21"/>
              </w:rPr>
            </w:pPr>
            <w:r>
              <w:rPr>
                <w:b/>
                <w:color w:val="000000"/>
                <w:kern w:val="0"/>
                <w:szCs w:val="21"/>
              </w:rPr>
              <w:t>管控要求</w:t>
            </w:r>
          </w:p>
        </w:tc>
        <w:tc>
          <w:tcPr>
            <w:tcW w:w="1100"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spacing w:line="400" w:lineRule="exact"/>
              <w:jc w:val="center"/>
              <w:rPr>
                <w:color w:val="000000"/>
                <w:szCs w:val="21"/>
              </w:rPr>
            </w:pPr>
            <w:r>
              <w:rPr>
                <w:color w:val="000000"/>
                <w:szCs w:val="21"/>
              </w:rPr>
              <w:t>空间布局约束</w:t>
            </w:r>
          </w:p>
        </w:tc>
        <w:tc>
          <w:tcPr>
            <w:tcW w:w="3611" w:type="pct"/>
            <w:gridSpan w:val="9"/>
            <w:vAlign w:val="center"/>
          </w:tcPr>
          <w:p>
            <w:pPr>
              <w:tabs>
                <w:tab w:val="left" w:pos="1021"/>
              </w:tabs>
              <w:spacing w:line="40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（1.4）严禁城市周边面山可视范围内、公路和河流两侧、自然保护区等生态敏感地区的私挖乱采。</w:t>
            </w:r>
          </w:p>
        </w:tc>
        <w:tc>
          <w:tcPr>
            <w:tcW w:w="1100" w:type="pct"/>
            <w:gridSpan w:val="2"/>
            <w:vMerge w:val="restart"/>
            <w:vAlign w:val="center"/>
          </w:tcPr>
          <w:p>
            <w:pPr>
              <w:tabs>
                <w:tab w:val="left" w:pos="1021"/>
              </w:tabs>
              <w:spacing w:line="400" w:lineRule="exact"/>
              <w:rPr>
                <w:strike/>
                <w:color w:val="000000"/>
                <w:szCs w:val="21"/>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（1.2）（1.4）（2.1.1）（2.3）（3.1）（3.2）（3.3）（4.1.1）（4.1.2）（4.1.3）《邵东市“十四五”生态环境保护规划》（2021-2025）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4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spacing w:line="400" w:lineRule="exact"/>
              <w:jc w:val="center"/>
              <w:rPr>
                <w:color w:val="000000"/>
                <w:szCs w:val="21"/>
              </w:rPr>
            </w:pPr>
            <w:r>
              <w:rPr>
                <w:color w:val="000000"/>
                <w:szCs w:val="21"/>
              </w:rPr>
              <w:t>污染物排放管控</w:t>
            </w:r>
          </w:p>
        </w:tc>
        <w:tc>
          <w:tcPr>
            <w:tcW w:w="3611" w:type="pct"/>
            <w:gridSpan w:val="9"/>
            <w:vAlign w:val="center"/>
          </w:tcPr>
          <w:p>
            <w:pPr>
              <w:tabs>
                <w:tab w:val="left" w:pos="1021"/>
              </w:tabs>
              <w:spacing w:line="40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40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40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1100"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spacing w:line="400" w:lineRule="exact"/>
              <w:jc w:val="center"/>
              <w:rPr>
                <w:color w:val="000000"/>
                <w:szCs w:val="21"/>
              </w:rPr>
            </w:pPr>
            <w:r>
              <w:rPr>
                <w:color w:val="000000"/>
                <w:szCs w:val="21"/>
              </w:rPr>
              <w:t>环境风险防控</w:t>
            </w:r>
          </w:p>
        </w:tc>
        <w:tc>
          <w:tcPr>
            <w:tcW w:w="3611" w:type="pct"/>
            <w:gridSpan w:val="9"/>
            <w:vAlign w:val="center"/>
          </w:tcPr>
          <w:p>
            <w:pPr>
              <w:pStyle w:val="9"/>
              <w:spacing w:line="400" w:lineRule="exact"/>
              <w:ind w:left="0" w:leftChars="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pStyle w:val="9"/>
              <w:spacing w:line="400" w:lineRule="exact"/>
              <w:ind w:left="0" w:leftChars="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r>
              <w:t>（3.3）强化受污染耕地管控，建立健全受污染耕地安全利用长效机制。</w:t>
            </w:r>
          </w:p>
        </w:tc>
        <w:tc>
          <w:tcPr>
            <w:tcW w:w="1100"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pPr>
              <w:widowControl/>
              <w:spacing w:line="400" w:lineRule="exact"/>
              <w:jc w:val="center"/>
              <w:rPr>
                <w:color w:val="000000"/>
                <w:szCs w:val="21"/>
              </w:rPr>
            </w:pPr>
            <w:r>
              <w:rPr>
                <w:color w:val="000000"/>
                <w:szCs w:val="21"/>
              </w:rPr>
              <w:t>资源开发效率要求</w:t>
            </w:r>
          </w:p>
        </w:tc>
        <w:tc>
          <w:tcPr>
            <w:tcW w:w="3611" w:type="pct"/>
            <w:gridSpan w:val="9"/>
          </w:tcPr>
          <w:p>
            <w:pPr>
              <w:tabs>
                <w:tab w:val="left" w:pos="1021"/>
              </w:tabs>
              <w:spacing w:line="400" w:lineRule="exact"/>
              <w:rPr>
                <w:color w:val="000000"/>
                <w:szCs w:val="21"/>
              </w:rPr>
            </w:pPr>
            <w:r>
              <w:rPr>
                <w:color w:val="000000" w:themeColor="text1"/>
                <w:szCs w:val="21"/>
                <w14:textFill>
                  <w14:solidFill>
                    <w14:schemeClr w14:val="tx1"/>
                  </w14:solidFill>
                </w14:textFill>
              </w:rPr>
              <w:t>（4.1）能源：</w:t>
            </w:r>
          </w:p>
          <w:p>
            <w:pPr>
              <w:tabs>
                <w:tab w:val="left" w:pos="1021"/>
              </w:tabs>
              <w:spacing w:line="400" w:lineRule="exact"/>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400" w:lineRule="exact"/>
              <w:rPr>
                <w:color w:val="000000"/>
                <w:szCs w:val="21"/>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九龙岭镇耕地保有量为3.83万亩，永久基本农田保护面积为3.45万亩，生态保护红线面积为335.54万亩；魏家桥镇耕地保有量为3.59万亩，永久基本农田保护面积为3.39万亩；仙槎桥镇耕地保有量为3.47万亩，永久基本农田保护面积为3.21万亩。</w:t>
            </w:r>
          </w:p>
        </w:tc>
        <w:tc>
          <w:tcPr>
            <w:tcW w:w="1100" w:type="pct"/>
            <w:gridSpan w:val="2"/>
            <w:vMerge w:val="continue"/>
            <w:vAlign w:val="center"/>
          </w:tcPr>
          <w:p>
            <w:pPr>
              <w:spacing w:line="400" w:lineRule="exact"/>
            </w:pPr>
          </w:p>
        </w:tc>
      </w:tr>
    </w:tbl>
    <w:p>
      <w:pPr>
        <w:rPr>
          <w:b/>
          <w:color w:val="000000"/>
          <w:sz w:val="28"/>
          <w:szCs w:val="28"/>
        </w:rPr>
        <w:sectPr>
          <w:footerReference r:id="rId4" w:type="default"/>
          <w:pgSz w:w="16838" w:h="11906" w:orient="landscape"/>
          <w:pgMar w:top="1800" w:right="1440" w:bottom="1800" w:left="1440" w:header="851" w:footer="992" w:gutter="0"/>
          <w:pgNumType w:fmt="decimal" w:start="1"/>
          <w:cols w:space="425" w:num="1"/>
          <w:docGrid w:type="lines" w:linePitch="312" w:charSpace="0"/>
        </w:sect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83"/>
        <w:gridCol w:w="434"/>
        <w:gridCol w:w="599"/>
        <w:gridCol w:w="451"/>
        <w:gridCol w:w="703"/>
        <w:gridCol w:w="946"/>
        <w:gridCol w:w="1488"/>
        <w:gridCol w:w="2062"/>
        <w:gridCol w:w="1904"/>
        <w:gridCol w:w="2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Merge w:val="restart"/>
            <w:vAlign w:val="center"/>
          </w:tcPr>
          <w:p>
            <w:pPr>
              <w:widowControl/>
              <w:jc w:val="center"/>
              <w:rPr>
                <w:b/>
                <w:color w:val="000000"/>
                <w:kern w:val="0"/>
                <w:szCs w:val="21"/>
              </w:rPr>
            </w:pPr>
            <w:r>
              <w:rPr>
                <w:b/>
                <w:color w:val="000000"/>
                <w:kern w:val="0"/>
                <w:szCs w:val="21"/>
              </w:rPr>
              <w:t>环境管控单元编码</w:t>
            </w:r>
          </w:p>
        </w:tc>
        <w:tc>
          <w:tcPr>
            <w:tcW w:w="629" w:type="pct"/>
            <w:vMerge w:val="restart"/>
            <w:vAlign w:val="center"/>
          </w:tcPr>
          <w:p>
            <w:pPr>
              <w:widowControl/>
              <w:jc w:val="center"/>
              <w:rPr>
                <w:b/>
                <w:color w:val="000000"/>
                <w:kern w:val="0"/>
                <w:szCs w:val="21"/>
              </w:rPr>
            </w:pPr>
            <w:r>
              <w:rPr>
                <w:b/>
                <w:color w:val="000000"/>
                <w:kern w:val="0"/>
                <w:szCs w:val="21"/>
              </w:rPr>
              <w:t>单元名称</w:t>
            </w:r>
          </w:p>
        </w:tc>
        <w:tc>
          <w:tcPr>
            <w:tcW w:w="523" w:type="pct"/>
            <w:gridSpan w:val="3"/>
            <w:vAlign w:val="center"/>
          </w:tcPr>
          <w:p>
            <w:pPr>
              <w:widowControl/>
              <w:jc w:val="center"/>
              <w:rPr>
                <w:b/>
                <w:color w:val="000000"/>
                <w:kern w:val="0"/>
                <w:szCs w:val="21"/>
              </w:rPr>
            </w:pPr>
            <w:r>
              <w:rPr>
                <w:b/>
                <w:color w:val="000000"/>
                <w:kern w:val="0"/>
                <w:szCs w:val="21"/>
              </w:rPr>
              <w:t>行政区划</w:t>
            </w:r>
          </w:p>
        </w:tc>
        <w:tc>
          <w:tcPr>
            <w:tcW w:w="248" w:type="pct"/>
            <w:vMerge w:val="restart"/>
            <w:vAlign w:val="center"/>
          </w:tcPr>
          <w:p>
            <w:pPr>
              <w:widowControl/>
              <w:jc w:val="center"/>
              <w:rPr>
                <w:b/>
                <w:color w:val="000000"/>
                <w:kern w:val="0"/>
                <w:szCs w:val="21"/>
              </w:rPr>
            </w:pPr>
            <w:r>
              <w:rPr>
                <w:b/>
                <w:color w:val="000000"/>
                <w:kern w:val="0"/>
                <w:szCs w:val="21"/>
              </w:rPr>
              <w:t>单元分类</w:t>
            </w:r>
          </w:p>
        </w:tc>
        <w:tc>
          <w:tcPr>
            <w:tcW w:w="333"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525" w:type="pct"/>
            <w:vMerge w:val="restart"/>
            <w:vAlign w:val="center"/>
          </w:tcPr>
          <w:p>
            <w:pPr>
              <w:jc w:val="center"/>
              <w:rPr>
                <w:b/>
                <w:color w:val="000000"/>
                <w:kern w:val="0"/>
                <w:szCs w:val="21"/>
              </w:rPr>
            </w:pPr>
            <w:r>
              <w:rPr>
                <w:b/>
                <w:color w:val="000000"/>
                <w:kern w:val="0"/>
                <w:szCs w:val="21"/>
              </w:rPr>
              <w:t>涉及乡镇(街道)</w:t>
            </w:r>
          </w:p>
        </w:tc>
        <w:tc>
          <w:tcPr>
            <w:tcW w:w="728" w:type="pct"/>
            <w:vMerge w:val="restart"/>
            <w:vAlign w:val="center"/>
          </w:tcPr>
          <w:p>
            <w:pPr>
              <w:jc w:val="center"/>
              <w:rPr>
                <w:b/>
                <w:color w:val="000000"/>
                <w:kern w:val="0"/>
                <w:szCs w:val="21"/>
              </w:rPr>
            </w:pPr>
            <w:r>
              <w:rPr>
                <w:b/>
                <w:color w:val="000000"/>
                <w:kern w:val="0"/>
                <w:szCs w:val="21"/>
              </w:rPr>
              <w:t>主体功能定位</w:t>
            </w:r>
          </w:p>
        </w:tc>
        <w:tc>
          <w:tcPr>
            <w:tcW w:w="678" w:type="pct"/>
            <w:gridSpan w:val="2"/>
            <w:vMerge w:val="restart"/>
            <w:vAlign w:val="center"/>
          </w:tcPr>
          <w:p>
            <w:pPr>
              <w:jc w:val="center"/>
              <w:rPr>
                <w:b/>
                <w:color w:val="000000"/>
                <w:kern w:val="0"/>
                <w:szCs w:val="21"/>
              </w:rPr>
            </w:pPr>
            <w:r>
              <w:rPr>
                <w:b/>
                <w:color w:val="000000"/>
                <w:kern w:val="0"/>
                <w:szCs w:val="21"/>
              </w:rPr>
              <w:t>经济产业布局</w:t>
            </w:r>
          </w:p>
        </w:tc>
        <w:tc>
          <w:tcPr>
            <w:tcW w:w="1085"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7" w:type="pct"/>
            <w:vMerge w:val="continue"/>
            <w:vAlign w:val="center"/>
          </w:tcPr>
          <w:p/>
        </w:tc>
        <w:tc>
          <w:tcPr>
            <w:tcW w:w="629" w:type="pct"/>
            <w:vMerge w:val="continue"/>
            <w:vAlign w:val="center"/>
          </w:tcPr>
          <w:p/>
        </w:tc>
        <w:tc>
          <w:tcPr>
            <w:tcW w:w="153" w:type="pct"/>
            <w:vAlign w:val="center"/>
          </w:tcPr>
          <w:p>
            <w:pPr>
              <w:jc w:val="center"/>
              <w:rPr>
                <w:b/>
                <w:color w:val="000000"/>
                <w:szCs w:val="21"/>
              </w:rPr>
            </w:pPr>
            <w:r>
              <w:rPr>
                <w:b/>
                <w:color w:val="000000"/>
                <w:szCs w:val="21"/>
              </w:rPr>
              <w:t>省</w:t>
            </w:r>
          </w:p>
        </w:tc>
        <w:tc>
          <w:tcPr>
            <w:tcW w:w="211" w:type="pct"/>
            <w:vAlign w:val="center"/>
          </w:tcPr>
          <w:p>
            <w:pPr>
              <w:jc w:val="center"/>
              <w:rPr>
                <w:b/>
                <w:color w:val="000000"/>
                <w:szCs w:val="21"/>
              </w:rPr>
            </w:pPr>
            <w:r>
              <w:rPr>
                <w:b/>
                <w:color w:val="000000"/>
                <w:szCs w:val="21"/>
              </w:rPr>
              <w:t>市</w:t>
            </w:r>
          </w:p>
        </w:tc>
        <w:tc>
          <w:tcPr>
            <w:tcW w:w="159" w:type="pct"/>
            <w:vAlign w:val="center"/>
          </w:tcPr>
          <w:p>
            <w:pPr>
              <w:jc w:val="center"/>
              <w:rPr>
                <w:b/>
                <w:color w:val="000000"/>
                <w:szCs w:val="21"/>
              </w:rPr>
            </w:pPr>
            <w:r>
              <w:rPr>
                <w:b/>
                <w:color w:val="000000"/>
                <w:szCs w:val="21"/>
              </w:rPr>
              <w:t>县</w:t>
            </w:r>
          </w:p>
        </w:tc>
        <w:tc>
          <w:tcPr>
            <w:tcW w:w="248" w:type="pct"/>
            <w:vMerge w:val="continue"/>
            <w:vAlign w:val="center"/>
          </w:tcPr>
          <w:p/>
        </w:tc>
        <w:tc>
          <w:tcPr>
            <w:tcW w:w="333" w:type="pct"/>
            <w:vMerge w:val="continue"/>
            <w:vAlign w:val="center"/>
          </w:tcPr>
          <w:p/>
        </w:tc>
        <w:tc>
          <w:tcPr>
            <w:tcW w:w="525" w:type="pct"/>
            <w:vMerge w:val="continue"/>
            <w:vAlign w:val="center"/>
          </w:tcPr>
          <w:p/>
        </w:tc>
        <w:tc>
          <w:tcPr>
            <w:tcW w:w="728" w:type="pct"/>
            <w:vMerge w:val="continue"/>
            <w:vAlign w:val="center"/>
          </w:tcPr>
          <w:p/>
        </w:tc>
        <w:tc>
          <w:tcPr>
            <w:tcW w:w="678" w:type="pct"/>
            <w:gridSpan w:val="2"/>
            <w:vMerge w:val="continue"/>
            <w:vAlign w:val="center"/>
          </w:tcPr>
          <w:p/>
        </w:tc>
        <w:tc>
          <w:tcPr>
            <w:tcW w:w="1085"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pPr>
              <w:widowControl/>
              <w:jc w:val="center"/>
              <w:rPr>
                <w:color w:val="000000"/>
                <w:kern w:val="0"/>
                <w:szCs w:val="21"/>
              </w:rPr>
            </w:pPr>
            <w:r>
              <w:rPr>
                <w:color w:val="000000"/>
                <w:kern w:val="0"/>
                <w:szCs w:val="21"/>
              </w:rPr>
              <w:t>ZH43052120003</w:t>
            </w:r>
          </w:p>
        </w:tc>
        <w:tc>
          <w:tcPr>
            <w:tcW w:w="629" w:type="pct"/>
            <w:vAlign w:val="center"/>
          </w:tcPr>
          <w:p>
            <w:pPr>
              <w:widowControl/>
              <w:jc w:val="center"/>
              <w:rPr>
                <w:color w:val="000000"/>
                <w:kern w:val="0"/>
                <w:szCs w:val="21"/>
              </w:rPr>
            </w:pPr>
            <w:r>
              <w:rPr>
                <w:color w:val="000000"/>
                <w:kern w:val="0"/>
                <w:szCs w:val="21"/>
              </w:rPr>
              <w:t>大禾塘街道/两市塘街道/牛马司镇/宋家塘街道/周官桥乡/黑田铺镇</w:t>
            </w:r>
          </w:p>
        </w:tc>
        <w:tc>
          <w:tcPr>
            <w:tcW w:w="153" w:type="pct"/>
            <w:vAlign w:val="center"/>
          </w:tcPr>
          <w:p>
            <w:pPr>
              <w:widowControl/>
              <w:jc w:val="center"/>
              <w:rPr>
                <w:color w:val="000000"/>
                <w:kern w:val="0"/>
                <w:szCs w:val="21"/>
              </w:rPr>
            </w:pPr>
            <w:r>
              <w:rPr>
                <w:color w:val="000000"/>
                <w:kern w:val="0"/>
                <w:szCs w:val="21"/>
              </w:rPr>
              <w:t>湖南省</w:t>
            </w:r>
          </w:p>
        </w:tc>
        <w:tc>
          <w:tcPr>
            <w:tcW w:w="211" w:type="pct"/>
            <w:vAlign w:val="center"/>
          </w:tcPr>
          <w:p>
            <w:pPr>
              <w:widowControl/>
              <w:jc w:val="center"/>
              <w:rPr>
                <w:color w:val="000000"/>
                <w:kern w:val="0"/>
                <w:szCs w:val="21"/>
              </w:rPr>
            </w:pPr>
            <w:r>
              <w:rPr>
                <w:color w:val="000000"/>
                <w:kern w:val="0"/>
                <w:szCs w:val="21"/>
              </w:rPr>
              <w:t>邵阳市</w:t>
            </w:r>
          </w:p>
        </w:tc>
        <w:tc>
          <w:tcPr>
            <w:tcW w:w="159" w:type="pct"/>
            <w:vAlign w:val="center"/>
          </w:tcPr>
          <w:p>
            <w:pPr>
              <w:widowControl/>
              <w:jc w:val="center"/>
              <w:rPr>
                <w:color w:val="000000"/>
                <w:kern w:val="0"/>
                <w:szCs w:val="21"/>
              </w:rPr>
            </w:pPr>
            <w:r>
              <w:rPr>
                <w:color w:val="000000"/>
                <w:kern w:val="0"/>
                <w:szCs w:val="21"/>
              </w:rPr>
              <w:t>邵东市</w:t>
            </w:r>
          </w:p>
        </w:tc>
        <w:tc>
          <w:tcPr>
            <w:tcW w:w="248" w:type="pct"/>
            <w:vAlign w:val="center"/>
          </w:tcPr>
          <w:p>
            <w:pPr>
              <w:widowControl/>
              <w:jc w:val="center"/>
              <w:rPr>
                <w:color w:val="000000"/>
                <w:kern w:val="0"/>
                <w:szCs w:val="21"/>
              </w:rPr>
            </w:pPr>
            <w:r>
              <w:rPr>
                <w:color w:val="000000"/>
                <w:kern w:val="0"/>
                <w:szCs w:val="21"/>
              </w:rPr>
              <w:t>重点管控单元</w:t>
            </w:r>
          </w:p>
        </w:tc>
        <w:tc>
          <w:tcPr>
            <w:tcW w:w="333" w:type="pct"/>
            <w:vAlign w:val="center"/>
          </w:tcPr>
          <w:p>
            <w:pPr>
              <w:widowControl/>
              <w:jc w:val="center"/>
              <w:rPr>
                <w:color w:val="000000"/>
                <w:kern w:val="0"/>
                <w:szCs w:val="21"/>
              </w:rPr>
            </w:pPr>
            <w:r>
              <w:rPr>
                <w:color w:val="000000"/>
                <w:kern w:val="0"/>
                <w:szCs w:val="21"/>
              </w:rPr>
              <w:t>149.24</w:t>
            </w:r>
          </w:p>
        </w:tc>
        <w:tc>
          <w:tcPr>
            <w:tcW w:w="525" w:type="pct"/>
            <w:vAlign w:val="center"/>
          </w:tcPr>
          <w:p>
            <w:pPr>
              <w:widowControl/>
              <w:jc w:val="center"/>
              <w:rPr>
                <w:color w:val="000000"/>
                <w:kern w:val="0"/>
                <w:szCs w:val="21"/>
              </w:rPr>
            </w:pPr>
            <w:r>
              <w:rPr>
                <w:color w:val="000000"/>
                <w:kern w:val="0"/>
                <w:szCs w:val="21"/>
              </w:rPr>
              <w:t>大禾塘街道/两市塘街道/牛马司镇/宋家塘街道/周官桥乡/黑田铺镇</w:t>
            </w:r>
          </w:p>
        </w:tc>
        <w:tc>
          <w:tcPr>
            <w:tcW w:w="728" w:type="pct"/>
            <w:vAlign w:val="center"/>
          </w:tcPr>
          <w:p>
            <w:pPr>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大禾塘街道/两市塘街道/宋家塘街道/</w:t>
            </w:r>
            <w:r>
              <w:rPr>
                <w:rFonts w:hint="eastAsia"/>
                <w:b/>
                <w:bCs/>
                <w:color w:val="000000"/>
                <w:kern w:val="0"/>
                <w:szCs w:val="21"/>
                <w:lang w:eastAsia="zh-CN"/>
              </w:rPr>
              <w:t>黑田铺镇</w:t>
            </w:r>
            <w:r>
              <w:rPr>
                <w:color w:val="000000" w:themeColor="text1"/>
                <w:kern w:val="0"/>
                <w:szCs w:val="21"/>
                <w14:textFill>
                  <w14:solidFill>
                    <w14:schemeClr w14:val="tx1"/>
                  </w14:solidFill>
                </w14:textFill>
              </w:rPr>
              <w:t>：城市化地区</w:t>
            </w:r>
          </w:p>
          <w:p>
            <w:pPr>
              <w:widowControl/>
              <w:jc w:val="center"/>
              <w:rPr>
                <w:color w:val="000000"/>
                <w:kern w:val="0"/>
                <w:szCs w:val="21"/>
              </w:rPr>
            </w:pPr>
            <w:r>
              <w:rPr>
                <w:b/>
                <w:bCs/>
                <w:color w:val="000000"/>
                <w:kern w:val="0"/>
                <w:szCs w:val="21"/>
              </w:rPr>
              <w:t>牛马司镇/周官桥乡</w:t>
            </w:r>
            <w:r>
              <w:rPr>
                <w:color w:val="000000"/>
                <w:kern w:val="0"/>
                <w:szCs w:val="21"/>
              </w:rPr>
              <w:t>：</w:t>
            </w:r>
            <w:r>
              <w:rPr>
                <w:color w:val="000000" w:themeColor="text1"/>
                <w:szCs w:val="21"/>
                <w14:textFill>
                  <w14:solidFill>
                    <w14:schemeClr w14:val="tx1"/>
                  </w14:solidFill>
                </w14:textFill>
              </w:rPr>
              <w:t>农产品主产区</w:t>
            </w:r>
          </w:p>
        </w:tc>
        <w:tc>
          <w:tcPr>
            <w:tcW w:w="678" w:type="pct"/>
            <w:gridSpan w:val="2"/>
            <w:vAlign w:val="center"/>
          </w:tcPr>
          <w:p>
            <w:pPr>
              <w:widowControl/>
              <w:jc w:val="left"/>
              <w:rPr>
                <w:rFonts w:hint="eastAsia"/>
                <w:color w:val="000000"/>
                <w:kern w:val="0"/>
                <w:szCs w:val="21"/>
                <w:highlight w:val="none"/>
              </w:rPr>
            </w:pPr>
            <w:r>
              <w:rPr>
                <w:rFonts w:hint="eastAsia"/>
                <w:color w:val="000000"/>
                <w:kern w:val="0"/>
                <w:szCs w:val="21"/>
                <w:highlight w:val="none"/>
              </w:rPr>
              <w:t>农业种植、畜禽养殖、农副产品加工、食品加工、机电设备制造、制鞋、服装加工、社会服务、商业、建筑材料制造、废旧资源利用、家具、小五金、橡胶制品、塑料制品、印刷包装、皮具加工、煤炭开采洗选、涂料</w:t>
            </w:r>
            <w:r>
              <w:rPr>
                <w:rFonts w:hint="eastAsia"/>
                <w:color w:val="000000"/>
                <w:kern w:val="0"/>
                <w:szCs w:val="21"/>
                <w:highlight w:val="none"/>
                <w:lang w:val="en-US" w:eastAsia="zh-CN"/>
              </w:rPr>
              <w:t>制造</w:t>
            </w:r>
            <w:r>
              <w:rPr>
                <w:rFonts w:hint="eastAsia"/>
                <w:color w:val="000000"/>
                <w:kern w:val="0"/>
                <w:szCs w:val="21"/>
                <w:highlight w:val="none"/>
                <w:lang w:eastAsia="zh-CN"/>
              </w:rPr>
              <w:t>、</w:t>
            </w:r>
            <w:r>
              <w:rPr>
                <w:rFonts w:hint="eastAsia"/>
                <w:color w:val="000000"/>
                <w:kern w:val="0"/>
                <w:szCs w:val="21"/>
                <w:highlight w:val="none"/>
              </w:rPr>
              <w:t>油墨制造</w:t>
            </w:r>
            <w:r>
              <w:rPr>
                <w:rFonts w:hint="eastAsia"/>
                <w:color w:val="000000"/>
                <w:kern w:val="0"/>
                <w:szCs w:val="21"/>
                <w:highlight w:val="none"/>
                <w:lang w:eastAsia="zh-CN"/>
              </w:rPr>
              <w:t>、</w:t>
            </w:r>
            <w:r>
              <w:rPr>
                <w:rFonts w:hint="eastAsia"/>
                <w:color w:val="000000"/>
                <w:kern w:val="0"/>
                <w:szCs w:val="21"/>
                <w:highlight w:val="none"/>
              </w:rPr>
              <w:t>电池</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w:t>
            </w:r>
            <w:r>
              <w:rPr>
                <w:rFonts w:hint="eastAsia"/>
                <w:color w:val="000000"/>
                <w:kern w:val="0"/>
                <w:szCs w:val="21"/>
                <w:highlight w:val="none"/>
              </w:rPr>
              <w:t>等</w:t>
            </w:r>
          </w:p>
          <w:p>
            <w:pPr>
              <w:widowControl/>
              <w:jc w:val="left"/>
              <w:rPr>
                <w:b/>
                <w:bCs/>
                <w:color w:val="000000"/>
                <w:kern w:val="0"/>
                <w:szCs w:val="21"/>
              </w:rPr>
            </w:pPr>
          </w:p>
        </w:tc>
        <w:tc>
          <w:tcPr>
            <w:tcW w:w="1085" w:type="pct"/>
          </w:tcPr>
          <w:p>
            <w:pPr>
              <w:widowControl/>
              <w:rPr>
                <w:b/>
                <w:color w:val="000000"/>
                <w:kern w:val="0"/>
                <w:szCs w:val="21"/>
              </w:rPr>
            </w:pPr>
            <w:r>
              <w:rPr>
                <w:b/>
                <w:color w:val="000000"/>
                <w:kern w:val="0"/>
                <w:szCs w:val="21"/>
              </w:rPr>
              <w:t>主要环境问题：</w:t>
            </w:r>
          </w:p>
          <w:p>
            <w:pPr>
              <w:widowControl/>
              <w:numPr>
                <w:ilvl w:val="255"/>
                <w:numId w:val="0"/>
              </w:numPr>
              <w:rPr>
                <w:color w:val="000000"/>
                <w:kern w:val="0"/>
                <w:szCs w:val="21"/>
              </w:rPr>
            </w:pPr>
            <w:r>
              <w:rPr>
                <w:b/>
                <w:bCs/>
                <w:color w:val="000000"/>
                <w:kern w:val="0"/>
                <w:szCs w:val="21"/>
              </w:rPr>
              <w:t>大禾塘街道、两市塘街道、牛马司镇、宋家塘街道、周官桥乡、黑田铺镇</w:t>
            </w:r>
            <w:r>
              <w:rPr>
                <w:b/>
                <w:bCs/>
                <w:color w:val="000000" w:themeColor="text1"/>
                <w:kern w:val="0"/>
                <w:szCs w:val="21"/>
                <w14:textFill>
                  <w14:solidFill>
                    <w14:schemeClr w14:val="tx1"/>
                  </w14:solidFill>
                </w14:textFill>
              </w:rPr>
              <w:t>：</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p>
            <w:pPr>
              <w:widowControl/>
              <w:rPr>
                <w:b/>
                <w:color w:val="000000"/>
                <w:kern w:val="0"/>
                <w:szCs w:val="21"/>
              </w:rPr>
            </w:pPr>
            <w:r>
              <w:rPr>
                <w:b/>
                <w:color w:val="000000"/>
                <w:kern w:val="0"/>
                <w:szCs w:val="21"/>
              </w:rPr>
              <w:t>重要敏感目标：</w:t>
            </w:r>
          </w:p>
          <w:p>
            <w:pPr>
              <w:widowControl/>
              <w:numPr>
                <w:ilvl w:val="255"/>
                <w:numId w:val="0"/>
              </w:numPr>
              <w:rPr>
                <w:color w:val="000000"/>
                <w:szCs w:val="21"/>
              </w:rPr>
            </w:pPr>
            <w:r>
              <w:rPr>
                <w:b/>
                <w:bCs/>
                <w:color w:val="000000" w:themeColor="text1"/>
                <w:kern w:val="0"/>
                <w:szCs w:val="21"/>
                <w14:textFill>
                  <w14:solidFill>
                    <w14:schemeClr w14:val="tx1"/>
                  </w14:solidFill>
                </w14:textFill>
              </w:rPr>
              <w:t>大禾塘街道：</w:t>
            </w:r>
            <w:r>
              <w:rPr>
                <w:color w:val="000000"/>
                <w:szCs w:val="21"/>
              </w:rPr>
              <w:t>邵阳市邵东县桐江饮用水水源保护区（汇水）；</w:t>
            </w:r>
          </w:p>
          <w:p>
            <w:pPr>
              <w:widowControl/>
              <w:numPr>
                <w:ilvl w:val="255"/>
                <w:numId w:val="0"/>
              </w:numPr>
              <w:rPr>
                <w:color w:val="000000"/>
                <w:szCs w:val="21"/>
              </w:rPr>
            </w:pPr>
            <w:r>
              <w:rPr>
                <w:b/>
                <w:bCs/>
                <w:color w:val="000000"/>
                <w:kern w:val="0"/>
                <w:szCs w:val="21"/>
              </w:rPr>
              <w:t>周官桥乡</w:t>
            </w:r>
            <w:r>
              <w:rPr>
                <w:b/>
                <w:bCs/>
                <w:color w:val="000000"/>
                <w:szCs w:val="21"/>
              </w:rPr>
              <w:t>：</w:t>
            </w:r>
            <w:r>
              <w:rPr>
                <w:color w:val="000000"/>
                <w:kern w:val="0"/>
                <w:szCs w:val="21"/>
              </w:rPr>
              <w:t>邵阳市邵东县桐江饮用水水源保护区（汇水）。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pPr>
              <w:widowControl/>
              <w:spacing w:line="400" w:lineRule="exact"/>
              <w:jc w:val="center"/>
              <w:rPr>
                <w:b/>
                <w:color w:val="000000"/>
                <w:kern w:val="0"/>
                <w:szCs w:val="21"/>
              </w:rPr>
            </w:pPr>
            <w:r>
              <w:rPr>
                <w:b/>
                <w:color w:val="000000"/>
                <w:kern w:val="0"/>
                <w:szCs w:val="21"/>
              </w:rPr>
              <w:t>主要属性</w:t>
            </w:r>
          </w:p>
        </w:tc>
        <w:tc>
          <w:tcPr>
            <w:tcW w:w="4752" w:type="pct"/>
            <w:gridSpan w:val="11"/>
            <w:vAlign w:val="center"/>
          </w:tcPr>
          <w:p>
            <w:pPr>
              <w:spacing w:line="400" w:lineRule="exact"/>
              <w:rPr>
                <w:b/>
                <w:bCs/>
                <w:color w:val="000000"/>
                <w:kern w:val="0"/>
                <w:szCs w:val="21"/>
              </w:rPr>
            </w:pPr>
            <w:r>
              <w:rPr>
                <w:b/>
                <w:bCs/>
                <w:color w:val="000000"/>
                <w:kern w:val="0"/>
                <w:szCs w:val="21"/>
              </w:rPr>
              <w:t>大禾塘街道：</w:t>
            </w:r>
          </w:p>
          <w:p>
            <w:pPr>
              <w:spacing w:line="400" w:lineRule="exact"/>
              <w:rPr>
                <w:color w:val="000000"/>
                <w:szCs w:val="21"/>
              </w:rPr>
            </w:pPr>
            <w:r>
              <w:rPr>
                <w:b/>
                <w:bCs/>
                <w:szCs w:val="21"/>
              </w:rPr>
              <w:t>环境质量底线：</w:t>
            </w:r>
            <w:r>
              <w:rPr>
                <w:color w:val="000000"/>
                <w:szCs w:val="21"/>
              </w:rPr>
              <w:t>水环境优先保护区/水环境工业园重点管控区/水环境一般管控区;大气环境受体敏感重点管控区/其他区域;农用地优先保护区/建设用地重点管控区/其他重点管控区/一般管控区;</w:t>
            </w:r>
          </w:p>
          <w:p>
            <w:pPr>
              <w:spacing w:line="400" w:lineRule="exact"/>
              <w:rPr>
                <w:b/>
                <w:bCs/>
                <w:color w:val="000000"/>
                <w:szCs w:val="21"/>
              </w:rPr>
            </w:pPr>
            <w:r>
              <w:rPr>
                <w:b/>
                <w:bCs/>
                <w:color w:val="000000"/>
                <w:szCs w:val="21"/>
              </w:rPr>
              <w:t>两市塘街道：</w:t>
            </w:r>
          </w:p>
          <w:p>
            <w:pPr>
              <w:spacing w:line="400" w:lineRule="exact"/>
              <w:rPr>
                <w:color w:val="000000"/>
                <w:szCs w:val="21"/>
              </w:rPr>
            </w:pPr>
            <w:r>
              <w:rPr>
                <w:b/>
                <w:bCs/>
                <w:szCs w:val="21"/>
              </w:rPr>
              <w:t>环境质量底线：</w:t>
            </w:r>
            <w:r>
              <w:rPr>
                <w:color w:val="000000"/>
                <w:szCs w:val="21"/>
              </w:rPr>
              <w:t>水环境其他重点管控区/水环境工业园区重点管控区/水环境一般管控区;大气环境高排放重点管控区/大气环境受体敏感重点管控区/其他区域;建设用地重点管控区/其他重点管控区/一般管控区;城市化地区/历史文化资源富集区</w:t>
            </w:r>
          </w:p>
          <w:p>
            <w:pPr>
              <w:spacing w:line="400" w:lineRule="exact"/>
              <w:rPr>
                <w:b/>
                <w:bCs/>
                <w:color w:val="000000"/>
                <w:kern w:val="0"/>
                <w:szCs w:val="21"/>
              </w:rPr>
            </w:pPr>
            <w:r>
              <w:rPr>
                <w:b/>
                <w:bCs/>
                <w:color w:val="000000"/>
                <w:kern w:val="0"/>
                <w:szCs w:val="21"/>
              </w:rPr>
              <w:t>牛马司镇：</w:t>
            </w:r>
          </w:p>
          <w:p>
            <w:pPr>
              <w:spacing w:line="400" w:lineRule="exact"/>
              <w:rPr>
                <w:color w:val="000000"/>
                <w:kern w:val="0"/>
                <w:szCs w:val="21"/>
              </w:rPr>
            </w:pPr>
            <w:r>
              <w:rPr>
                <w:b/>
                <w:bCs/>
                <w:szCs w:val="21"/>
              </w:rPr>
              <w:t>环境质量底线：</w:t>
            </w:r>
            <w:r>
              <w:rPr>
                <w:color w:val="000000"/>
                <w:kern w:val="0"/>
                <w:szCs w:val="21"/>
              </w:rPr>
              <w:t>水环境一般管控区;大气环境受体敏感重点管控区/大气环境布局敏感重点管控区/其他区域;农用地优先保护区/建设用地重点管控区/其他重点管控区/一般管控区;城市化地区/历史文化资源富集区/能源资源富集区</w:t>
            </w:r>
          </w:p>
          <w:p>
            <w:pPr>
              <w:spacing w:line="400" w:lineRule="exact"/>
              <w:rPr>
                <w:b/>
                <w:bCs/>
                <w:color w:val="000000"/>
                <w:kern w:val="0"/>
                <w:szCs w:val="21"/>
              </w:rPr>
            </w:pPr>
            <w:r>
              <w:rPr>
                <w:b/>
                <w:bCs/>
                <w:color w:val="000000"/>
                <w:kern w:val="0"/>
                <w:szCs w:val="21"/>
              </w:rPr>
              <w:t>宋家塘街道：</w:t>
            </w:r>
          </w:p>
          <w:p>
            <w:pPr>
              <w:spacing w:line="400" w:lineRule="exact"/>
              <w:rPr>
                <w:color w:val="000000"/>
                <w:kern w:val="0"/>
                <w:szCs w:val="21"/>
              </w:rPr>
            </w:pPr>
            <w:r>
              <w:rPr>
                <w:b/>
                <w:bCs/>
                <w:szCs w:val="21"/>
              </w:rPr>
              <w:t>环境质量底线：</w:t>
            </w:r>
            <w:r>
              <w:rPr>
                <w:color w:val="000000"/>
                <w:kern w:val="0"/>
                <w:szCs w:val="21"/>
              </w:rPr>
              <w:t>水环境工业园区重点管控区/水环境一般管控区;大气环境高排放重点管控区/大气环境受体敏感重点管控区/其他区域;农用地优先保护区/建设用地重点管控区/一般管控区;城市化地区/历史文化资源富集区;高污染燃料禁燃区</w:t>
            </w:r>
          </w:p>
          <w:p>
            <w:pPr>
              <w:spacing w:line="400" w:lineRule="exact"/>
              <w:rPr>
                <w:b/>
                <w:bCs/>
                <w:color w:val="000000"/>
                <w:kern w:val="0"/>
                <w:szCs w:val="21"/>
              </w:rPr>
            </w:pPr>
            <w:r>
              <w:rPr>
                <w:b/>
                <w:bCs/>
                <w:color w:val="000000"/>
                <w:kern w:val="0"/>
                <w:szCs w:val="21"/>
              </w:rPr>
              <w:t>周官桥乡：</w:t>
            </w:r>
          </w:p>
          <w:p>
            <w:pPr>
              <w:spacing w:line="400" w:lineRule="exact"/>
              <w:rPr>
                <w:color w:val="000000"/>
                <w:kern w:val="0"/>
                <w:szCs w:val="21"/>
              </w:rPr>
            </w:pPr>
            <w:r>
              <w:rPr>
                <w:b/>
                <w:bCs/>
                <w:szCs w:val="21"/>
              </w:rPr>
              <w:t>环境质量底线：</w:t>
            </w:r>
            <w:r>
              <w:rPr>
                <w:color w:val="000000"/>
                <w:kern w:val="0"/>
                <w:szCs w:val="21"/>
              </w:rPr>
              <w:t>水环境优先保护区/水环境工业污染重点管控区/水环境一般管控区;大气环境高排放重点管控区/大气环境受体敏感重点管控区/其他区域;农用地优先保护区/建设用地重点管控区/其他重点管控区/一般管控区;农产品主产区</w:t>
            </w:r>
          </w:p>
          <w:p>
            <w:pPr>
              <w:spacing w:line="400" w:lineRule="exact"/>
              <w:rPr>
                <w:b/>
                <w:bCs/>
                <w:color w:val="000000"/>
                <w:kern w:val="0"/>
                <w:szCs w:val="21"/>
              </w:rPr>
            </w:pPr>
            <w:r>
              <w:rPr>
                <w:rFonts w:hint="eastAsia"/>
                <w:b/>
                <w:bCs/>
                <w:color w:val="000000"/>
                <w:kern w:val="0"/>
                <w:szCs w:val="21"/>
                <w:lang w:eastAsia="zh-CN"/>
              </w:rPr>
              <w:t>黑田铺镇</w:t>
            </w:r>
            <w:r>
              <w:rPr>
                <w:b/>
                <w:bCs/>
                <w:color w:val="000000"/>
                <w:kern w:val="0"/>
                <w:szCs w:val="21"/>
              </w:rPr>
              <w:t>：</w:t>
            </w:r>
          </w:p>
          <w:p>
            <w:pPr>
              <w:spacing w:line="400" w:lineRule="exact"/>
              <w:rPr>
                <w:color w:val="000000"/>
                <w:szCs w:val="21"/>
              </w:rPr>
            </w:pPr>
            <w:r>
              <w:rPr>
                <w:b/>
                <w:bCs/>
                <w:szCs w:val="21"/>
              </w:rPr>
              <w:t>生态红线：</w:t>
            </w:r>
            <w:r>
              <w:rPr>
                <w:color w:val="000000"/>
                <w:kern w:val="0"/>
                <w:szCs w:val="21"/>
              </w:rPr>
              <w:t>一般生态空间、水源涵养重要区/水土流失敏感区/生物多样性保护功能重要区</w:t>
            </w:r>
          </w:p>
          <w:p>
            <w:pPr>
              <w:spacing w:line="400" w:lineRule="exact"/>
              <w:rPr>
                <w:color w:val="000000"/>
                <w:kern w:val="0"/>
                <w:szCs w:val="21"/>
              </w:rPr>
            </w:pPr>
            <w:r>
              <w:rPr>
                <w:b/>
                <w:bCs/>
                <w:szCs w:val="21"/>
              </w:rPr>
              <w:t>环境质量底线：</w:t>
            </w:r>
            <w:r>
              <w:rPr>
                <w:color w:val="000000"/>
                <w:kern w:val="0"/>
                <w:szCs w:val="21"/>
              </w:rPr>
              <w:t>水环境一般管控区;大气环境高排放重点管控区/大气环境受体敏感重点管控区/其他区域;农用地优先保护区/建设用地重点管控区/其他重点管控区/一般管控区;城市化地区;高污染燃料禁燃区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47" w:type="pct"/>
            <w:vAlign w:val="center"/>
          </w:tcPr>
          <w:p>
            <w:pPr>
              <w:widowControl/>
              <w:spacing w:line="400" w:lineRule="exact"/>
              <w:jc w:val="center"/>
              <w:rPr>
                <w:b/>
                <w:color w:val="000000"/>
                <w:szCs w:val="21"/>
              </w:rPr>
            </w:pPr>
            <w:r>
              <w:rPr>
                <w:b/>
                <w:color w:val="000000"/>
                <w:szCs w:val="21"/>
              </w:rPr>
              <w:t>管控维度</w:t>
            </w:r>
          </w:p>
        </w:tc>
        <w:tc>
          <w:tcPr>
            <w:tcW w:w="3659" w:type="pct"/>
            <w:gridSpan w:val="9"/>
            <w:vAlign w:val="center"/>
          </w:tcPr>
          <w:p>
            <w:pPr>
              <w:spacing w:line="400" w:lineRule="exact"/>
              <w:jc w:val="center"/>
              <w:rPr>
                <w:b/>
                <w:color w:val="000000"/>
                <w:szCs w:val="21"/>
              </w:rPr>
            </w:pPr>
            <w:r>
              <w:rPr>
                <w:b/>
                <w:color w:val="000000"/>
                <w:kern w:val="0"/>
                <w:szCs w:val="21"/>
              </w:rPr>
              <w:t>管控要求</w:t>
            </w:r>
          </w:p>
        </w:tc>
        <w:tc>
          <w:tcPr>
            <w:tcW w:w="1092"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pPr>
              <w:widowControl/>
              <w:spacing w:line="360" w:lineRule="exact"/>
              <w:jc w:val="center"/>
              <w:rPr>
                <w:color w:val="000000"/>
                <w:szCs w:val="21"/>
              </w:rPr>
            </w:pPr>
            <w:r>
              <w:rPr>
                <w:color w:val="000000"/>
                <w:szCs w:val="21"/>
              </w:rPr>
              <w:t>空间布局约束</w:t>
            </w:r>
          </w:p>
        </w:tc>
        <w:tc>
          <w:tcPr>
            <w:tcW w:w="3659" w:type="pct"/>
            <w:gridSpan w:val="9"/>
            <w:vAlign w:val="center"/>
          </w:tcPr>
          <w:p>
            <w:pPr>
              <w:tabs>
                <w:tab w:val="left" w:pos="1021"/>
              </w:tabs>
              <w:spacing w:line="36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（1.4）严禁城市周边面山可视范围内、公路和河流两侧、自然保护区等生态敏感地区的私挖乱采。</w:t>
            </w:r>
          </w:p>
        </w:tc>
        <w:tc>
          <w:tcPr>
            <w:tcW w:w="1092" w:type="pct"/>
            <w:gridSpan w:val="2"/>
            <w:vMerge w:val="restart"/>
            <w:vAlign w:val="center"/>
          </w:tcPr>
          <w:p>
            <w:pPr>
              <w:tabs>
                <w:tab w:val="left" w:pos="1021"/>
              </w:tabs>
              <w:spacing w:line="360" w:lineRule="exac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（1.2）（1.4）（2.1.1）（2.3）（3.1）（3.2）（3.3）（4.1.1）（4.1.2）（4.1.3）《邵东市“十四五”生态环境保护规划》（2021-2025）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pPr>
              <w:widowControl/>
              <w:spacing w:line="360" w:lineRule="exact"/>
              <w:jc w:val="center"/>
              <w:rPr>
                <w:color w:val="000000"/>
                <w:szCs w:val="21"/>
              </w:rPr>
            </w:pPr>
            <w:r>
              <w:rPr>
                <w:color w:val="000000"/>
                <w:szCs w:val="21"/>
              </w:rPr>
              <w:t>污染物排放管控</w:t>
            </w:r>
          </w:p>
        </w:tc>
        <w:tc>
          <w:tcPr>
            <w:tcW w:w="3659" w:type="pct"/>
            <w:gridSpan w:val="9"/>
            <w:vAlign w:val="center"/>
          </w:tcPr>
          <w:p>
            <w:pPr>
              <w:tabs>
                <w:tab w:val="left" w:pos="1021"/>
              </w:tabs>
              <w:spacing w:line="36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36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36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36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1092" w:type="pct"/>
            <w:gridSpan w:val="2"/>
            <w:vMerge w:val="continue"/>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pPr>
              <w:widowControl/>
              <w:spacing w:line="360" w:lineRule="exact"/>
              <w:jc w:val="center"/>
              <w:rPr>
                <w:color w:val="000000"/>
                <w:szCs w:val="21"/>
              </w:rPr>
            </w:pPr>
            <w:r>
              <w:rPr>
                <w:color w:val="000000"/>
                <w:szCs w:val="21"/>
              </w:rPr>
              <w:t>环境风险防控</w:t>
            </w:r>
          </w:p>
        </w:tc>
        <w:tc>
          <w:tcPr>
            <w:tcW w:w="3659" w:type="pct"/>
            <w:gridSpan w:val="9"/>
            <w:vAlign w:val="center"/>
          </w:tcPr>
          <w:p>
            <w:pPr>
              <w:pStyle w:val="9"/>
              <w:spacing w:line="360" w:lineRule="exact"/>
              <w:ind w:left="0" w:leftChars="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pStyle w:val="9"/>
              <w:spacing w:line="360" w:lineRule="exact"/>
              <w:ind w:left="0" w:leftChars="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p>
          <w:p>
            <w:pPr>
              <w:pStyle w:val="9"/>
              <w:spacing w:line="360" w:lineRule="exact"/>
              <w:ind w:left="0" w:leftChars="0" w:firstLine="0" w:firstLineChars="0"/>
              <w:rPr>
                <w:color w:val="000000" w:themeColor="text1"/>
                <w:szCs w:val="21"/>
                <w14:textFill>
                  <w14:solidFill>
                    <w14:schemeClr w14:val="tx1"/>
                  </w14:solidFill>
                </w14:textFill>
              </w:rPr>
            </w:pPr>
            <w:r>
              <w:t>（3.3）强化受污染耕地管控，建立健全受污染耕地安全利用长效机制。</w:t>
            </w:r>
          </w:p>
        </w:tc>
        <w:tc>
          <w:tcPr>
            <w:tcW w:w="1092" w:type="pct"/>
            <w:gridSpan w:val="2"/>
            <w:vMerge w:val="continue"/>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7" w:type="pct"/>
            <w:vAlign w:val="center"/>
          </w:tcPr>
          <w:p>
            <w:pPr>
              <w:widowControl/>
              <w:spacing w:line="400" w:lineRule="exact"/>
              <w:jc w:val="center"/>
              <w:rPr>
                <w:color w:val="000000"/>
                <w:szCs w:val="21"/>
              </w:rPr>
            </w:pPr>
            <w:r>
              <w:rPr>
                <w:color w:val="000000"/>
                <w:szCs w:val="21"/>
              </w:rPr>
              <w:t>资源开发效率要求</w:t>
            </w:r>
          </w:p>
        </w:tc>
        <w:tc>
          <w:tcPr>
            <w:tcW w:w="3659" w:type="pct"/>
            <w:gridSpan w:val="9"/>
          </w:tcPr>
          <w:p>
            <w:pPr>
              <w:tabs>
                <w:tab w:val="left" w:pos="1021"/>
              </w:tabs>
              <w:spacing w:line="400" w:lineRule="exact"/>
              <w:rPr>
                <w:color w:val="000000"/>
                <w:szCs w:val="21"/>
              </w:rPr>
            </w:pPr>
            <w:r>
              <w:rPr>
                <w:color w:val="000000" w:themeColor="text1"/>
                <w:szCs w:val="21"/>
                <w14:textFill>
                  <w14:solidFill>
                    <w14:schemeClr w14:val="tx1"/>
                  </w14:solidFill>
                </w14:textFill>
              </w:rPr>
              <w:t>（4.1）能源：</w:t>
            </w:r>
          </w:p>
          <w:p>
            <w:pPr>
              <w:tabs>
                <w:tab w:val="left" w:pos="1021"/>
              </w:tabs>
              <w:spacing w:line="40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大禾塘街道耕地保有量为2.98万亩，永久基本农田保护面积为2.08万亩；两市塘街道耕地保有量为1.78万亩，永久基本农田保护面积为1.07万亩；牛马司镇耕地保有量为4.59万亩，永久基本农田保护面积为4.26万亩；宋家塘街道耕地保有量为1.30万亩，永久基本农田保护面积为1.03万亩；周官桥乡耕地保有量为2.47万亩，永久基本农田保护面积为2.18万亩；黑田铺镇耕地保有量为4.54万亩，永久基本农田保护面积为4.07万亩。</w:t>
            </w:r>
          </w:p>
          <w:p>
            <w:pPr>
              <w:tabs>
                <w:tab w:val="left" w:pos="1021"/>
              </w:tabs>
              <w:spacing w:line="400" w:lineRule="exact"/>
              <w:rPr>
                <w:color w:val="000000"/>
                <w:szCs w:val="21"/>
              </w:rPr>
            </w:pPr>
          </w:p>
        </w:tc>
        <w:tc>
          <w:tcPr>
            <w:tcW w:w="1092" w:type="pct"/>
            <w:gridSpan w:val="2"/>
            <w:vMerge w:val="continue"/>
            <w:vAlign w:val="center"/>
          </w:tcPr>
          <w:p>
            <w:pPr>
              <w:spacing w:line="400" w:lineRule="exact"/>
            </w:pPr>
          </w:p>
        </w:tc>
      </w:tr>
    </w:tbl>
    <w:p>
      <w:pPr>
        <w:rPr>
          <w:color w:val="000000"/>
        </w:rPr>
      </w:pPr>
    </w:p>
    <w:p>
      <w:pPr>
        <w:rPr>
          <w:color w:val="000000"/>
        </w:rPr>
      </w:pPr>
    </w:p>
    <w:p>
      <w:pPr>
        <w:widowControl/>
        <w:jc w:val="left"/>
        <w:rPr>
          <w:color w:val="000000"/>
        </w:rPr>
      </w:pPr>
      <w:r>
        <w:rPr>
          <w:color w:val="000000"/>
        </w:rPr>
        <w:br w:type="page"/>
      </w:r>
    </w:p>
    <w:p>
      <w:pPr>
        <w:rPr>
          <w:color w:val="000000"/>
        </w:rPr>
      </w:pPr>
    </w:p>
    <w:tbl>
      <w:tblPr>
        <w:tblStyle w:val="10"/>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32"/>
        <w:gridCol w:w="574"/>
        <w:gridCol w:w="550"/>
        <w:gridCol w:w="639"/>
        <w:gridCol w:w="843"/>
        <w:gridCol w:w="988"/>
        <w:gridCol w:w="1290"/>
        <w:gridCol w:w="1588"/>
        <w:gridCol w:w="1874"/>
        <w:gridCol w:w="171"/>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472" w:type="pct"/>
            <w:vMerge w:val="restart"/>
            <w:vAlign w:val="center"/>
          </w:tcPr>
          <w:p>
            <w:pPr>
              <w:widowControl/>
              <w:jc w:val="center"/>
              <w:rPr>
                <w:b/>
                <w:color w:val="000000"/>
                <w:kern w:val="0"/>
                <w:szCs w:val="21"/>
              </w:rPr>
            </w:pPr>
            <w:r>
              <w:rPr>
                <w:b/>
                <w:color w:val="000000"/>
                <w:kern w:val="0"/>
                <w:szCs w:val="21"/>
              </w:rPr>
              <w:t>单元名称</w:t>
            </w:r>
          </w:p>
        </w:tc>
        <w:tc>
          <w:tcPr>
            <w:tcW w:w="624" w:type="pct"/>
            <w:gridSpan w:val="3"/>
            <w:vAlign w:val="center"/>
          </w:tcPr>
          <w:p>
            <w:pPr>
              <w:widowControl/>
              <w:jc w:val="center"/>
              <w:rPr>
                <w:b/>
                <w:color w:val="000000"/>
                <w:kern w:val="0"/>
                <w:szCs w:val="21"/>
              </w:rPr>
            </w:pPr>
            <w:r>
              <w:rPr>
                <w:b/>
                <w:color w:val="000000"/>
                <w:kern w:val="0"/>
                <w:szCs w:val="21"/>
              </w:rPr>
              <w:t>行政区划</w:t>
            </w:r>
          </w:p>
        </w:tc>
        <w:tc>
          <w:tcPr>
            <w:tcW w:w="299" w:type="pct"/>
            <w:vMerge w:val="restart"/>
            <w:vAlign w:val="center"/>
          </w:tcPr>
          <w:p>
            <w:pPr>
              <w:widowControl/>
              <w:jc w:val="center"/>
              <w:rPr>
                <w:b/>
                <w:color w:val="000000"/>
                <w:kern w:val="0"/>
                <w:szCs w:val="21"/>
              </w:rPr>
            </w:pPr>
            <w:r>
              <w:rPr>
                <w:b/>
                <w:color w:val="000000"/>
                <w:kern w:val="0"/>
                <w:szCs w:val="21"/>
              </w:rPr>
              <w:t>单元分类</w:t>
            </w:r>
          </w:p>
        </w:tc>
        <w:tc>
          <w:tcPr>
            <w:tcW w:w="350"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57" w:type="pct"/>
            <w:vMerge w:val="restart"/>
            <w:vAlign w:val="center"/>
          </w:tcPr>
          <w:p>
            <w:pPr>
              <w:jc w:val="center"/>
              <w:rPr>
                <w:b/>
                <w:color w:val="000000"/>
                <w:kern w:val="0"/>
                <w:szCs w:val="21"/>
              </w:rPr>
            </w:pPr>
            <w:r>
              <w:rPr>
                <w:b/>
                <w:color w:val="000000"/>
                <w:kern w:val="0"/>
                <w:szCs w:val="21"/>
              </w:rPr>
              <w:t>涉及乡镇(街道)</w:t>
            </w:r>
          </w:p>
        </w:tc>
        <w:tc>
          <w:tcPr>
            <w:tcW w:w="563" w:type="pct"/>
            <w:vMerge w:val="restart"/>
            <w:vAlign w:val="center"/>
          </w:tcPr>
          <w:p>
            <w:pPr>
              <w:jc w:val="center"/>
              <w:rPr>
                <w:b/>
                <w:color w:val="000000"/>
                <w:kern w:val="0"/>
                <w:szCs w:val="21"/>
              </w:rPr>
            </w:pPr>
            <w:r>
              <w:rPr>
                <w:b/>
                <w:color w:val="000000"/>
                <w:kern w:val="0"/>
                <w:szCs w:val="21"/>
              </w:rPr>
              <w:t>主体功能定位</w:t>
            </w:r>
          </w:p>
        </w:tc>
        <w:tc>
          <w:tcPr>
            <w:tcW w:w="664" w:type="pct"/>
            <w:vMerge w:val="restart"/>
            <w:vAlign w:val="center"/>
          </w:tcPr>
          <w:p>
            <w:pPr>
              <w:jc w:val="center"/>
              <w:rPr>
                <w:b/>
                <w:color w:val="000000"/>
                <w:kern w:val="0"/>
                <w:szCs w:val="21"/>
              </w:rPr>
            </w:pPr>
            <w:r>
              <w:rPr>
                <w:b/>
                <w:color w:val="000000"/>
                <w:kern w:val="0"/>
                <w:szCs w:val="21"/>
              </w:rPr>
              <w:t>经济产业布局</w:t>
            </w:r>
          </w:p>
        </w:tc>
        <w:tc>
          <w:tcPr>
            <w:tcW w:w="1306"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3" w:type="pct"/>
            <w:vMerge w:val="continue"/>
            <w:vAlign w:val="center"/>
          </w:tcPr>
          <w:p/>
        </w:tc>
        <w:tc>
          <w:tcPr>
            <w:tcW w:w="472" w:type="pct"/>
            <w:vMerge w:val="continue"/>
            <w:vAlign w:val="center"/>
          </w:tcPr>
          <w:p/>
        </w:tc>
        <w:tc>
          <w:tcPr>
            <w:tcW w:w="203" w:type="pct"/>
            <w:vAlign w:val="center"/>
          </w:tcPr>
          <w:p>
            <w:pPr>
              <w:jc w:val="center"/>
              <w:rPr>
                <w:b/>
                <w:color w:val="000000"/>
                <w:szCs w:val="21"/>
              </w:rPr>
            </w:pPr>
            <w:r>
              <w:rPr>
                <w:b/>
                <w:color w:val="000000"/>
                <w:szCs w:val="21"/>
              </w:rPr>
              <w:t>省</w:t>
            </w:r>
          </w:p>
        </w:tc>
        <w:tc>
          <w:tcPr>
            <w:tcW w:w="194" w:type="pct"/>
            <w:vAlign w:val="center"/>
          </w:tcPr>
          <w:p>
            <w:pPr>
              <w:jc w:val="center"/>
              <w:rPr>
                <w:b/>
                <w:color w:val="000000"/>
                <w:szCs w:val="21"/>
              </w:rPr>
            </w:pPr>
            <w:r>
              <w:rPr>
                <w:b/>
                <w:color w:val="000000"/>
                <w:szCs w:val="21"/>
              </w:rPr>
              <w:t>市</w:t>
            </w:r>
          </w:p>
        </w:tc>
        <w:tc>
          <w:tcPr>
            <w:tcW w:w="226" w:type="pct"/>
            <w:vAlign w:val="center"/>
          </w:tcPr>
          <w:p>
            <w:pPr>
              <w:jc w:val="center"/>
              <w:rPr>
                <w:b/>
                <w:color w:val="000000"/>
                <w:szCs w:val="21"/>
              </w:rPr>
            </w:pPr>
            <w:r>
              <w:rPr>
                <w:b/>
                <w:color w:val="000000"/>
                <w:szCs w:val="21"/>
              </w:rPr>
              <w:t>县</w:t>
            </w:r>
          </w:p>
        </w:tc>
        <w:tc>
          <w:tcPr>
            <w:tcW w:w="299" w:type="pct"/>
            <w:vMerge w:val="continue"/>
            <w:vAlign w:val="center"/>
          </w:tcPr>
          <w:p/>
        </w:tc>
        <w:tc>
          <w:tcPr>
            <w:tcW w:w="350" w:type="pct"/>
            <w:vMerge w:val="continue"/>
            <w:vAlign w:val="center"/>
          </w:tcPr>
          <w:p/>
        </w:tc>
        <w:tc>
          <w:tcPr>
            <w:tcW w:w="457" w:type="pct"/>
            <w:vMerge w:val="continue"/>
            <w:vAlign w:val="center"/>
          </w:tcPr>
          <w:p/>
        </w:tc>
        <w:tc>
          <w:tcPr>
            <w:tcW w:w="563" w:type="pct"/>
            <w:vMerge w:val="continue"/>
            <w:vAlign w:val="center"/>
          </w:tcPr>
          <w:p/>
        </w:tc>
        <w:tc>
          <w:tcPr>
            <w:tcW w:w="664" w:type="pct"/>
            <w:vMerge w:val="continue"/>
            <w:vAlign w:val="center"/>
          </w:tcPr>
          <w:p/>
        </w:tc>
        <w:tc>
          <w:tcPr>
            <w:tcW w:w="1306"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widowControl/>
              <w:jc w:val="center"/>
              <w:rPr>
                <w:color w:val="000000"/>
                <w:kern w:val="0"/>
                <w:szCs w:val="21"/>
              </w:rPr>
            </w:pPr>
            <w:r>
              <w:rPr>
                <w:color w:val="000000"/>
                <w:kern w:val="0"/>
                <w:szCs w:val="21"/>
              </w:rPr>
              <w:t>ZH43052130001</w:t>
            </w:r>
          </w:p>
        </w:tc>
        <w:tc>
          <w:tcPr>
            <w:tcW w:w="472" w:type="pct"/>
            <w:vAlign w:val="center"/>
          </w:tcPr>
          <w:p>
            <w:pPr>
              <w:widowControl/>
              <w:jc w:val="center"/>
              <w:rPr>
                <w:color w:val="000000"/>
                <w:kern w:val="0"/>
                <w:szCs w:val="21"/>
              </w:rPr>
            </w:pPr>
            <w:r>
              <w:rPr>
                <w:color w:val="000000"/>
                <w:szCs w:val="21"/>
              </w:rPr>
              <w:t>火厂坪镇/流光岭镇/流泽镇/砂石镇/团山镇/周官桥乡</w:t>
            </w:r>
          </w:p>
        </w:tc>
        <w:tc>
          <w:tcPr>
            <w:tcW w:w="203" w:type="pct"/>
            <w:vAlign w:val="center"/>
          </w:tcPr>
          <w:p>
            <w:pPr>
              <w:widowControl/>
              <w:jc w:val="center"/>
              <w:rPr>
                <w:color w:val="000000"/>
                <w:kern w:val="0"/>
                <w:szCs w:val="21"/>
              </w:rPr>
            </w:pPr>
            <w:r>
              <w:rPr>
                <w:color w:val="000000"/>
                <w:kern w:val="0"/>
                <w:szCs w:val="21"/>
              </w:rPr>
              <w:t>湖南省</w:t>
            </w:r>
          </w:p>
        </w:tc>
        <w:tc>
          <w:tcPr>
            <w:tcW w:w="194" w:type="pct"/>
            <w:vAlign w:val="center"/>
          </w:tcPr>
          <w:p>
            <w:pPr>
              <w:widowControl/>
              <w:jc w:val="center"/>
              <w:rPr>
                <w:color w:val="000000"/>
                <w:kern w:val="0"/>
                <w:szCs w:val="21"/>
              </w:rPr>
            </w:pPr>
            <w:r>
              <w:rPr>
                <w:color w:val="000000"/>
                <w:kern w:val="0"/>
                <w:szCs w:val="21"/>
              </w:rPr>
              <w:t>邵阳市</w:t>
            </w:r>
          </w:p>
        </w:tc>
        <w:tc>
          <w:tcPr>
            <w:tcW w:w="226" w:type="pct"/>
            <w:vAlign w:val="center"/>
          </w:tcPr>
          <w:p>
            <w:pPr>
              <w:widowControl/>
              <w:jc w:val="center"/>
              <w:rPr>
                <w:color w:val="000000"/>
                <w:kern w:val="0"/>
                <w:szCs w:val="21"/>
              </w:rPr>
            </w:pPr>
            <w:r>
              <w:rPr>
                <w:color w:val="000000"/>
                <w:kern w:val="0"/>
                <w:szCs w:val="21"/>
              </w:rPr>
              <w:t>邵东市</w:t>
            </w:r>
          </w:p>
        </w:tc>
        <w:tc>
          <w:tcPr>
            <w:tcW w:w="299" w:type="pct"/>
            <w:vAlign w:val="center"/>
          </w:tcPr>
          <w:p>
            <w:pPr>
              <w:widowControl/>
              <w:jc w:val="center"/>
              <w:rPr>
                <w:color w:val="000000"/>
                <w:kern w:val="0"/>
                <w:szCs w:val="21"/>
              </w:rPr>
            </w:pPr>
            <w:r>
              <w:rPr>
                <w:color w:val="000000"/>
                <w:kern w:val="0"/>
                <w:szCs w:val="21"/>
              </w:rPr>
              <w:t>一般管控单元</w:t>
            </w:r>
          </w:p>
        </w:tc>
        <w:tc>
          <w:tcPr>
            <w:tcW w:w="350" w:type="pct"/>
            <w:vAlign w:val="center"/>
          </w:tcPr>
          <w:p>
            <w:pPr>
              <w:widowControl/>
              <w:jc w:val="center"/>
              <w:rPr>
                <w:color w:val="000000"/>
                <w:kern w:val="0"/>
                <w:szCs w:val="21"/>
              </w:rPr>
            </w:pPr>
            <w:r>
              <w:rPr>
                <w:color w:val="000000"/>
                <w:kern w:val="0"/>
                <w:szCs w:val="21"/>
              </w:rPr>
              <w:t>356.19</w:t>
            </w:r>
          </w:p>
        </w:tc>
        <w:tc>
          <w:tcPr>
            <w:tcW w:w="457" w:type="pct"/>
            <w:vAlign w:val="center"/>
          </w:tcPr>
          <w:p>
            <w:pPr>
              <w:jc w:val="center"/>
              <w:rPr>
                <w:color w:val="000000"/>
                <w:szCs w:val="21"/>
              </w:rPr>
            </w:pPr>
            <w:r>
              <w:rPr>
                <w:color w:val="000000"/>
                <w:szCs w:val="21"/>
              </w:rPr>
              <w:t>火厂坪镇/流光岭镇/流泽镇/砂石镇/团山镇/周官桥乡</w:t>
            </w:r>
          </w:p>
        </w:tc>
        <w:tc>
          <w:tcPr>
            <w:tcW w:w="563" w:type="pct"/>
            <w:vAlign w:val="center"/>
          </w:tcPr>
          <w:p>
            <w:pPr>
              <w:jc w:val="left"/>
              <w:rPr>
                <w:color w:val="000000" w:themeColor="text1"/>
                <w:szCs w:val="21"/>
                <w14:textFill>
                  <w14:solidFill>
                    <w14:schemeClr w14:val="tx1"/>
                  </w14:solidFill>
                </w14:textFill>
              </w:rPr>
            </w:pPr>
            <w:r>
              <w:rPr>
                <w:b/>
                <w:bCs/>
                <w:color w:val="000000"/>
                <w:szCs w:val="21"/>
              </w:rPr>
              <w:t>火厂坪镇：</w:t>
            </w:r>
            <w:r>
              <w:rPr>
                <w:color w:val="000000" w:themeColor="text1"/>
                <w:szCs w:val="21"/>
                <w14:textFill>
                  <w14:solidFill>
                    <w14:schemeClr w14:val="tx1"/>
                  </w14:solidFill>
                </w14:textFill>
              </w:rPr>
              <w:t>城市化地区</w:t>
            </w:r>
          </w:p>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流光岭镇/周官桥乡</w:t>
            </w:r>
            <w:r>
              <w:rPr>
                <w:color w:val="000000" w:themeColor="text1"/>
                <w:szCs w:val="21"/>
                <w14:textFill>
                  <w14:solidFill>
                    <w14:schemeClr w14:val="tx1"/>
                  </w14:solidFill>
                </w14:textFill>
              </w:rPr>
              <w:t>：农产品主产区</w:t>
            </w:r>
          </w:p>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流泽镇</w:t>
            </w:r>
            <w:r>
              <w:rPr>
                <w:color w:val="000000" w:themeColor="text1"/>
                <w:szCs w:val="21"/>
                <w14:textFill>
                  <w14:solidFill>
                    <w14:schemeClr w14:val="tx1"/>
                  </w14:solidFill>
                </w14:textFill>
              </w:rPr>
              <w:t>：重点生态功能区</w:t>
            </w:r>
          </w:p>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砂石镇</w:t>
            </w:r>
            <w:r>
              <w:rPr>
                <w:color w:val="000000" w:themeColor="text1"/>
                <w:szCs w:val="21"/>
                <w14:textFill>
                  <w14:solidFill>
                    <w14:schemeClr w14:val="tx1"/>
                  </w14:solidFill>
                </w14:textFill>
              </w:rPr>
              <w:t>：农产品主产区/能源资源富集区</w:t>
            </w:r>
          </w:p>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团山镇</w:t>
            </w:r>
            <w:r>
              <w:rPr>
                <w:color w:val="000000" w:themeColor="text1"/>
                <w:szCs w:val="21"/>
                <w14:textFill>
                  <w14:solidFill>
                    <w14:schemeClr w14:val="tx1"/>
                  </w14:solidFill>
                </w14:textFill>
              </w:rPr>
              <w:t>：城市化地区</w:t>
            </w:r>
          </w:p>
          <w:p>
            <w:pPr>
              <w:jc w:val="center"/>
              <w:rPr>
                <w:color w:val="000000"/>
                <w:szCs w:val="21"/>
              </w:rPr>
            </w:pPr>
          </w:p>
        </w:tc>
        <w:tc>
          <w:tcPr>
            <w:tcW w:w="664" w:type="pct"/>
          </w:tcPr>
          <w:p>
            <w:pPr>
              <w:widowControl/>
              <w:jc w:val="left"/>
              <w:rPr>
                <w:b/>
                <w:bCs/>
                <w:color w:val="000000"/>
                <w:szCs w:val="21"/>
              </w:rPr>
            </w:pPr>
            <w:r>
              <w:rPr>
                <w:rFonts w:hint="eastAsia"/>
                <w:color w:val="000000"/>
                <w:kern w:val="0"/>
                <w:szCs w:val="21"/>
                <w:highlight w:val="none"/>
              </w:rPr>
              <w:t>农业种植、休闲农业、畜禽养殖、农副产品加工、食品加工、电子信息、打火机生产</w:t>
            </w:r>
            <w:r>
              <w:rPr>
                <w:rFonts w:hint="eastAsia"/>
                <w:color w:val="000000"/>
                <w:kern w:val="0"/>
                <w:szCs w:val="21"/>
                <w:highlight w:val="none"/>
                <w:lang w:val="en-US" w:eastAsia="zh-CN"/>
              </w:rPr>
              <w:t>制造</w:t>
            </w:r>
            <w:r>
              <w:rPr>
                <w:rFonts w:hint="eastAsia"/>
                <w:color w:val="000000"/>
                <w:kern w:val="0"/>
                <w:szCs w:val="21"/>
                <w:highlight w:val="none"/>
              </w:rPr>
              <w:t>、五金、铸造、铝制品加工、竹木加工、机电设备制造、制鞋、服装加工、建筑材料制造、废旧资源利用、中药饮片加工、橡胶制品、塑料制品、家具制造、康养产业、教育产业</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光伏、风电、新能源、储能、煤炭采选等</w:t>
            </w:r>
          </w:p>
        </w:tc>
        <w:tc>
          <w:tcPr>
            <w:tcW w:w="1306" w:type="pct"/>
            <w:gridSpan w:val="2"/>
            <w:vAlign w:val="center"/>
          </w:tcPr>
          <w:p>
            <w:pPr>
              <w:widowControl/>
              <w:rPr>
                <w:b/>
                <w:color w:val="000000"/>
                <w:kern w:val="0"/>
                <w:szCs w:val="21"/>
              </w:rPr>
            </w:pPr>
            <w:r>
              <w:rPr>
                <w:b/>
                <w:color w:val="000000"/>
                <w:kern w:val="0"/>
                <w:szCs w:val="21"/>
              </w:rPr>
              <w:t>主要环境问题：</w:t>
            </w:r>
          </w:p>
          <w:p>
            <w:pPr>
              <w:widowControl/>
              <w:numPr>
                <w:ilvl w:val="255"/>
                <w:numId w:val="0"/>
              </w:numPr>
              <w:rPr>
                <w:b/>
                <w:bCs/>
                <w:color w:val="000000"/>
                <w:szCs w:val="21"/>
              </w:rPr>
            </w:pPr>
            <w:r>
              <w:rPr>
                <w:b/>
                <w:bCs/>
                <w:color w:val="000000"/>
                <w:szCs w:val="21"/>
              </w:rPr>
              <w:t>火厂坪镇、流光岭镇、流泽镇：砂石镇、周官桥乡：</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r>
              <w:rPr>
                <w:rFonts w:hint="eastAsia"/>
                <w:color w:val="000000"/>
                <w:kern w:val="0"/>
                <w:szCs w:val="21"/>
              </w:rPr>
              <w:t>。</w:t>
            </w:r>
          </w:p>
          <w:p>
            <w:pPr>
              <w:widowControl/>
              <w:numPr>
                <w:ilvl w:val="255"/>
                <w:numId w:val="0"/>
              </w:numPr>
              <w:rPr>
                <w:b/>
                <w:bCs/>
                <w:color w:val="000000"/>
                <w:szCs w:val="21"/>
              </w:rPr>
            </w:pPr>
            <w:r>
              <w:rPr>
                <w:b/>
                <w:bCs/>
                <w:color w:val="000000"/>
                <w:szCs w:val="21"/>
              </w:rPr>
              <w:t>团山镇：</w:t>
            </w:r>
            <w:r>
              <w:rPr>
                <w:color w:val="000000"/>
                <w:kern w:val="0"/>
                <w:szCs w:val="21"/>
              </w:rPr>
              <w:t>农村面源污染未得到有效治理；部分企业地块土壤污染，部分历史遗留的煤矿退出后矿涌水污染未得到治理。</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p>
            <w:pPr>
              <w:widowControl/>
              <w:rPr>
                <w:b/>
                <w:color w:val="000000"/>
                <w:kern w:val="0"/>
                <w:szCs w:val="21"/>
              </w:rPr>
            </w:pPr>
            <w:r>
              <w:rPr>
                <w:b/>
                <w:color w:val="000000"/>
                <w:kern w:val="0"/>
                <w:szCs w:val="21"/>
              </w:rPr>
              <w:t>重要敏感目标：</w:t>
            </w:r>
          </w:p>
          <w:p>
            <w:pPr>
              <w:widowControl/>
              <w:numPr>
                <w:ilvl w:val="255"/>
                <w:numId w:val="0"/>
              </w:numPr>
              <w:rPr>
                <w:b/>
                <w:color w:val="000000"/>
                <w:kern w:val="0"/>
                <w:szCs w:val="21"/>
              </w:rPr>
            </w:pPr>
            <w:r>
              <w:rPr>
                <w:b/>
                <w:bCs/>
                <w:color w:val="000000"/>
                <w:szCs w:val="21"/>
              </w:rPr>
              <w:t>周官桥乡：</w:t>
            </w:r>
            <w:r>
              <w:rPr>
                <w:color w:val="000000"/>
                <w:szCs w:val="21"/>
              </w:rPr>
              <w:t>邵阳市邵东县桐江饮用水水源保护区（汇水）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widowControl/>
              <w:spacing w:line="440" w:lineRule="exact"/>
              <w:jc w:val="center"/>
              <w:rPr>
                <w:b/>
                <w:color w:val="000000"/>
                <w:kern w:val="0"/>
                <w:szCs w:val="21"/>
              </w:rPr>
            </w:pPr>
            <w:r>
              <w:rPr>
                <w:b/>
                <w:color w:val="000000"/>
                <w:kern w:val="0"/>
                <w:szCs w:val="21"/>
              </w:rPr>
              <w:t>主要属性</w:t>
            </w:r>
          </w:p>
        </w:tc>
        <w:tc>
          <w:tcPr>
            <w:tcW w:w="4736" w:type="pct"/>
            <w:gridSpan w:val="11"/>
            <w:vAlign w:val="center"/>
          </w:tcPr>
          <w:p>
            <w:pPr>
              <w:spacing w:line="440" w:lineRule="exact"/>
              <w:rPr>
                <w:b/>
                <w:bCs/>
                <w:color w:val="000000"/>
                <w:szCs w:val="21"/>
              </w:rPr>
            </w:pPr>
            <w:r>
              <w:rPr>
                <w:b/>
                <w:bCs/>
                <w:color w:val="000000"/>
                <w:szCs w:val="21"/>
              </w:rPr>
              <w:t>火厂坪镇：</w:t>
            </w:r>
          </w:p>
          <w:p>
            <w:pPr>
              <w:spacing w:line="440" w:lineRule="exact"/>
              <w:rPr>
                <w:color w:val="000000"/>
                <w:szCs w:val="21"/>
              </w:rPr>
            </w:pPr>
            <w:r>
              <w:rPr>
                <w:b/>
                <w:bCs/>
                <w:szCs w:val="21"/>
              </w:rPr>
              <w:t>生态红线：</w:t>
            </w:r>
            <w:r>
              <w:rPr>
                <w:color w:val="000000"/>
                <w:szCs w:val="21"/>
              </w:rPr>
              <w:t>一般生态空间/水源涵养重要区/原生态红线/水土流失敏感区</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szCs w:val="21"/>
              </w:rPr>
            </w:pPr>
            <w:r>
              <w:rPr>
                <w:b/>
                <w:bCs/>
                <w:szCs w:val="21"/>
              </w:rPr>
              <w:t>环境质量底线：</w:t>
            </w:r>
            <w:r>
              <w:rPr>
                <w:color w:val="000000"/>
                <w:szCs w:val="21"/>
              </w:rPr>
              <w:t>水环境一般管控区;大气环境优先保护区/大气环境高排放重点管控区/大气环境受体敏感重点管控区/其他区域;农用地优先保护区/建设用地重点管控区/其他重点管控区/一般管控区;城市化地区;高污染燃料禁燃区</w:t>
            </w:r>
          </w:p>
          <w:p>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000000"/>
                <w:szCs w:val="21"/>
              </w:rPr>
            </w:pPr>
            <w:r>
              <w:rPr>
                <w:b/>
                <w:bCs/>
                <w:color w:val="000000"/>
                <w:szCs w:val="21"/>
              </w:rPr>
              <w:t>流光岭镇：</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szCs w:val="21"/>
              </w:rPr>
            </w:pPr>
            <w:r>
              <w:rPr>
                <w:b/>
                <w:bCs/>
                <w:szCs w:val="21"/>
              </w:rPr>
              <w:t>环境质量底线：</w:t>
            </w:r>
            <w:r>
              <w:rPr>
                <w:color w:val="000000"/>
                <w:szCs w:val="21"/>
              </w:rPr>
              <w:t>水环境一般管控区;大气环境受体敏感重点管控区/其他区域;农用地优先保护区/建设用地重点管控区/其他重点管控区/一般管控区;农产品主产区</w:t>
            </w:r>
          </w:p>
          <w:p>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000000"/>
                <w:szCs w:val="21"/>
              </w:rPr>
            </w:pPr>
            <w:r>
              <w:rPr>
                <w:b/>
                <w:bCs/>
                <w:color w:val="000000"/>
                <w:szCs w:val="21"/>
              </w:rPr>
              <w:t>流泽镇：</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szCs w:val="21"/>
              </w:rPr>
            </w:pPr>
            <w:r>
              <w:rPr>
                <w:b/>
                <w:bCs/>
                <w:szCs w:val="21"/>
              </w:rPr>
              <w:t>环境质量底线：</w:t>
            </w:r>
            <w:r>
              <w:rPr>
                <w:color w:val="000000"/>
                <w:szCs w:val="21"/>
              </w:rPr>
              <w:t>水环境一般管控区;大气环境受体敏感重点管控区/其他区域;农用地优先保护区/建设用地重点管控区/其他重点管控区/一般管控区;重点生态功能区</w:t>
            </w:r>
          </w:p>
          <w:p>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000000"/>
                <w:szCs w:val="21"/>
              </w:rPr>
            </w:pPr>
            <w:r>
              <w:rPr>
                <w:b/>
                <w:bCs/>
                <w:color w:val="000000"/>
                <w:szCs w:val="21"/>
              </w:rPr>
              <w:t>砂石镇：</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szCs w:val="21"/>
              </w:rPr>
            </w:pPr>
            <w:r>
              <w:rPr>
                <w:b/>
                <w:bCs/>
                <w:szCs w:val="21"/>
              </w:rPr>
              <w:t>环境质量底线：</w:t>
            </w:r>
            <w:r>
              <w:rPr>
                <w:color w:val="000000"/>
                <w:szCs w:val="21"/>
              </w:rPr>
              <w:t>水环境一般管控区;大气环境受体敏感重点管控区/其他区域;农用地优先保护区/建设用地重点管控区/其他重点管控区/一般管控区;农产品主产区/能源资源富集区</w:t>
            </w:r>
          </w:p>
          <w:p>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000000"/>
                <w:szCs w:val="21"/>
              </w:rPr>
            </w:pPr>
            <w:r>
              <w:rPr>
                <w:b/>
                <w:bCs/>
                <w:color w:val="000000"/>
                <w:szCs w:val="21"/>
              </w:rPr>
              <w:t>团山镇：</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szCs w:val="21"/>
              </w:rPr>
            </w:pPr>
            <w:r>
              <w:rPr>
                <w:b/>
                <w:bCs/>
                <w:szCs w:val="21"/>
              </w:rPr>
              <w:t>环境质量底线：</w:t>
            </w:r>
            <w:r>
              <w:rPr>
                <w:color w:val="000000"/>
                <w:szCs w:val="21"/>
              </w:rPr>
              <w:t>水环境一般管控区;大气环境高排放重点管控区/大气环境受体敏感重点管控区/其他区域;农用地优先保护区/建设用地重点管控区/一般管控区;城市化地区</w:t>
            </w:r>
          </w:p>
          <w:p>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000000"/>
                <w:szCs w:val="21"/>
              </w:rPr>
            </w:pPr>
            <w:r>
              <w:rPr>
                <w:b/>
                <w:bCs/>
                <w:color w:val="000000"/>
                <w:szCs w:val="21"/>
              </w:rPr>
              <w:t>周官桥乡：</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szCs w:val="21"/>
              </w:rPr>
            </w:pPr>
            <w:r>
              <w:rPr>
                <w:b/>
                <w:bCs/>
                <w:szCs w:val="21"/>
              </w:rPr>
              <w:t>环境质量底线：</w:t>
            </w:r>
            <w:r>
              <w:rPr>
                <w:color w:val="000000"/>
                <w:kern w:val="0"/>
                <w:szCs w:val="21"/>
              </w:rPr>
              <w:t>水环境优先保护区/水环境工业污染重点管控区/水环境一般管控区;大气环境高排放重点管控区/大气环境受体敏感重点管控区/其他区域;农用地优先保护区/建设用地重点管控区/其他重点管控区/一般管控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widowControl/>
              <w:spacing w:line="440" w:lineRule="exact"/>
              <w:jc w:val="center"/>
              <w:rPr>
                <w:b/>
                <w:color w:val="000000"/>
                <w:szCs w:val="21"/>
              </w:rPr>
            </w:pPr>
            <w:r>
              <w:rPr>
                <w:b/>
                <w:color w:val="000000"/>
                <w:szCs w:val="21"/>
              </w:rPr>
              <w:t>管控维度</w:t>
            </w:r>
          </w:p>
        </w:tc>
        <w:tc>
          <w:tcPr>
            <w:tcW w:w="3490" w:type="pct"/>
            <w:gridSpan w:val="10"/>
            <w:vAlign w:val="center"/>
          </w:tcPr>
          <w:p>
            <w:pPr>
              <w:spacing w:line="440" w:lineRule="exact"/>
              <w:jc w:val="center"/>
              <w:rPr>
                <w:b/>
                <w:color w:val="000000"/>
                <w:szCs w:val="21"/>
              </w:rPr>
            </w:pPr>
            <w:r>
              <w:rPr>
                <w:b/>
                <w:color w:val="000000"/>
                <w:kern w:val="0"/>
                <w:szCs w:val="21"/>
              </w:rPr>
              <w:t>管控要求</w:t>
            </w:r>
          </w:p>
        </w:tc>
        <w:tc>
          <w:tcPr>
            <w:tcW w:w="1246" w:type="pct"/>
            <w:vAlign w:val="center"/>
          </w:tcPr>
          <w:p>
            <w:pPr>
              <w:spacing w:line="44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263" w:type="pct"/>
            <w:vAlign w:val="center"/>
          </w:tcPr>
          <w:p>
            <w:pPr>
              <w:widowControl/>
              <w:spacing w:line="440" w:lineRule="exact"/>
              <w:jc w:val="center"/>
              <w:rPr>
                <w:color w:val="000000"/>
                <w:szCs w:val="21"/>
              </w:rPr>
            </w:pPr>
            <w:r>
              <w:rPr>
                <w:color w:val="000000"/>
                <w:szCs w:val="21"/>
              </w:rPr>
              <w:t>空间布局约束</w:t>
            </w:r>
          </w:p>
        </w:tc>
        <w:tc>
          <w:tcPr>
            <w:tcW w:w="3490" w:type="pct"/>
            <w:gridSpan w:val="10"/>
            <w:vAlign w:val="center"/>
          </w:tcPr>
          <w:p>
            <w:pPr>
              <w:tabs>
                <w:tab w:val="left" w:pos="1021"/>
              </w:tabs>
              <w:spacing w:line="44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（1.4）严禁城市周边面山可视范围内、公路和河流两侧、自然保护区等生态敏感地区的私挖乱采。</w:t>
            </w:r>
          </w:p>
        </w:tc>
        <w:tc>
          <w:tcPr>
            <w:tcW w:w="1246" w:type="pct"/>
            <w:vMerge w:val="restart"/>
            <w:vAlign w:val="center"/>
          </w:tcPr>
          <w:p>
            <w:pPr>
              <w:tabs>
                <w:tab w:val="left" w:pos="1021"/>
              </w:tabs>
              <w:spacing w:line="440" w:lineRule="exac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4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263" w:type="pct"/>
            <w:vAlign w:val="center"/>
          </w:tcPr>
          <w:p>
            <w:pPr>
              <w:widowControl/>
              <w:spacing w:line="440" w:lineRule="exact"/>
              <w:jc w:val="center"/>
              <w:rPr>
                <w:color w:val="000000"/>
                <w:szCs w:val="21"/>
              </w:rPr>
            </w:pPr>
            <w:r>
              <w:rPr>
                <w:color w:val="000000"/>
                <w:szCs w:val="21"/>
              </w:rPr>
              <w:t>污染物排放管控</w:t>
            </w:r>
          </w:p>
        </w:tc>
        <w:tc>
          <w:tcPr>
            <w:tcW w:w="3490" w:type="pct"/>
            <w:gridSpan w:val="10"/>
            <w:vAlign w:val="center"/>
          </w:tcPr>
          <w:p>
            <w:pPr>
              <w:tabs>
                <w:tab w:val="left" w:pos="1021"/>
              </w:tabs>
              <w:spacing w:line="44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44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44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（2.3）固体废弃物：推动塑料污染全链条治理，强化生活垃圾分类管理。</w:t>
            </w:r>
          </w:p>
        </w:tc>
        <w:tc>
          <w:tcPr>
            <w:tcW w:w="1246" w:type="pct"/>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widowControl/>
              <w:spacing w:line="440" w:lineRule="exact"/>
              <w:jc w:val="center"/>
              <w:rPr>
                <w:color w:val="000000"/>
                <w:szCs w:val="21"/>
              </w:rPr>
            </w:pPr>
            <w:r>
              <w:rPr>
                <w:color w:val="000000"/>
                <w:szCs w:val="21"/>
              </w:rPr>
              <w:t>环境风险防控</w:t>
            </w:r>
          </w:p>
        </w:tc>
        <w:tc>
          <w:tcPr>
            <w:tcW w:w="3490" w:type="pct"/>
            <w:gridSpan w:val="10"/>
            <w:vAlign w:val="center"/>
          </w:tcPr>
          <w:p>
            <w:pPr>
              <w:tabs>
                <w:tab w:val="left" w:pos="1021"/>
              </w:tabs>
              <w:spacing w:line="440" w:lineRule="exact"/>
              <w:rPr>
                <w:color w:val="000000" w:themeColor="text1"/>
                <w:szCs w:val="21"/>
                <w14:textFill>
                  <w14:solidFill>
                    <w14:schemeClr w14:val="tx1"/>
                  </w14:solidFill>
                </w14:textFill>
              </w:rPr>
            </w:pPr>
            <w:r>
              <w:rPr>
                <w:szCs w:val="21"/>
              </w:rPr>
              <w:t>（3.1）按省级、市级生态环境准入总体清单中与环境风险防控相关条文执行。</w:t>
            </w:r>
          </w:p>
        </w:tc>
        <w:tc>
          <w:tcPr>
            <w:tcW w:w="1246" w:type="pct"/>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Align w:val="center"/>
          </w:tcPr>
          <w:p>
            <w:pPr>
              <w:widowControl/>
              <w:spacing w:line="440" w:lineRule="exact"/>
              <w:jc w:val="center"/>
              <w:rPr>
                <w:color w:val="000000"/>
                <w:szCs w:val="21"/>
              </w:rPr>
            </w:pPr>
            <w:r>
              <w:rPr>
                <w:color w:val="000000"/>
                <w:szCs w:val="21"/>
              </w:rPr>
              <w:t>资源开发效率要求</w:t>
            </w:r>
          </w:p>
        </w:tc>
        <w:tc>
          <w:tcPr>
            <w:tcW w:w="3490" w:type="pct"/>
            <w:gridSpan w:val="10"/>
            <w:vAlign w:val="top"/>
          </w:tcPr>
          <w:p>
            <w:pPr>
              <w:tabs>
                <w:tab w:val="left" w:pos="1021"/>
              </w:tabs>
              <w:spacing w:line="440" w:lineRule="exact"/>
              <w:rPr>
                <w:color w:val="000000"/>
                <w:szCs w:val="21"/>
              </w:rPr>
            </w:pPr>
            <w:r>
              <w:rPr>
                <w:color w:val="000000" w:themeColor="text1"/>
                <w:szCs w:val="21"/>
                <w14:textFill>
                  <w14:solidFill>
                    <w14:schemeClr w14:val="tx1"/>
                  </w14:solidFill>
                </w14:textFill>
              </w:rPr>
              <w:t>（4.1）能源：</w:t>
            </w:r>
          </w:p>
          <w:p>
            <w:pPr>
              <w:keepNext w:val="0"/>
              <w:keepLines w:val="0"/>
              <w:pageBreakBefore w:val="0"/>
              <w:widowControl w:val="0"/>
              <w:tabs>
                <w:tab w:val="left" w:pos="1021"/>
              </w:tabs>
              <w:kinsoku/>
              <w:wordWrap/>
              <w:overflowPunct/>
              <w:topLinePunct w:val="0"/>
              <w:autoSpaceDE/>
              <w:autoSpaceDN/>
              <w:bidi w:val="0"/>
              <w:adjustRightInd/>
              <w:snapToGrid/>
              <w:spacing w:line="400" w:lineRule="exact"/>
              <w:ind w:firstLine="420" w:firstLineChars="200"/>
              <w:textAlignment w:val="auto"/>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keepNext w:val="0"/>
              <w:keepLines w:val="0"/>
              <w:pageBreakBefore w:val="0"/>
              <w:widowControl w:val="0"/>
              <w:tabs>
                <w:tab w:val="left" w:pos="1021"/>
              </w:tabs>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keepNext w:val="0"/>
              <w:keepLines w:val="0"/>
              <w:pageBreakBefore w:val="0"/>
              <w:widowControl w:val="0"/>
              <w:tabs>
                <w:tab w:val="left" w:pos="1021"/>
              </w:tabs>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keepNext w:val="0"/>
              <w:keepLines w:val="0"/>
              <w:pageBreakBefore w:val="0"/>
              <w:widowControl w:val="0"/>
              <w:tabs>
                <w:tab w:val="left" w:pos="1021"/>
              </w:tabs>
              <w:kinsoku/>
              <w:wordWrap/>
              <w:overflowPunct/>
              <w:topLinePunct w:val="0"/>
              <w:autoSpaceDE/>
              <w:autoSpaceDN/>
              <w:bidi w:val="0"/>
              <w:adjustRightInd/>
              <w:snapToGrid/>
              <w:spacing w:line="40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keepNext w:val="0"/>
              <w:keepLines w:val="0"/>
              <w:pageBreakBefore w:val="0"/>
              <w:widowControl w:val="0"/>
              <w:tabs>
                <w:tab w:val="left" w:pos="1021"/>
              </w:tabs>
              <w:kinsoku/>
              <w:wordWrap/>
              <w:overflowPunct/>
              <w:topLinePunct w:val="0"/>
              <w:autoSpaceDE/>
              <w:autoSpaceDN/>
              <w:bidi w:val="0"/>
              <w:adjustRightInd/>
              <w:snapToGrid/>
              <w:spacing w:line="400" w:lineRule="exact"/>
              <w:textAlignment w:val="auto"/>
              <w:rPr>
                <w:color w:val="000000"/>
                <w:szCs w:val="21"/>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火厂坪镇耕地保有量为4.69万亩，永久基本农田保护面积为4.43万亩；流光岭镇耕地保有量为2.50万亩，永久基本农田保护面积为2.37万亩；流泽镇耕地保有量为2.22万亩，永久基本农田保护面积为2.08万亩；砂石镇耕地保有量为2.12万亩，永久基本农田保护面积为1.99万亩；团山镇耕地保有量为6.21万亩，永久基本农田保护面积为5.88万亩；周官桥乡耕地保有量为2.47万亩，永久基本农田保护面积为2.18万亩。</w:t>
            </w:r>
          </w:p>
        </w:tc>
        <w:tc>
          <w:tcPr>
            <w:tcW w:w="1246" w:type="pct"/>
            <w:vMerge w:val="continue"/>
            <w:vAlign w:val="center"/>
          </w:tcPr>
          <w:p>
            <w:pPr>
              <w:spacing w:line="440" w:lineRule="exact"/>
            </w:pPr>
          </w:p>
        </w:tc>
      </w:tr>
    </w:tbl>
    <w:p>
      <w:pPr>
        <w:widowControl/>
        <w:spacing w:line="440" w:lineRule="exact"/>
        <w:rPr>
          <w:color w:val="000000"/>
          <w:szCs w:val="21"/>
        </w:rPr>
      </w:pPr>
      <w:r>
        <w:rPr>
          <w:color w:val="000000"/>
          <w:szCs w:val="21"/>
        </w:rPr>
        <w:br w:type="page"/>
      </w:r>
    </w:p>
    <w:tbl>
      <w:tblPr>
        <w:tblStyle w:val="10"/>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44"/>
        <w:gridCol w:w="441"/>
        <w:gridCol w:w="581"/>
        <w:gridCol w:w="547"/>
        <w:gridCol w:w="976"/>
        <w:gridCol w:w="991"/>
        <w:gridCol w:w="1482"/>
        <w:gridCol w:w="1758"/>
        <w:gridCol w:w="1251"/>
        <w:gridCol w:w="69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724" w:type="pct"/>
            <w:vMerge w:val="restart"/>
            <w:vAlign w:val="center"/>
          </w:tcPr>
          <w:p>
            <w:pPr>
              <w:widowControl/>
              <w:jc w:val="center"/>
              <w:rPr>
                <w:b/>
                <w:color w:val="000000"/>
                <w:kern w:val="0"/>
                <w:szCs w:val="21"/>
              </w:rPr>
            </w:pPr>
            <w:r>
              <w:rPr>
                <w:b/>
                <w:color w:val="000000"/>
                <w:kern w:val="0"/>
                <w:szCs w:val="21"/>
              </w:rPr>
              <w:t>单元名称</w:t>
            </w:r>
          </w:p>
        </w:tc>
        <w:tc>
          <w:tcPr>
            <w:tcW w:w="556" w:type="pct"/>
            <w:gridSpan w:val="3"/>
            <w:vAlign w:val="center"/>
          </w:tcPr>
          <w:p>
            <w:pPr>
              <w:widowControl/>
              <w:jc w:val="center"/>
              <w:rPr>
                <w:b/>
                <w:color w:val="000000"/>
                <w:kern w:val="0"/>
                <w:szCs w:val="21"/>
              </w:rPr>
            </w:pPr>
            <w:r>
              <w:rPr>
                <w:b/>
                <w:color w:val="000000"/>
                <w:kern w:val="0"/>
                <w:szCs w:val="21"/>
              </w:rPr>
              <w:t>行政区划</w:t>
            </w:r>
          </w:p>
        </w:tc>
        <w:tc>
          <w:tcPr>
            <w:tcW w:w="346" w:type="pct"/>
            <w:vMerge w:val="restart"/>
            <w:vAlign w:val="center"/>
          </w:tcPr>
          <w:p>
            <w:pPr>
              <w:widowControl/>
              <w:jc w:val="center"/>
              <w:rPr>
                <w:b/>
                <w:color w:val="000000"/>
                <w:kern w:val="0"/>
                <w:szCs w:val="21"/>
              </w:rPr>
            </w:pPr>
            <w:r>
              <w:rPr>
                <w:b/>
                <w:color w:val="000000"/>
                <w:kern w:val="0"/>
                <w:szCs w:val="21"/>
              </w:rPr>
              <w:t>单元分类</w:t>
            </w:r>
          </w:p>
        </w:tc>
        <w:tc>
          <w:tcPr>
            <w:tcW w:w="351"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525" w:type="pct"/>
            <w:vMerge w:val="restart"/>
            <w:vAlign w:val="center"/>
          </w:tcPr>
          <w:p>
            <w:pPr>
              <w:jc w:val="center"/>
              <w:rPr>
                <w:b/>
                <w:color w:val="000000"/>
                <w:kern w:val="0"/>
                <w:szCs w:val="21"/>
              </w:rPr>
            </w:pPr>
            <w:r>
              <w:rPr>
                <w:b/>
                <w:color w:val="000000"/>
                <w:kern w:val="0"/>
                <w:szCs w:val="21"/>
              </w:rPr>
              <w:t>涉及乡镇(街道)</w:t>
            </w:r>
          </w:p>
        </w:tc>
        <w:tc>
          <w:tcPr>
            <w:tcW w:w="622" w:type="pct"/>
            <w:vMerge w:val="restart"/>
            <w:vAlign w:val="center"/>
          </w:tcPr>
          <w:p>
            <w:pPr>
              <w:jc w:val="center"/>
              <w:rPr>
                <w:b/>
                <w:color w:val="000000"/>
                <w:kern w:val="0"/>
                <w:szCs w:val="21"/>
              </w:rPr>
            </w:pPr>
            <w:r>
              <w:rPr>
                <w:b/>
                <w:color w:val="000000"/>
                <w:kern w:val="0"/>
                <w:szCs w:val="21"/>
              </w:rPr>
              <w:t>主体功能定位</w:t>
            </w:r>
          </w:p>
        </w:tc>
        <w:tc>
          <w:tcPr>
            <w:tcW w:w="689" w:type="pct"/>
            <w:gridSpan w:val="2"/>
            <w:vMerge w:val="restart"/>
            <w:vAlign w:val="center"/>
          </w:tcPr>
          <w:p>
            <w:pPr>
              <w:jc w:val="center"/>
              <w:rPr>
                <w:b/>
                <w:color w:val="000000"/>
                <w:kern w:val="0"/>
                <w:szCs w:val="21"/>
              </w:rPr>
            </w:pPr>
            <w:r>
              <w:rPr>
                <w:b/>
                <w:color w:val="000000"/>
                <w:kern w:val="0"/>
                <w:szCs w:val="21"/>
              </w:rPr>
              <w:t>经济产业布局</w:t>
            </w:r>
          </w:p>
        </w:tc>
        <w:tc>
          <w:tcPr>
            <w:tcW w:w="916"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8" w:type="pct"/>
            <w:vMerge w:val="continue"/>
            <w:vAlign w:val="center"/>
          </w:tcPr>
          <w:p/>
        </w:tc>
        <w:tc>
          <w:tcPr>
            <w:tcW w:w="724" w:type="pct"/>
            <w:vMerge w:val="continue"/>
            <w:vAlign w:val="center"/>
          </w:tcPr>
          <w:p/>
        </w:tc>
        <w:tc>
          <w:tcPr>
            <w:tcW w:w="156" w:type="pct"/>
            <w:vAlign w:val="center"/>
          </w:tcPr>
          <w:p>
            <w:pPr>
              <w:jc w:val="center"/>
              <w:rPr>
                <w:b/>
                <w:color w:val="000000"/>
                <w:szCs w:val="21"/>
              </w:rPr>
            </w:pPr>
            <w:r>
              <w:rPr>
                <w:b/>
                <w:color w:val="000000"/>
                <w:szCs w:val="21"/>
              </w:rPr>
              <w:t>省</w:t>
            </w:r>
          </w:p>
        </w:tc>
        <w:tc>
          <w:tcPr>
            <w:tcW w:w="205" w:type="pct"/>
            <w:vAlign w:val="center"/>
          </w:tcPr>
          <w:p>
            <w:pPr>
              <w:jc w:val="center"/>
              <w:rPr>
                <w:b/>
                <w:color w:val="000000"/>
                <w:szCs w:val="21"/>
              </w:rPr>
            </w:pPr>
            <w:r>
              <w:rPr>
                <w:b/>
                <w:color w:val="000000"/>
                <w:szCs w:val="21"/>
              </w:rPr>
              <w:t>市</w:t>
            </w:r>
          </w:p>
        </w:tc>
        <w:tc>
          <w:tcPr>
            <w:tcW w:w="194" w:type="pct"/>
            <w:vAlign w:val="center"/>
          </w:tcPr>
          <w:p>
            <w:pPr>
              <w:jc w:val="center"/>
              <w:rPr>
                <w:b/>
                <w:color w:val="000000"/>
                <w:szCs w:val="21"/>
              </w:rPr>
            </w:pPr>
            <w:r>
              <w:rPr>
                <w:b/>
                <w:color w:val="000000"/>
                <w:szCs w:val="21"/>
              </w:rPr>
              <w:t>县</w:t>
            </w:r>
          </w:p>
        </w:tc>
        <w:tc>
          <w:tcPr>
            <w:tcW w:w="346" w:type="pct"/>
            <w:vMerge w:val="continue"/>
            <w:vAlign w:val="center"/>
          </w:tcPr>
          <w:p/>
        </w:tc>
        <w:tc>
          <w:tcPr>
            <w:tcW w:w="351" w:type="pct"/>
            <w:vMerge w:val="continue"/>
            <w:vAlign w:val="center"/>
          </w:tcPr>
          <w:p/>
        </w:tc>
        <w:tc>
          <w:tcPr>
            <w:tcW w:w="525" w:type="pct"/>
            <w:vMerge w:val="continue"/>
            <w:vAlign w:val="center"/>
          </w:tcPr>
          <w:p/>
        </w:tc>
        <w:tc>
          <w:tcPr>
            <w:tcW w:w="622" w:type="pct"/>
            <w:vMerge w:val="continue"/>
            <w:vAlign w:val="center"/>
          </w:tcPr>
          <w:p/>
        </w:tc>
        <w:tc>
          <w:tcPr>
            <w:tcW w:w="689" w:type="pct"/>
            <w:gridSpan w:val="2"/>
            <w:vMerge w:val="continue"/>
            <w:vAlign w:val="center"/>
          </w:tcPr>
          <w:p/>
        </w:tc>
        <w:tc>
          <w:tcPr>
            <w:tcW w:w="916"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jc w:val="center"/>
              <w:rPr>
                <w:color w:val="000000"/>
                <w:kern w:val="0"/>
                <w:szCs w:val="21"/>
              </w:rPr>
            </w:pPr>
            <w:r>
              <w:rPr>
                <w:color w:val="000000"/>
                <w:kern w:val="0"/>
                <w:szCs w:val="21"/>
              </w:rPr>
              <w:t>ZH43052130002</w:t>
            </w:r>
          </w:p>
        </w:tc>
        <w:tc>
          <w:tcPr>
            <w:tcW w:w="724" w:type="pct"/>
            <w:vAlign w:val="center"/>
          </w:tcPr>
          <w:p>
            <w:pPr>
              <w:widowControl/>
              <w:jc w:val="center"/>
              <w:rPr>
                <w:color w:val="000000"/>
                <w:szCs w:val="21"/>
              </w:rPr>
            </w:pPr>
            <w:r>
              <w:rPr>
                <w:color w:val="000000"/>
                <w:szCs w:val="21"/>
              </w:rPr>
              <w:t>黑田铺镇/界岭镇</w:t>
            </w:r>
          </w:p>
          <w:p>
            <w:pPr>
              <w:widowControl/>
              <w:jc w:val="center"/>
              <w:rPr>
                <w:color w:val="000000"/>
                <w:kern w:val="0"/>
                <w:szCs w:val="21"/>
              </w:rPr>
            </w:pPr>
            <w:r>
              <w:rPr>
                <w:color w:val="000000"/>
                <w:szCs w:val="21"/>
              </w:rPr>
              <w:t>/廉桥镇/牛马司镇</w:t>
            </w:r>
          </w:p>
        </w:tc>
        <w:tc>
          <w:tcPr>
            <w:tcW w:w="156" w:type="pct"/>
            <w:vAlign w:val="center"/>
          </w:tcPr>
          <w:p>
            <w:pPr>
              <w:widowControl/>
              <w:jc w:val="center"/>
              <w:rPr>
                <w:color w:val="000000"/>
                <w:kern w:val="0"/>
                <w:szCs w:val="21"/>
              </w:rPr>
            </w:pPr>
            <w:r>
              <w:rPr>
                <w:color w:val="000000"/>
                <w:kern w:val="0"/>
                <w:szCs w:val="21"/>
              </w:rPr>
              <w:t>湖南省</w:t>
            </w:r>
          </w:p>
        </w:tc>
        <w:tc>
          <w:tcPr>
            <w:tcW w:w="205" w:type="pct"/>
            <w:vAlign w:val="center"/>
          </w:tcPr>
          <w:p>
            <w:pPr>
              <w:widowControl/>
              <w:jc w:val="center"/>
              <w:rPr>
                <w:color w:val="000000"/>
                <w:kern w:val="0"/>
                <w:szCs w:val="21"/>
              </w:rPr>
            </w:pPr>
            <w:r>
              <w:rPr>
                <w:color w:val="000000"/>
                <w:kern w:val="0"/>
                <w:szCs w:val="21"/>
              </w:rPr>
              <w:t>邵阳市</w:t>
            </w:r>
          </w:p>
        </w:tc>
        <w:tc>
          <w:tcPr>
            <w:tcW w:w="194" w:type="pct"/>
            <w:vAlign w:val="center"/>
          </w:tcPr>
          <w:p>
            <w:pPr>
              <w:widowControl/>
              <w:jc w:val="center"/>
              <w:rPr>
                <w:color w:val="000000"/>
                <w:kern w:val="0"/>
                <w:szCs w:val="21"/>
              </w:rPr>
            </w:pPr>
            <w:r>
              <w:rPr>
                <w:color w:val="000000"/>
                <w:kern w:val="0"/>
                <w:szCs w:val="21"/>
              </w:rPr>
              <w:t>邵东市</w:t>
            </w:r>
          </w:p>
        </w:tc>
        <w:tc>
          <w:tcPr>
            <w:tcW w:w="346" w:type="pct"/>
            <w:vAlign w:val="center"/>
          </w:tcPr>
          <w:p>
            <w:pPr>
              <w:widowControl/>
              <w:jc w:val="center"/>
              <w:rPr>
                <w:color w:val="000000"/>
                <w:kern w:val="0"/>
                <w:szCs w:val="21"/>
              </w:rPr>
            </w:pPr>
            <w:r>
              <w:rPr>
                <w:color w:val="000000"/>
                <w:kern w:val="0"/>
                <w:szCs w:val="21"/>
              </w:rPr>
              <w:t>一般管控单元</w:t>
            </w:r>
          </w:p>
        </w:tc>
        <w:tc>
          <w:tcPr>
            <w:tcW w:w="351" w:type="pct"/>
            <w:vAlign w:val="center"/>
          </w:tcPr>
          <w:p>
            <w:pPr>
              <w:widowControl/>
              <w:jc w:val="center"/>
              <w:rPr>
                <w:color w:val="000000"/>
                <w:kern w:val="0"/>
                <w:szCs w:val="21"/>
              </w:rPr>
            </w:pPr>
            <w:r>
              <w:rPr>
                <w:color w:val="000000"/>
                <w:kern w:val="0"/>
                <w:szCs w:val="21"/>
              </w:rPr>
              <w:t>309.14</w:t>
            </w:r>
          </w:p>
        </w:tc>
        <w:tc>
          <w:tcPr>
            <w:tcW w:w="525" w:type="pct"/>
            <w:vAlign w:val="center"/>
          </w:tcPr>
          <w:p>
            <w:pPr>
              <w:jc w:val="center"/>
              <w:rPr>
                <w:color w:val="000000"/>
                <w:szCs w:val="21"/>
              </w:rPr>
            </w:pPr>
            <w:r>
              <w:rPr>
                <w:color w:val="000000"/>
                <w:szCs w:val="21"/>
              </w:rPr>
              <w:t>黑田铺镇/界岭镇/廉桥镇/牛马司镇</w:t>
            </w:r>
          </w:p>
        </w:tc>
        <w:tc>
          <w:tcPr>
            <w:tcW w:w="622" w:type="pct"/>
            <w:vAlign w:val="center"/>
          </w:tcPr>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黑田铺镇/廉桥镇：</w:t>
            </w:r>
            <w:r>
              <w:rPr>
                <w:color w:val="000000" w:themeColor="text1"/>
                <w:szCs w:val="21"/>
                <w14:textFill>
                  <w14:solidFill>
                    <w14:schemeClr w14:val="tx1"/>
                  </w14:solidFill>
                </w14:textFill>
              </w:rPr>
              <w:t>城市化地区；</w:t>
            </w:r>
          </w:p>
          <w:p>
            <w:pPr>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界岭镇</w:t>
            </w:r>
            <w:r>
              <w:rPr>
                <w:color w:val="000000" w:themeColor="text1"/>
                <w:szCs w:val="21"/>
                <w14:textFill>
                  <w14:solidFill>
                    <w14:schemeClr w14:val="tx1"/>
                  </w14:solidFill>
                </w14:textFill>
              </w:rPr>
              <w:t>：重点生态功能区；</w:t>
            </w:r>
          </w:p>
          <w:p>
            <w:pPr>
              <w:jc w:val="left"/>
              <w:rPr>
                <w:color w:val="000000"/>
                <w:szCs w:val="21"/>
              </w:rPr>
            </w:pPr>
            <w:r>
              <w:rPr>
                <w:b/>
                <w:bCs/>
                <w:color w:val="000000" w:themeColor="text1"/>
                <w:szCs w:val="21"/>
                <w14:textFill>
                  <w14:solidFill>
                    <w14:schemeClr w14:val="tx1"/>
                  </w14:solidFill>
                </w14:textFill>
              </w:rPr>
              <w:t>牛马司镇</w:t>
            </w:r>
            <w:r>
              <w:rPr>
                <w:color w:val="000000" w:themeColor="text1"/>
                <w:szCs w:val="21"/>
                <w14:textFill>
                  <w14:solidFill>
                    <w14:schemeClr w14:val="tx1"/>
                  </w14:solidFill>
                </w14:textFill>
              </w:rPr>
              <w:t>：城市化地区/历史文化资源富集区/能源资源富集区。</w:t>
            </w:r>
          </w:p>
        </w:tc>
        <w:tc>
          <w:tcPr>
            <w:tcW w:w="689" w:type="pct"/>
            <w:gridSpan w:val="2"/>
          </w:tcPr>
          <w:p>
            <w:pPr>
              <w:widowControl/>
              <w:rPr>
                <w:b/>
                <w:bCs/>
                <w:color w:val="000000"/>
                <w:szCs w:val="21"/>
              </w:rPr>
            </w:pPr>
            <w:r>
              <w:rPr>
                <w:rFonts w:hint="eastAsia"/>
                <w:color w:val="000000"/>
                <w:kern w:val="0"/>
                <w:szCs w:val="21"/>
                <w:highlight w:val="none"/>
              </w:rPr>
              <w:t>农业种植、畜禽养殖、农副产品加工、食品加工、电子信息、打火机生产</w:t>
            </w:r>
            <w:r>
              <w:rPr>
                <w:rFonts w:hint="eastAsia"/>
                <w:color w:val="000000"/>
                <w:kern w:val="0"/>
                <w:szCs w:val="21"/>
                <w:highlight w:val="none"/>
                <w:lang w:val="en-US" w:eastAsia="zh-CN"/>
              </w:rPr>
              <w:t>制造</w:t>
            </w:r>
            <w:r>
              <w:rPr>
                <w:rFonts w:hint="eastAsia"/>
                <w:color w:val="000000"/>
                <w:kern w:val="0"/>
                <w:szCs w:val="21"/>
                <w:highlight w:val="none"/>
              </w:rPr>
              <w:t>、五金、铸造、生态机电设备制造、制鞋、服装加工、建筑材料制造、废旧资源利用、中药饮片加工、橡胶制品、塑料制品、涂料</w:t>
            </w:r>
            <w:r>
              <w:rPr>
                <w:rFonts w:hint="eastAsia"/>
                <w:color w:val="000000"/>
                <w:kern w:val="0"/>
                <w:szCs w:val="21"/>
                <w:highlight w:val="none"/>
                <w:lang w:val="en-US" w:eastAsia="zh-CN"/>
              </w:rPr>
              <w:t>制造、</w:t>
            </w:r>
            <w:r>
              <w:rPr>
                <w:rFonts w:hint="eastAsia"/>
                <w:color w:val="000000"/>
                <w:kern w:val="0"/>
                <w:szCs w:val="21"/>
                <w:highlight w:val="none"/>
              </w:rPr>
              <w:t>油墨制造</w:t>
            </w:r>
            <w:r>
              <w:rPr>
                <w:rFonts w:hint="eastAsia"/>
                <w:color w:val="000000"/>
                <w:kern w:val="0"/>
                <w:szCs w:val="21"/>
                <w:highlight w:val="none"/>
                <w:lang w:eastAsia="zh-CN"/>
              </w:rPr>
              <w:t>、</w:t>
            </w:r>
            <w:r>
              <w:rPr>
                <w:rFonts w:hint="eastAsia"/>
                <w:color w:val="000000"/>
                <w:kern w:val="0"/>
                <w:szCs w:val="21"/>
                <w:highlight w:val="none"/>
              </w:rPr>
              <w:t>家具制造、休闲农业及餐饮、康养产业、教育产业、医药制造</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光伏、风电、新能源、储能、煤炭采选、印刷</w:t>
            </w:r>
            <w:r>
              <w:rPr>
                <w:rFonts w:hint="eastAsia"/>
                <w:color w:val="000000"/>
                <w:kern w:val="0"/>
                <w:szCs w:val="21"/>
                <w:highlight w:val="none"/>
              </w:rPr>
              <w:t>等</w:t>
            </w:r>
          </w:p>
        </w:tc>
        <w:tc>
          <w:tcPr>
            <w:tcW w:w="916" w:type="pct"/>
            <w:vAlign w:val="center"/>
          </w:tcPr>
          <w:p>
            <w:pPr>
              <w:widowControl/>
              <w:rPr>
                <w:b/>
                <w:color w:val="000000"/>
                <w:kern w:val="0"/>
                <w:szCs w:val="21"/>
              </w:rPr>
            </w:pPr>
            <w:r>
              <w:rPr>
                <w:b/>
                <w:color w:val="000000"/>
                <w:kern w:val="0"/>
                <w:szCs w:val="21"/>
              </w:rPr>
              <w:t>主要环境问题：</w:t>
            </w:r>
          </w:p>
          <w:p>
            <w:pPr>
              <w:jc w:val="left"/>
              <w:rPr>
                <w:b/>
                <w:bCs/>
                <w:color w:val="000000"/>
                <w:szCs w:val="21"/>
              </w:rPr>
            </w:pPr>
            <w:r>
              <w:rPr>
                <w:b/>
                <w:bCs/>
                <w:color w:val="000000"/>
                <w:szCs w:val="21"/>
              </w:rPr>
              <w:t>黑田铺镇、界岭镇、廉桥镇、牛马司镇：</w:t>
            </w: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p>
            <w:pPr>
              <w:jc w:val="left"/>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spacing w:line="440" w:lineRule="exact"/>
              <w:jc w:val="center"/>
              <w:rPr>
                <w:b/>
                <w:color w:val="000000"/>
                <w:kern w:val="0"/>
                <w:szCs w:val="21"/>
              </w:rPr>
            </w:pPr>
            <w:r>
              <w:rPr>
                <w:b/>
                <w:color w:val="000000"/>
                <w:kern w:val="0"/>
                <w:szCs w:val="21"/>
              </w:rPr>
              <w:t>主要属性</w:t>
            </w:r>
          </w:p>
        </w:tc>
        <w:tc>
          <w:tcPr>
            <w:tcW w:w="4731" w:type="pct"/>
            <w:gridSpan w:val="11"/>
            <w:vAlign w:val="center"/>
          </w:tcPr>
          <w:p>
            <w:pPr>
              <w:spacing w:line="440" w:lineRule="exact"/>
              <w:rPr>
                <w:b/>
                <w:bCs/>
                <w:color w:val="000000"/>
                <w:kern w:val="0"/>
                <w:szCs w:val="21"/>
              </w:rPr>
            </w:pPr>
            <w:r>
              <w:rPr>
                <w:rFonts w:hint="eastAsia"/>
                <w:b/>
                <w:bCs/>
                <w:color w:val="000000"/>
                <w:kern w:val="0"/>
                <w:szCs w:val="21"/>
                <w:lang w:eastAsia="zh-CN"/>
              </w:rPr>
              <w:t>黑田铺镇</w:t>
            </w:r>
            <w:r>
              <w:rPr>
                <w:b/>
                <w:bCs/>
                <w:color w:val="000000"/>
                <w:kern w:val="0"/>
                <w:szCs w:val="21"/>
              </w:rPr>
              <w:t>：</w:t>
            </w:r>
          </w:p>
          <w:p>
            <w:pPr>
              <w:spacing w:line="440" w:lineRule="exact"/>
              <w:rPr>
                <w:color w:val="000000"/>
                <w:szCs w:val="21"/>
              </w:rPr>
            </w:pPr>
            <w:r>
              <w:rPr>
                <w:b/>
                <w:bCs/>
                <w:szCs w:val="21"/>
              </w:rPr>
              <w:t>生态红线：</w:t>
            </w:r>
            <w:r>
              <w:rPr>
                <w:color w:val="000000"/>
                <w:kern w:val="0"/>
                <w:szCs w:val="21"/>
              </w:rPr>
              <w:t>一般生态空间、水源涵养重要区/水土流失敏感区/生物多样性保护功能重要区</w:t>
            </w:r>
          </w:p>
          <w:p>
            <w:pPr>
              <w:spacing w:line="440" w:lineRule="exact"/>
              <w:rPr>
                <w:color w:val="000000"/>
                <w:kern w:val="0"/>
                <w:szCs w:val="21"/>
              </w:rPr>
            </w:pPr>
            <w:r>
              <w:rPr>
                <w:b/>
                <w:bCs/>
                <w:szCs w:val="21"/>
              </w:rPr>
              <w:t>环境质量底线：</w:t>
            </w:r>
            <w:r>
              <w:rPr>
                <w:color w:val="000000"/>
                <w:kern w:val="0"/>
                <w:szCs w:val="21"/>
              </w:rPr>
              <w:t>水环境一般管控区;大气环境高排放重点管控区/大气环境受体敏感重点管控区/其他区域;农用地优先保护区/建设用地重点管控区/其他重点管控区/一般管控区;城市化地区;高污染燃料禁燃区</w:t>
            </w:r>
          </w:p>
          <w:p>
            <w:pPr>
              <w:spacing w:line="440" w:lineRule="exact"/>
              <w:rPr>
                <w:b/>
                <w:bCs/>
                <w:color w:val="000000"/>
                <w:szCs w:val="21"/>
              </w:rPr>
            </w:pPr>
            <w:r>
              <w:rPr>
                <w:b/>
                <w:bCs/>
                <w:color w:val="000000"/>
                <w:szCs w:val="21"/>
              </w:rPr>
              <w:t>界岭镇：</w:t>
            </w:r>
          </w:p>
          <w:p>
            <w:pPr>
              <w:spacing w:line="440" w:lineRule="exact"/>
              <w:rPr>
                <w:color w:val="000000"/>
                <w:szCs w:val="21"/>
              </w:rPr>
            </w:pPr>
            <w:r>
              <w:rPr>
                <w:b/>
                <w:bCs/>
                <w:szCs w:val="21"/>
              </w:rPr>
              <w:t>生态红线：</w:t>
            </w:r>
            <w:r>
              <w:rPr>
                <w:color w:val="000000"/>
                <w:szCs w:val="21"/>
              </w:rPr>
              <w:t>红线/一般生态空间/三区三线生态红线/水源涵养重要区</w:t>
            </w:r>
          </w:p>
          <w:p>
            <w:pPr>
              <w:spacing w:line="440" w:lineRule="exact"/>
              <w:rPr>
                <w:b/>
                <w:bCs/>
                <w:color w:val="000000"/>
                <w:szCs w:val="21"/>
              </w:rPr>
            </w:pPr>
            <w:r>
              <w:rPr>
                <w:b/>
                <w:bCs/>
                <w:szCs w:val="21"/>
              </w:rPr>
              <w:t>环境质量底线：</w:t>
            </w:r>
            <w:r>
              <w:rPr>
                <w:color w:val="000000"/>
                <w:szCs w:val="21"/>
              </w:rPr>
              <w:t>水环境一般管控区;大气环境受体敏感重点管控区/其他区域;农用地优先保护区/建设用地重点管控区/其他重点管控区/一般管控区;重点生态功能区</w:t>
            </w:r>
          </w:p>
          <w:p>
            <w:pPr>
              <w:spacing w:line="440" w:lineRule="exact"/>
              <w:rPr>
                <w:b/>
                <w:bCs/>
                <w:color w:val="000000"/>
                <w:szCs w:val="21"/>
              </w:rPr>
            </w:pPr>
            <w:r>
              <w:rPr>
                <w:b/>
                <w:bCs/>
                <w:color w:val="000000"/>
                <w:szCs w:val="21"/>
              </w:rPr>
              <w:t>廉桥镇：</w:t>
            </w:r>
          </w:p>
          <w:p>
            <w:pPr>
              <w:spacing w:line="440" w:lineRule="exact"/>
              <w:rPr>
                <w:color w:val="000000"/>
                <w:szCs w:val="21"/>
              </w:rPr>
            </w:pPr>
            <w:r>
              <w:rPr>
                <w:b/>
                <w:bCs/>
                <w:szCs w:val="21"/>
              </w:rPr>
              <w:t>生态红线：</w:t>
            </w:r>
            <w:r>
              <w:rPr>
                <w:color w:val="000000"/>
                <w:szCs w:val="21"/>
              </w:rPr>
              <w:t>红线/一般生态空间/水源涵养重要区/三区三线生态红线/水土流失敏感区/原生态红线/生物多样性保护功能重要区</w:t>
            </w:r>
          </w:p>
          <w:p>
            <w:pPr>
              <w:spacing w:line="440" w:lineRule="exact"/>
              <w:rPr>
                <w:color w:val="000000"/>
                <w:szCs w:val="21"/>
              </w:rPr>
            </w:pPr>
            <w:r>
              <w:rPr>
                <w:b/>
                <w:bCs/>
                <w:szCs w:val="21"/>
              </w:rPr>
              <w:t>环境质量底线：</w:t>
            </w:r>
            <w:r>
              <w:rPr>
                <w:color w:val="000000"/>
                <w:szCs w:val="21"/>
              </w:rPr>
              <w:t>水环境一般管控区;大气环境高排放重点管控区/大气环境受体敏感重点管控区/其他区域;农用地优先保护区/建设用地重点管控区/其他重点管控区/一般管控区;城市化地区;高污染燃料禁燃区</w:t>
            </w:r>
          </w:p>
          <w:p>
            <w:pPr>
              <w:spacing w:line="440" w:lineRule="exact"/>
              <w:rPr>
                <w:b/>
                <w:bCs/>
                <w:color w:val="000000"/>
                <w:szCs w:val="21"/>
              </w:rPr>
            </w:pPr>
            <w:r>
              <w:rPr>
                <w:b/>
                <w:bCs/>
                <w:color w:val="000000"/>
                <w:szCs w:val="21"/>
              </w:rPr>
              <w:t>牛马司镇：</w:t>
            </w:r>
          </w:p>
          <w:p>
            <w:pPr>
              <w:spacing w:line="440" w:lineRule="exact"/>
              <w:rPr>
                <w:color w:val="000000"/>
                <w:szCs w:val="21"/>
              </w:rPr>
            </w:pPr>
            <w:r>
              <w:rPr>
                <w:b/>
                <w:bCs/>
                <w:szCs w:val="21"/>
              </w:rPr>
              <w:t>环境质量底线：</w:t>
            </w:r>
            <w:r>
              <w:rPr>
                <w:color w:val="000000"/>
                <w:szCs w:val="21"/>
              </w:rPr>
              <w:t>水环境一般管控区;大气环境受体敏感重点管控区/大气环境布局敏感重点管控区/其他区域;农用地优先保护区/建设用地重点管控区/其他重点管控区/一般管控区;城市化地区/历史文化资源富集区/能源资源富集区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spacing w:line="440" w:lineRule="exact"/>
              <w:jc w:val="center"/>
              <w:rPr>
                <w:b/>
                <w:color w:val="000000"/>
                <w:szCs w:val="21"/>
              </w:rPr>
            </w:pPr>
            <w:r>
              <w:rPr>
                <w:b/>
                <w:color w:val="000000"/>
                <w:szCs w:val="21"/>
              </w:rPr>
              <w:t>管控维度</w:t>
            </w:r>
          </w:p>
        </w:tc>
        <w:tc>
          <w:tcPr>
            <w:tcW w:w="3568" w:type="pct"/>
            <w:gridSpan w:val="9"/>
            <w:vAlign w:val="center"/>
          </w:tcPr>
          <w:p>
            <w:pPr>
              <w:spacing w:line="440" w:lineRule="exact"/>
              <w:jc w:val="center"/>
              <w:rPr>
                <w:b/>
                <w:color w:val="000000"/>
                <w:szCs w:val="21"/>
              </w:rPr>
            </w:pPr>
            <w:r>
              <w:rPr>
                <w:b/>
                <w:color w:val="000000"/>
                <w:kern w:val="0"/>
                <w:szCs w:val="21"/>
              </w:rPr>
              <w:t>管控要求</w:t>
            </w:r>
          </w:p>
        </w:tc>
        <w:tc>
          <w:tcPr>
            <w:tcW w:w="1163" w:type="pct"/>
            <w:gridSpan w:val="2"/>
            <w:vAlign w:val="center"/>
          </w:tcPr>
          <w:p>
            <w:pPr>
              <w:spacing w:line="44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spacing w:line="440" w:lineRule="exact"/>
              <w:jc w:val="center"/>
              <w:rPr>
                <w:color w:val="000000"/>
                <w:szCs w:val="21"/>
              </w:rPr>
            </w:pPr>
            <w:r>
              <w:rPr>
                <w:color w:val="000000"/>
                <w:szCs w:val="21"/>
              </w:rPr>
              <w:t>空间布局约束</w:t>
            </w:r>
          </w:p>
        </w:tc>
        <w:tc>
          <w:tcPr>
            <w:tcW w:w="3568" w:type="pct"/>
            <w:gridSpan w:val="9"/>
            <w:vAlign w:val="center"/>
          </w:tcPr>
          <w:p>
            <w:pPr>
              <w:tabs>
                <w:tab w:val="left" w:pos="1021"/>
              </w:tabs>
              <w:spacing w:line="44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tc>
        <w:tc>
          <w:tcPr>
            <w:tcW w:w="1163" w:type="pct"/>
            <w:gridSpan w:val="2"/>
            <w:vMerge w:val="restart"/>
            <w:vAlign w:val="center"/>
          </w:tcPr>
          <w:p>
            <w:pPr>
              <w:tabs>
                <w:tab w:val="left" w:pos="1021"/>
              </w:tabs>
              <w:spacing w:line="440" w:lineRule="exac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（1.2）（2.1.1）（2.3）（3.1）（3.2）（3.3）（3.4）（4.1.1）（4.1.2）（4.1.3）《邵东市“十四五”生态环境保护规划》（2021-2025）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4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spacing w:line="440" w:lineRule="exact"/>
              <w:jc w:val="center"/>
              <w:rPr>
                <w:color w:val="000000"/>
                <w:szCs w:val="21"/>
              </w:rPr>
            </w:pPr>
            <w:r>
              <w:rPr>
                <w:color w:val="000000"/>
                <w:szCs w:val="21"/>
              </w:rPr>
              <w:t>污染物排放管控</w:t>
            </w:r>
          </w:p>
        </w:tc>
        <w:tc>
          <w:tcPr>
            <w:tcW w:w="3568" w:type="pct"/>
            <w:gridSpan w:val="9"/>
            <w:vAlign w:val="center"/>
          </w:tcPr>
          <w:p>
            <w:pPr>
              <w:tabs>
                <w:tab w:val="left" w:pos="1021"/>
              </w:tabs>
              <w:spacing w:line="44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44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44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（2.3）固体废弃物：推动塑料污染全链条治理，强化生活垃圾分类管理。</w:t>
            </w:r>
          </w:p>
        </w:tc>
        <w:tc>
          <w:tcPr>
            <w:tcW w:w="1163" w:type="pct"/>
            <w:gridSpan w:val="2"/>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spacing w:line="440" w:lineRule="exact"/>
              <w:jc w:val="center"/>
              <w:rPr>
                <w:color w:val="000000"/>
                <w:szCs w:val="21"/>
              </w:rPr>
            </w:pPr>
            <w:r>
              <w:rPr>
                <w:color w:val="000000"/>
                <w:szCs w:val="21"/>
              </w:rPr>
              <w:t>环境风险防控</w:t>
            </w:r>
          </w:p>
        </w:tc>
        <w:tc>
          <w:tcPr>
            <w:tcW w:w="3568" w:type="pct"/>
            <w:gridSpan w:val="9"/>
            <w:vAlign w:val="center"/>
          </w:tcPr>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p>
          <w:p>
            <w:pPr>
              <w:pStyle w:val="9"/>
              <w:spacing w:line="440" w:lineRule="exact"/>
              <w:ind w:left="0" w:leftChars="0" w:firstLine="0" w:firstLineChars="0"/>
            </w:pPr>
            <w:r>
              <w:t>（3.3）强化受污染耕地管控，建立健全受污染耕地安全利用长效机制。</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（3.4）全面排查尾矿库，分级分类推进尾矿库整治工作，拉条挂账建立问题清单，明确责任主体、治理措施、时限要求等，按照“一库一策”加快实施治理。</w:t>
            </w:r>
          </w:p>
        </w:tc>
        <w:tc>
          <w:tcPr>
            <w:tcW w:w="1163" w:type="pct"/>
            <w:gridSpan w:val="2"/>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widowControl/>
              <w:spacing w:line="440" w:lineRule="exact"/>
              <w:jc w:val="center"/>
              <w:rPr>
                <w:color w:val="000000"/>
                <w:szCs w:val="21"/>
              </w:rPr>
            </w:pPr>
            <w:r>
              <w:rPr>
                <w:color w:val="000000"/>
                <w:szCs w:val="21"/>
              </w:rPr>
              <w:t>资源开发效率要求</w:t>
            </w:r>
          </w:p>
        </w:tc>
        <w:tc>
          <w:tcPr>
            <w:tcW w:w="3568" w:type="pct"/>
            <w:gridSpan w:val="9"/>
          </w:tcPr>
          <w:p>
            <w:pPr>
              <w:tabs>
                <w:tab w:val="left" w:pos="1021"/>
              </w:tabs>
              <w:spacing w:line="440" w:lineRule="exact"/>
              <w:rPr>
                <w:color w:val="000000"/>
                <w:szCs w:val="21"/>
              </w:rPr>
            </w:pPr>
            <w:r>
              <w:rPr>
                <w:color w:val="000000" w:themeColor="text1"/>
                <w:szCs w:val="21"/>
                <w14:textFill>
                  <w14:solidFill>
                    <w14:schemeClr w14:val="tx1"/>
                  </w14:solidFill>
                </w14:textFill>
              </w:rPr>
              <w:t>（4.1）能源：</w:t>
            </w:r>
          </w:p>
          <w:p>
            <w:pPr>
              <w:tabs>
                <w:tab w:val="left" w:pos="1021"/>
              </w:tabs>
              <w:spacing w:line="44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黑田铺镇耕地保有量为4.54万亩，永久基本农田保护面积为4.07万亩；界岭镇耕地保有量为1.86万亩，永久基本农田保护面积为1.72万亩；廉桥镇耕地保有量为4.37万亩，永久基本农田保护面积为4.05万亩；牛马司镇耕地保有量为4.59万亩，永久基本农田保护面积为4.26万亩。</w:t>
            </w:r>
          </w:p>
          <w:p>
            <w:pPr>
              <w:tabs>
                <w:tab w:val="left" w:pos="1021"/>
              </w:tabs>
              <w:spacing w:line="440" w:lineRule="exact"/>
              <w:rPr>
                <w:color w:val="000000"/>
                <w:szCs w:val="21"/>
              </w:rPr>
            </w:pPr>
          </w:p>
        </w:tc>
        <w:tc>
          <w:tcPr>
            <w:tcW w:w="1163" w:type="pct"/>
            <w:gridSpan w:val="2"/>
            <w:vMerge w:val="continue"/>
            <w:vAlign w:val="center"/>
          </w:tcPr>
          <w:p>
            <w:pPr>
              <w:spacing w:line="440" w:lineRule="exact"/>
            </w:pPr>
          </w:p>
        </w:tc>
      </w:tr>
    </w:tbl>
    <w:p>
      <w:pPr>
        <w:rPr>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12"/>
        <w:gridCol w:w="572"/>
        <w:gridCol w:w="572"/>
        <w:gridCol w:w="586"/>
        <w:gridCol w:w="719"/>
        <w:gridCol w:w="1002"/>
        <w:gridCol w:w="1150"/>
        <w:gridCol w:w="1002"/>
        <w:gridCol w:w="2389"/>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6" w:type="pct"/>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577" w:type="pct"/>
            <w:vMerge w:val="restart"/>
            <w:vAlign w:val="center"/>
          </w:tcPr>
          <w:p>
            <w:pPr>
              <w:widowControl/>
              <w:jc w:val="center"/>
              <w:rPr>
                <w:b/>
                <w:color w:val="000000"/>
                <w:kern w:val="0"/>
                <w:szCs w:val="21"/>
              </w:rPr>
            </w:pPr>
            <w:r>
              <w:rPr>
                <w:b/>
                <w:color w:val="000000"/>
                <w:kern w:val="0"/>
                <w:szCs w:val="21"/>
              </w:rPr>
              <w:t>单元名称</w:t>
            </w:r>
          </w:p>
        </w:tc>
        <w:tc>
          <w:tcPr>
            <w:tcW w:w="619" w:type="pct"/>
            <w:gridSpan w:val="3"/>
            <w:vAlign w:val="center"/>
          </w:tcPr>
          <w:p>
            <w:pPr>
              <w:widowControl/>
              <w:jc w:val="center"/>
              <w:rPr>
                <w:b/>
                <w:color w:val="000000"/>
                <w:kern w:val="0"/>
                <w:szCs w:val="21"/>
              </w:rPr>
            </w:pPr>
            <w:r>
              <w:rPr>
                <w:b/>
                <w:color w:val="000000"/>
                <w:kern w:val="0"/>
                <w:szCs w:val="21"/>
              </w:rPr>
              <w:t>行政区划</w:t>
            </w:r>
          </w:p>
        </w:tc>
        <w:tc>
          <w:tcPr>
            <w:tcW w:w="257" w:type="pct"/>
            <w:vMerge w:val="restart"/>
            <w:vAlign w:val="center"/>
          </w:tcPr>
          <w:p>
            <w:pPr>
              <w:widowControl/>
              <w:jc w:val="center"/>
              <w:rPr>
                <w:b/>
                <w:color w:val="000000"/>
                <w:kern w:val="0"/>
                <w:szCs w:val="21"/>
              </w:rPr>
            </w:pPr>
            <w:r>
              <w:rPr>
                <w:b/>
                <w:color w:val="000000"/>
                <w:kern w:val="0"/>
                <w:szCs w:val="21"/>
              </w:rPr>
              <w:t>单元分类</w:t>
            </w:r>
          </w:p>
        </w:tc>
        <w:tc>
          <w:tcPr>
            <w:tcW w:w="358"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11" w:type="pct"/>
            <w:vMerge w:val="restart"/>
            <w:vAlign w:val="center"/>
          </w:tcPr>
          <w:p>
            <w:pPr>
              <w:jc w:val="center"/>
              <w:rPr>
                <w:b/>
                <w:color w:val="000000"/>
                <w:kern w:val="0"/>
                <w:szCs w:val="21"/>
              </w:rPr>
            </w:pPr>
            <w:r>
              <w:rPr>
                <w:b/>
                <w:color w:val="000000"/>
                <w:kern w:val="0"/>
                <w:szCs w:val="21"/>
              </w:rPr>
              <w:t>涉及乡镇(街道)</w:t>
            </w:r>
          </w:p>
        </w:tc>
        <w:tc>
          <w:tcPr>
            <w:tcW w:w="358" w:type="pct"/>
            <w:vMerge w:val="restart"/>
            <w:vAlign w:val="center"/>
          </w:tcPr>
          <w:p>
            <w:pPr>
              <w:jc w:val="center"/>
              <w:rPr>
                <w:b/>
                <w:color w:val="000000"/>
                <w:kern w:val="0"/>
                <w:szCs w:val="21"/>
              </w:rPr>
            </w:pPr>
            <w:r>
              <w:rPr>
                <w:b/>
                <w:color w:val="000000"/>
                <w:kern w:val="0"/>
                <w:szCs w:val="21"/>
              </w:rPr>
              <w:t>主体功能定位</w:t>
            </w:r>
          </w:p>
        </w:tc>
        <w:tc>
          <w:tcPr>
            <w:tcW w:w="855" w:type="pct"/>
            <w:vMerge w:val="restart"/>
            <w:vAlign w:val="center"/>
          </w:tcPr>
          <w:p>
            <w:pPr>
              <w:jc w:val="center"/>
              <w:rPr>
                <w:b/>
                <w:color w:val="000000"/>
                <w:kern w:val="0"/>
                <w:szCs w:val="21"/>
              </w:rPr>
            </w:pPr>
            <w:r>
              <w:rPr>
                <w:b/>
                <w:color w:val="000000"/>
                <w:kern w:val="0"/>
                <w:szCs w:val="21"/>
              </w:rPr>
              <w:t>经济产业布局</w:t>
            </w:r>
          </w:p>
        </w:tc>
        <w:tc>
          <w:tcPr>
            <w:tcW w:w="1263"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6" w:type="pct"/>
            <w:vMerge w:val="continue"/>
            <w:vAlign w:val="center"/>
          </w:tcPr>
          <w:p/>
        </w:tc>
        <w:tc>
          <w:tcPr>
            <w:tcW w:w="577" w:type="pct"/>
            <w:vMerge w:val="continue"/>
            <w:vAlign w:val="center"/>
          </w:tcPr>
          <w:p/>
        </w:tc>
        <w:tc>
          <w:tcPr>
            <w:tcW w:w="205" w:type="pct"/>
            <w:vAlign w:val="center"/>
          </w:tcPr>
          <w:p>
            <w:pPr>
              <w:jc w:val="center"/>
              <w:rPr>
                <w:b/>
                <w:color w:val="000000"/>
                <w:szCs w:val="21"/>
              </w:rPr>
            </w:pPr>
            <w:r>
              <w:rPr>
                <w:b/>
                <w:color w:val="000000"/>
                <w:szCs w:val="21"/>
              </w:rPr>
              <w:t>省</w:t>
            </w:r>
          </w:p>
        </w:tc>
        <w:tc>
          <w:tcPr>
            <w:tcW w:w="205" w:type="pct"/>
            <w:vAlign w:val="center"/>
          </w:tcPr>
          <w:p>
            <w:pPr>
              <w:jc w:val="center"/>
              <w:rPr>
                <w:b/>
                <w:color w:val="000000"/>
                <w:szCs w:val="21"/>
              </w:rPr>
            </w:pPr>
            <w:r>
              <w:rPr>
                <w:b/>
                <w:color w:val="000000"/>
                <w:szCs w:val="21"/>
              </w:rPr>
              <w:t>市</w:t>
            </w:r>
          </w:p>
        </w:tc>
        <w:tc>
          <w:tcPr>
            <w:tcW w:w="209" w:type="pct"/>
            <w:vAlign w:val="center"/>
          </w:tcPr>
          <w:p>
            <w:pPr>
              <w:jc w:val="center"/>
              <w:rPr>
                <w:b/>
                <w:color w:val="000000"/>
                <w:szCs w:val="21"/>
              </w:rPr>
            </w:pPr>
            <w:r>
              <w:rPr>
                <w:b/>
                <w:color w:val="000000"/>
                <w:szCs w:val="21"/>
              </w:rPr>
              <w:t>县</w:t>
            </w:r>
          </w:p>
        </w:tc>
        <w:tc>
          <w:tcPr>
            <w:tcW w:w="257" w:type="pct"/>
            <w:vMerge w:val="continue"/>
            <w:vAlign w:val="center"/>
          </w:tcPr>
          <w:p/>
        </w:tc>
        <w:tc>
          <w:tcPr>
            <w:tcW w:w="358" w:type="pct"/>
            <w:vMerge w:val="continue"/>
            <w:vAlign w:val="center"/>
          </w:tcPr>
          <w:p/>
        </w:tc>
        <w:tc>
          <w:tcPr>
            <w:tcW w:w="411" w:type="pct"/>
            <w:vMerge w:val="continue"/>
            <w:vAlign w:val="center"/>
          </w:tcPr>
          <w:p/>
        </w:tc>
        <w:tc>
          <w:tcPr>
            <w:tcW w:w="358" w:type="pct"/>
            <w:vMerge w:val="continue"/>
            <w:vAlign w:val="center"/>
          </w:tcPr>
          <w:p/>
        </w:tc>
        <w:tc>
          <w:tcPr>
            <w:tcW w:w="855" w:type="pct"/>
            <w:vMerge w:val="continue"/>
            <w:vAlign w:val="center"/>
          </w:tcPr>
          <w:p/>
        </w:tc>
        <w:tc>
          <w:tcPr>
            <w:tcW w:w="126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widowControl/>
              <w:jc w:val="center"/>
              <w:rPr>
                <w:color w:val="000000"/>
                <w:kern w:val="0"/>
                <w:szCs w:val="21"/>
              </w:rPr>
            </w:pPr>
            <w:r>
              <w:rPr>
                <w:color w:val="000000"/>
                <w:kern w:val="0"/>
                <w:szCs w:val="21"/>
              </w:rPr>
              <w:t>ZH43052130005</w:t>
            </w:r>
          </w:p>
        </w:tc>
        <w:tc>
          <w:tcPr>
            <w:tcW w:w="577" w:type="pct"/>
            <w:vAlign w:val="center"/>
          </w:tcPr>
          <w:p>
            <w:pPr>
              <w:widowControl/>
              <w:jc w:val="center"/>
              <w:rPr>
                <w:color w:val="000000"/>
                <w:kern w:val="0"/>
                <w:szCs w:val="21"/>
              </w:rPr>
            </w:pPr>
            <w:r>
              <w:drawing>
                <wp:inline distT="0" distB="0" distL="114300" distR="114300">
                  <wp:extent cx="478790" cy="15240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cstate="print"/>
                          <a:stretch>
                            <a:fillRect/>
                          </a:stretch>
                        </pic:blipFill>
                        <pic:spPr>
                          <a:xfrm>
                            <a:off x="0" y="0"/>
                            <a:ext cx="478790" cy="152400"/>
                          </a:xfrm>
                          <a:prstGeom prst="rect">
                            <a:avLst/>
                          </a:prstGeom>
                          <a:noFill/>
                          <a:ln>
                            <a:noFill/>
                          </a:ln>
                        </pic:spPr>
                      </pic:pic>
                    </a:graphicData>
                  </a:graphic>
                </wp:inline>
              </w:drawing>
            </w:r>
          </w:p>
        </w:tc>
        <w:tc>
          <w:tcPr>
            <w:tcW w:w="205" w:type="pct"/>
            <w:vAlign w:val="center"/>
          </w:tcPr>
          <w:p>
            <w:pPr>
              <w:widowControl/>
              <w:jc w:val="center"/>
              <w:rPr>
                <w:color w:val="000000"/>
                <w:kern w:val="0"/>
                <w:szCs w:val="21"/>
              </w:rPr>
            </w:pPr>
            <w:r>
              <w:rPr>
                <w:color w:val="000000"/>
                <w:kern w:val="0"/>
                <w:szCs w:val="21"/>
              </w:rPr>
              <w:t>湖南省</w:t>
            </w:r>
          </w:p>
        </w:tc>
        <w:tc>
          <w:tcPr>
            <w:tcW w:w="205" w:type="pct"/>
            <w:vAlign w:val="center"/>
          </w:tcPr>
          <w:p>
            <w:pPr>
              <w:widowControl/>
              <w:jc w:val="center"/>
              <w:rPr>
                <w:color w:val="000000"/>
                <w:kern w:val="0"/>
                <w:szCs w:val="21"/>
              </w:rPr>
            </w:pPr>
            <w:r>
              <w:rPr>
                <w:color w:val="000000"/>
                <w:kern w:val="0"/>
                <w:szCs w:val="21"/>
              </w:rPr>
              <w:t>邵阳市</w:t>
            </w:r>
          </w:p>
        </w:tc>
        <w:tc>
          <w:tcPr>
            <w:tcW w:w="209" w:type="pct"/>
            <w:vAlign w:val="center"/>
          </w:tcPr>
          <w:p>
            <w:pPr>
              <w:widowControl/>
              <w:jc w:val="center"/>
              <w:rPr>
                <w:color w:val="000000"/>
                <w:kern w:val="0"/>
                <w:szCs w:val="21"/>
              </w:rPr>
            </w:pPr>
            <w:r>
              <w:rPr>
                <w:color w:val="000000"/>
                <w:kern w:val="0"/>
                <w:szCs w:val="21"/>
              </w:rPr>
              <w:t>邵东市</w:t>
            </w:r>
          </w:p>
        </w:tc>
        <w:tc>
          <w:tcPr>
            <w:tcW w:w="257" w:type="pct"/>
            <w:vAlign w:val="center"/>
          </w:tcPr>
          <w:p>
            <w:pPr>
              <w:widowControl/>
              <w:jc w:val="center"/>
              <w:rPr>
                <w:color w:val="000000"/>
                <w:kern w:val="0"/>
                <w:szCs w:val="21"/>
              </w:rPr>
            </w:pPr>
            <w:r>
              <w:rPr>
                <w:color w:val="000000"/>
                <w:kern w:val="0"/>
                <w:szCs w:val="21"/>
              </w:rPr>
              <w:t>一般保护单元</w:t>
            </w:r>
          </w:p>
        </w:tc>
        <w:tc>
          <w:tcPr>
            <w:tcW w:w="358" w:type="pct"/>
            <w:vAlign w:val="center"/>
          </w:tcPr>
          <w:p>
            <w:pPr>
              <w:widowControl/>
              <w:jc w:val="center"/>
              <w:rPr>
                <w:color w:val="000000"/>
                <w:kern w:val="0"/>
                <w:szCs w:val="21"/>
              </w:rPr>
            </w:pPr>
            <w:r>
              <w:rPr>
                <w:color w:val="000000"/>
                <w:kern w:val="0"/>
                <w:szCs w:val="21"/>
              </w:rPr>
              <w:t>50.55</w:t>
            </w:r>
          </w:p>
        </w:tc>
        <w:tc>
          <w:tcPr>
            <w:tcW w:w="411" w:type="pct"/>
            <w:vAlign w:val="center"/>
          </w:tcPr>
          <w:p>
            <w:pPr>
              <w:jc w:val="center"/>
              <w:rPr>
                <w:color w:val="000000"/>
                <w:szCs w:val="21"/>
              </w:rPr>
            </w:pPr>
            <w:r>
              <w:drawing>
                <wp:inline distT="0" distB="0" distL="114300" distR="114300">
                  <wp:extent cx="478790" cy="1524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cstate="print"/>
                          <a:stretch>
                            <a:fillRect/>
                          </a:stretch>
                        </pic:blipFill>
                        <pic:spPr>
                          <a:xfrm>
                            <a:off x="0" y="0"/>
                            <a:ext cx="478790" cy="152400"/>
                          </a:xfrm>
                          <a:prstGeom prst="rect">
                            <a:avLst/>
                          </a:prstGeom>
                          <a:noFill/>
                          <a:ln>
                            <a:noFill/>
                          </a:ln>
                        </pic:spPr>
                      </pic:pic>
                    </a:graphicData>
                  </a:graphic>
                </wp:inline>
              </w:drawing>
            </w:r>
          </w:p>
        </w:tc>
        <w:tc>
          <w:tcPr>
            <w:tcW w:w="358" w:type="pct"/>
            <w:vAlign w:val="center"/>
          </w:tcPr>
          <w:p>
            <w:pPr>
              <w:jc w:val="left"/>
              <w:rPr>
                <w:color w:val="000000"/>
                <w:kern w:val="0"/>
                <w:szCs w:val="21"/>
              </w:rPr>
            </w:pPr>
            <w:r>
              <w:rPr>
                <w:color w:val="000000" w:themeColor="text1"/>
                <w:szCs w:val="21"/>
                <w14:textFill>
                  <w14:solidFill>
                    <w14:schemeClr w14:val="tx1"/>
                  </w14:solidFill>
                </w14:textFill>
              </w:rPr>
              <w:t>重点生态功能区/历史文化资源富集区</w:t>
            </w:r>
          </w:p>
        </w:tc>
        <w:tc>
          <w:tcPr>
            <w:tcW w:w="855" w:type="pct"/>
            <w:vAlign w:val="center"/>
          </w:tcPr>
          <w:p>
            <w:pPr>
              <w:widowControl/>
              <w:jc w:val="center"/>
              <w:rPr>
                <w:color w:val="000000"/>
                <w:kern w:val="0"/>
                <w:szCs w:val="21"/>
              </w:rPr>
            </w:pPr>
            <w:r>
              <w:rPr>
                <w:rFonts w:hint="eastAsia"/>
                <w:color w:val="000000"/>
                <w:kern w:val="0"/>
                <w:szCs w:val="21"/>
                <w:highlight w:val="none"/>
              </w:rPr>
              <w:t>农业种植、休闲农业。畜禽养殖、农副产品加工、食品加工、电子信息、打火机生产</w:t>
            </w:r>
            <w:r>
              <w:rPr>
                <w:rFonts w:hint="eastAsia"/>
                <w:color w:val="000000"/>
                <w:kern w:val="0"/>
                <w:szCs w:val="21"/>
                <w:highlight w:val="none"/>
                <w:lang w:val="en-US" w:eastAsia="zh-CN"/>
              </w:rPr>
              <w:t>制造</w:t>
            </w:r>
            <w:r>
              <w:rPr>
                <w:rFonts w:hint="eastAsia"/>
                <w:color w:val="000000"/>
                <w:kern w:val="0"/>
                <w:szCs w:val="21"/>
                <w:highlight w:val="none"/>
              </w:rPr>
              <w:t>、五金、铸造、机电设备制造、制鞋、服装加工、建筑材料制造、废旧资源利用、中药饮片加工、橡胶制品、塑料制品、家具制造、康养产业、教育产业</w:t>
            </w:r>
            <w:r>
              <w:rPr>
                <w:rFonts w:hint="eastAsia"/>
                <w:color w:val="000000"/>
                <w:kern w:val="0"/>
                <w:szCs w:val="21"/>
                <w:highlight w:val="none"/>
                <w:lang w:eastAsia="zh-CN"/>
              </w:rPr>
              <w:t>、</w:t>
            </w:r>
            <w:r>
              <w:rPr>
                <w:rFonts w:hint="eastAsia"/>
                <w:color w:val="000000"/>
                <w:kern w:val="0"/>
                <w:szCs w:val="21"/>
                <w:highlight w:val="none"/>
                <w:lang w:val="en-US" w:eastAsia="zh-CN"/>
              </w:rPr>
              <w:t>旅游</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w:t>
            </w:r>
            <w:r>
              <w:rPr>
                <w:rFonts w:hint="eastAsia"/>
                <w:color w:val="000000"/>
                <w:kern w:val="0"/>
                <w:szCs w:val="21"/>
                <w:highlight w:val="none"/>
              </w:rPr>
              <w:t>等</w:t>
            </w:r>
          </w:p>
        </w:tc>
        <w:tc>
          <w:tcPr>
            <w:tcW w:w="1263" w:type="pct"/>
          </w:tcPr>
          <w:p>
            <w:pPr>
              <w:widowControl/>
              <w:rPr>
                <w:strike/>
                <w:color w:val="000000"/>
                <w:kern w:val="0"/>
                <w:szCs w:val="21"/>
              </w:rPr>
            </w:pPr>
            <w:r>
              <w:rPr>
                <w:b/>
                <w:color w:val="000000"/>
                <w:kern w:val="0"/>
                <w:szCs w:val="21"/>
              </w:rPr>
              <w:t>主要环境问题：</w:t>
            </w:r>
          </w:p>
          <w:p>
            <w:pPr>
              <w:widowControl/>
              <w:rPr>
                <w:color w:val="000000"/>
                <w:kern w:val="0"/>
                <w:szCs w:val="21"/>
              </w:rPr>
            </w:pP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p>
            <w:pPr>
              <w:widowControl/>
              <w:rPr>
                <w:b/>
                <w:color w:val="000000"/>
                <w:kern w:val="0"/>
                <w:szCs w:val="21"/>
              </w:rPr>
            </w:pPr>
            <w:r>
              <w:rPr>
                <w:b/>
                <w:color w:val="000000"/>
                <w:kern w:val="0"/>
                <w:szCs w:val="21"/>
              </w:rPr>
              <w:t>重要敏感目标：</w:t>
            </w:r>
          </w:p>
          <w:p>
            <w:pPr>
              <w:widowControl/>
              <w:rPr>
                <w:b/>
                <w:color w:val="000000"/>
                <w:kern w:val="0"/>
                <w:szCs w:val="21"/>
              </w:rPr>
            </w:pPr>
            <w:r>
              <w:rPr>
                <w:color w:val="000000"/>
                <w:szCs w:val="21"/>
              </w:rPr>
              <w:t>石漠化敏感区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widowControl/>
              <w:spacing w:line="400" w:lineRule="exact"/>
              <w:jc w:val="center"/>
              <w:rPr>
                <w:b/>
                <w:color w:val="000000"/>
                <w:kern w:val="0"/>
                <w:szCs w:val="21"/>
              </w:rPr>
            </w:pPr>
            <w:r>
              <w:rPr>
                <w:b/>
                <w:color w:val="000000"/>
                <w:kern w:val="0"/>
                <w:szCs w:val="21"/>
              </w:rPr>
              <w:t>主要属性</w:t>
            </w:r>
          </w:p>
        </w:tc>
        <w:tc>
          <w:tcPr>
            <w:tcW w:w="4703" w:type="pct"/>
            <w:gridSpan w:val="10"/>
            <w:vAlign w:val="center"/>
          </w:tcPr>
          <w:p>
            <w:pPr>
              <w:spacing w:line="400" w:lineRule="exact"/>
              <w:rPr>
                <w:b/>
                <w:bCs/>
                <w:color w:val="000000"/>
                <w:kern w:val="0"/>
                <w:szCs w:val="21"/>
              </w:rPr>
            </w:pPr>
            <w:r>
              <w:drawing>
                <wp:inline distT="0" distB="0" distL="114300" distR="114300">
                  <wp:extent cx="478790" cy="15240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478790" cy="152400"/>
                          </a:xfrm>
                          <a:prstGeom prst="rect">
                            <a:avLst/>
                          </a:prstGeom>
                          <a:noFill/>
                          <a:ln>
                            <a:noFill/>
                          </a:ln>
                        </pic:spPr>
                      </pic:pic>
                    </a:graphicData>
                  </a:graphic>
                </wp:inline>
              </w:drawing>
            </w:r>
            <w:r>
              <w:rPr>
                <w:b/>
                <w:bCs/>
                <w:color w:val="000000"/>
                <w:kern w:val="0"/>
                <w:szCs w:val="21"/>
              </w:rPr>
              <w:t>:</w:t>
            </w:r>
          </w:p>
          <w:p>
            <w:pPr>
              <w:spacing w:line="400" w:lineRule="exact"/>
              <w:rPr>
                <w:color w:val="000000"/>
                <w:szCs w:val="21"/>
              </w:rPr>
            </w:pPr>
            <w:r>
              <w:rPr>
                <w:b/>
                <w:bCs/>
                <w:szCs w:val="21"/>
              </w:rPr>
              <w:t>生态红线：</w:t>
            </w:r>
            <w:r>
              <w:rPr>
                <w:color w:val="000000"/>
                <w:szCs w:val="21"/>
              </w:rPr>
              <w:t>红线/一般生态空间/水源涵养重要区/水土流失敏感区/生物多样性保护功能重要区/三区三线生态红线/原生态红线/石漠化敏感区</w:t>
            </w:r>
          </w:p>
          <w:p>
            <w:pPr>
              <w:spacing w:line="400" w:lineRule="exact"/>
              <w:rPr>
                <w:color w:val="000000"/>
                <w:szCs w:val="21"/>
              </w:rPr>
            </w:pPr>
            <w:r>
              <w:rPr>
                <w:b/>
                <w:bCs/>
                <w:szCs w:val="21"/>
              </w:rPr>
              <w:t>环境质量底线：</w:t>
            </w:r>
            <w:r>
              <w:rPr>
                <w:color w:val="000000"/>
                <w:szCs w:val="21"/>
              </w:rPr>
              <w:t>水环境一般管控区;其他区域;农用地优先保护区/一般管控区;重点生态功能区/历史文化资源富集区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widowControl/>
              <w:spacing w:line="400" w:lineRule="exact"/>
              <w:jc w:val="center"/>
              <w:rPr>
                <w:b/>
                <w:color w:val="000000"/>
                <w:szCs w:val="21"/>
              </w:rPr>
            </w:pPr>
            <w:r>
              <w:rPr>
                <w:b/>
                <w:color w:val="000000"/>
                <w:szCs w:val="21"/>
              </w:rPr>
              <w:t>管控维度</w:t>
            </w:r>
          </w:p>
        </w:tc>
        <w:tc>
          <w:tcPr>
            <w:tcW w:w="3439" w:type="pct"/>
            <w:gridSpan w:val="9"/>
            <w:vAlign w:val="center"/>
          </w:tcPr>
          <w:p>
            <w:pPr>
              <w:spacing w:line="400" w:lineRule="exact"/>
              <w:jc w:val="center"/>
              <w:rPr>
                <w:b/>
                <w:color w:val="000000"/>
                <w:szCs w:val="21"/>
              </w:rPr>
            </w:pPr>
            <w:r>
              <w:rPr>
                <w:b/>
                <w:color w:val="000000"/>
                <w:kern w:val="0"/>
                <w:szCs w:val="21"/>
              </w:rPr>
              <w:t>管控要求</w:t>
            </w:r>
          </w:p>
        </w:tc>
        <w:tc>
          <w:tcPr>
            <w:tcW w:w="1263" w:type="pct"/>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widowControl/>
              <w:spacing w:line="340" w:lineRule="exact"/>
              <w:jc w:val="center"/>
              <w:rPr>
                <w:color w:val="000000"/>
                <w:szCs w:val="21"/>
              </w:rPr>
            </w:pPr>
            <w:r>
              <w:rPr>
                <w:color w:val="000000"/>
                <w:szCs w:val="21"/>
              </w:rPr>
              <w:t>空间布局约束</w:t>
            </w:r>
          </w:p>
        </w:tc>
        <w:tc>
          <w:tcPr>
            <w:tcW w:w="3439" w:type="pct"/>
            <w:gridSpan w:val="9"/>
            <w:vAlign w:val="center"/>
          </w:tcPr>
          <w:p>
            <w:pPr>
              <w:tabs>
                <w:tab w:val="left" w:pos="1021"/>
              </w:tabs>
              <w:spacing w:line="34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tc>
        <w:tc>
          <w:tcPr>
            <w:tcW w:w="1263" w:type="pct"/>
            <w:vMerge w:val="restart"/>
            <w:vAlign w:val="center"/>
          </w:tcPr>
          <w:p>
            <w:pPr>
              <w:tabs>
                <w:tab w:val="left" w:pos="1021"/>
              </w:tabs>
              <w:spacing w:line="340" w:lineRule="exac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（1.2）（2.1.1）（2.3）（3.1）（3.2）（3.3）（3.4）（4.1.1）（4.1.2）（4.1.3）《邵东市“十四五”生态环境保护规划》（2021-2025）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3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widowControl/>
              <w:spacing w:line="340" w:lineRule="exact"/>
              <w:jc w:val="center"/>
              <w:rPr>
                <w:color w:val="000000"/>
                <w:szCs w:val="21"/>
              </w:rPr>
            </w:pPr>
            <w:r>
              <w:rPr>
                <w:color w:val="000000"/>
                <w:szCs w:val="21"/>
              </w:rPr>
              <w:t>污染物排放管控</w:t>
            </w:r>
          </w:p>
        </w:tc>
        <w:tc>
          <w:tcPr>
            <w:tcW w:w="3439" w:type="pct"/>
            <w:gridSpan w:val="9"/>
            <w:vAlign w:val="center"/>
          </w:tcPr>
          <w:p>
            <w:pPr>
              <w:tabs>
                <w:tab w:val="left" w:pos="1021"/>
              </w:tabs>
              <w:spacing w:line="34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34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34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34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1263" w:type="pct"/>
            <w:vMerge w:val="continue"/>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widowControl/>
              <w:spacing w:line="340" w:lineRule="exact"/>
              <w:jc w:val="center"/>
              <w:rPr>
                <w:color w:val="000000"/>
                <w:szCs w:val="21"/>
              </w:rPr>
            </w:pPr>
            <w:r>
              <w:rPr>
                <w:color w:val="000000"/>
                <w:szCs w:val="21"/>
              </w:rPr>
              <w:t>环境风险防控</w:t>
            </w:r>
          </w:p>
        </w:tc>
        <w:tc>
          <w:tcPr>
            <w:tcW w:w="3439" w:type="pct"/>
            <w:gridSpan w:val="9"/>
            <w:vAlign w:val="center"/>
          </w:tcPr>
          <w:p>
            <w:pPr>
              <w:tabs>
                <w:tab w:val="left" w:pos="1021"/>
              </w:tabs>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tabs>
                <w:tab w:val="left" w:pos="1021"/>
              </w:tabs>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p>
          <w:p>
            <w:pPr>
              <w:pStyle w:val="9"/>
              <w:spacing w:after="0" w:line="340" w:lineRule="exact"/>
              <w:ind w:left="0" w:leftChars="0" w:firstLine="0" w:firstLineChars="0"/>
            </w:pPr>
            <w:r>
              <w:t>（3.3）强化受污染耕地管控，建立健全受污染耕地安全利用长效机制。</w:t>
            </w:r>
          </w:p>
          <w:p>
            <w:pPr>
              <w:tabs>
                <w:tab w:val="left" w:pos="1021"/>
              </w:tabs>
              <w:spacing w:line="340" w:lineRule="exac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（3.4）全面排查尾矿库，分级分类推进尾矿库整治工作，拉条挂账建立问题清单，明确责任主体、治理措施、时限要求等，按照“一库一策”加快实施治理。</w:t>
            </w:r>
          </w:p>
        </w:tc>
        <w:tc>
          <w:tcPr>
            <w:tcW w:w="1263" w:type="pct"/>
            <w:vMerge w:val="continue"/>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6" w:type="pct"/>
            <w:vAlign w:val="center"/>
          </w:tcPr>
          <w:p>
            <w:pPr>
              <w:widowControl/>
              <w:spacing w:line="360" w:lineRule="exact"/>
              <w:jc w:val="center"/>
              <w:rPr>
                <w:color w:val="000000"/>
                <w:szCs w:val="21"/>
              </w:rPr>
            </w:pPr>
            <w:r>
              <w:rPr>
                <w:color w:val="000000"/>
                <w:szCs w:val="21"/>
              </w:rPr>
              <w:t>资源开发效率要求</w:t>
            </w:r>
          </w:p>
        </w:tc>
        <w:tc>
          <w:tcPr>
            <w:tcW w:w="3439" w:type="pct"/>
            <w:gridSpan w:val="9"/>
            <w:vAlign w:val="top"/>
          </w:tcPr>
          <w:p>
            <w:pPr>
              <w:tabs>
                <w:tab w:val="left" w:pos="1021"/>
              </w:tabs>
              <w:spacing w:line="360" w:lineRule="exact"/>
              <w:rPr>
                <w:color w:val="000000"/>
                <w:szCs w:val="21"/>
              </w:rPr>
            </w:pPr>
            <w:r>
              <w:rPr>
                <w:color w:val="000000" w:themeColor="text1"/>
                <w:szCs w:val="21"/>
                <w14:textFill>
                  <w14:solidFill>
                    <w14:schemeClr w14:val="tx1"/>
                  </w14:solidFill>
                </w14:textFill>
              </w:rPr>
              <w:t>（4.1）能源：</w:t>
            </w:r>
          </w:p>
          <w:p>
            <w:pPr>
              <w:tabs>
                <w:tab w:val="left" w:pos="1021"/>
              </w:tabs>
              <w:spacing w:line="36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w:t>
            </w:r>
            <w:r>
              <w:drawing>
                <wp:inline distT="0" distB="0" distL="114300" distR="114300">
                  <wp:extent cx="410845" cy="13081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410845" cy="130810"/>
                          </a:xfrm>
                          <a:prstGeom prst="rect">
                            <a:avLst/>
                          </a:prstGeom>
                          <a:noFill/>
                          <a:ln>
                            <a:noFill/>
                          </a:ln>
                        </pic:spPr>
                      </pic:pic>
                    </a:graphicData>
                  </a:graphic>
                </wp:inline>
              </w:drawing>
            </w:r>
            <w:r>
              <w:rPr>
                <w:color w:val="000000" w:themeColor="text1"/>
                <w:szCs w:val="21"/>
                <w14:textFill>
                  <w14:solidFill>
                    <w14:schemeClr w14:val="tx1"/>
                  </w14:solidFill>
                </w14:textFill>
              </w:rPr>
              <w:t>耕地保有量为1.65万亩，永久基本农田保护面积为1.55万亩。</w:t>
            </w:r>
          </w:p>
          <w:p>
            <w:pPr>
              <w:tabs>
                <w:tab w:val="left" w:pos="1021"/>
              </w:tabs>
              <w:spacing w:line="360" w:lineRule="exact"/>
              <w:rPr>
                <w:color w:val="000000"/>
                <w:szCs w:val="21"/>
              </w:rPr>
            </w:pPr>
          </w:p>
        </w:tc>
        <w:tc>
          <w:tcPr>
            <w:tcW w:w="1263" w:type="pct"/>
            <w:vMerge w:val="continue"/>
            <w:vAlign w:val="center"/>
          </w:tcPr>
          <w:p>
            <w:pPr>
              <w:spacing w:line="400" w:lineRule="exact"/>
            </w:pPr>
          </w:p>
        </w:tc>
      </w:tr>
    </w:tbl>
    <w:p>
      <w:pPr>
        <w:spacing w:line="400" w:lineRule="exact"/>
        <w:rPr>
          <w:color w:val="000000"/>
          <w:szCs w:val="21"/>
        </w:rPr>
      </w:pPr>
    </w:p>
    <w:p>
      <w:pPr>
        <w:widowControl/>
        <w:jc w:val="center"/>
        <w:rPr>
          <w:color w:val="000000"/>
          <w:szCs w:val="21"/>
        </w:rPr>
      </w:pPr>
      <w:r>
        <w:rPr>
          <w:color w:val="000000"/>
          <w:szCs w:val="21"/>
        </w:rPr>
        <w:br w:type="page"/>
      </w:r>
    </w:p>
    <w:tbl>
      <w:tblPr>
        <w:tblStyle w:val="10"/>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57"/>
        <w:gridCol w:w="426"/>
        <w:gridCol w:w="422"/>
        <w:gridCol w:w="434"/>
        <w:gridCol w:w="828"/>
        <w:gridCol w:w="1109"/>
        <w:gridCol w:w="1011"/>
        <w:gridCol w:w="1133"/>
        <w:gridCol w:w="3539"/>
        <w:gridCol w:w="797"/>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482" w:type="pct"/>
            <w:vMerge w:val="restart"/>
            <w:vAlign w:val="center"/>
          </w:tcPr>
          <w:p>
            <w:pPr>
              <w:widowControl/>
              <w:jc w:val="center"/>
              <w:rPr>
                <w:b/>
                <w:color w:val="000000"/>
                <w:kern w:val="0"/>
                <w:szCs w:val="21"/>
              </w:rPr>
            </w:pPr>
            <w:r>
              <w:rPr>
                <w:b/>
                <w:color w:val="000000"/>
                <w:kern w:val="0"/>
                <w:szCs w:val="21"/>
              </w:rPr>
              <w:t>单元名称</w:t>
            </w:r>
          </w:p>
        </w:tc>
        <w:tc>
          <w:tcPr>
            <w:tcW w:w="455" w:type="pct"/>
            <w:gridSpan w:val="3"/>
            <w:vAlign w:val="center"/>
          </w:tcPr>
          <w:p>
            <w:pPr>
              <w:widowControl/>
              <w:jc w:val="center"/>
              <w:rPr>
                <w:b/>
                <w:color w:val="000000"/>
                <w:kern w:val="0"/>
                <w:szCs w:val="21"/>
              </w:rPr>
            </w:pPr>
            <w:r>
              <w:rPr>
                <w:b/>
                <w:color w:val="000000"/>
                <w:kern w:val="0"/>
                <w:szCs w:val="21"/>
              </w:rPr>
              <w:t>行政区划</w:t>
            </w:r>
          </w:p>
        </w:tc>
        <w:tc>
          <w:tcPr>
            <w:tcW w:w="294" w:type="pct"/>
            <w:vMerge w:val="restart"/>
            <w:vAlign w:val="center"/>
          </w:tcPr>
          <w:p>
            <w:pPr>
              <w:widowControl/>
              <w:jc w:val="center"/>
              <w:rPr>
                <w:b/>
                <w:color w:val="000000"/>
                <w:kern w:val="0"/>
                <w:szCs w:val="21"/>
              </w:rPr>
            </w:pPr>
            <w:r>
              <w:rPr>
                <w:b/>
                <w:color w:val="000000"/>
                <w:kern w:val="0"/>
                <w:szCs w:val="21"/>
              </w:rPr>
              <w:t>单元分类</w:t>
            </w:r>
          </w:p>
        </w:tc>
        <w:tc>
          <w:tcPr>
            <w:tcW w:w="393"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59" w:type="pct"/>
            <w:vMerge w:val="restart"/>
            <w:vAlign w:val="center"/>
          </w:tcPr>
          <w:p>
            <w:pPr>
              <w:jc w:val="center"/>
              <w:rPr>
                <w:b/>
                <w:color w:val="000000"/>
                <w:kern w:val="0"/>
                <w:szCs w:val="21"/>
              </w:rPr>
            </w:pPr>
            <w:r>
              <w:rPr>
                <w:b/>
                <w:color w:val="000000"/>
                <w:kern w:val="0"/>
                <w:szCs w:val="21"/>
              </w:rPr>
              <w:t>涉及乡镇(街道)</w:t>
            </w:r>
          </w:p>
        </w:tc>
        <w:tc>
          <w:tcPr>
            <w:tcW w:w="402" w:type="pct"/>
            <w:vMerge w:val="restart"/>
            <w:vAlign w:val="center"/>
          </w:tcPr>
          <w:p>
            <w:pPr>
              <w:jc w:val="center"/>
              <w:rPr>
                <w:b/>
                <w:color w:val="000000"/>
                <w:kern w:val="0"/>
                <w:szCs w:val="21"/>
              </w:rPr>
            </w:pPr>
            <w:r>
              <w:rPr>
                <w:b/>
                <w:color w:val="000000"/>
                <w:kern w:val="0"/>
                <w:szCs w:val="21"/>
              </w:rPr>
              <w:t>主体功能定位</w:t>
            </w:r>
          </w:p>
        </w:tc>
        <w:tc>
          <w:tcPr>
            <w:tcW w:w="1256" w:type="pct"/>
            <w:vMerge w:val="restart"/>
            <w:vAlign w:val="center"/>
          </w:tcPr>
          <w:p>
            <w:pPr>
              <w:jc w:val="center"/>
              <w:rPr>
                <w:b/>
                <w:color w:val="000000"/>
                <w:kern w:val="0"/>
                <w:szCs w:val="21"/>
              </w:rPr>
            </w:pPr>
            <w:r>
              <w:rPr>
                <w:b/>
                <w:color w:val="000000"/>
                <w:kern w:val="0"/>
                <w:szCs w:val="21"/>
              </w:rPr>
              <w:t>经济产业布局</w:t>
            </w:r>
          </w:p>
        </w:tc>
        <w:tc>
          <w:tcPr>
            <w:tcW w:w="1108"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8" w:type="pct"/>
            <w:vMerge w:val="continue"/>
            <w:vAlign w:val="center"/>
          </w:tcPr>
          <w:p/>
        </w:tc>
        <w:tc>
          <w:tcPr>
            <w:tcW w:w="482" w:type="pct"/>
            <w:vMerge w:val="continue"/>
            <w:vAlign w:val="center"/>
          </w:tcPr>
          <w:p/>
        </w:tc>
        <w:tc>
          <w:tcPr>
            <w:tcW w:w="151" w:type="pct"/>
            <w:vAlign w:val="center"/>
          </w:tcPr>
          <w:p>
            <w:pPr>
              <w:jc w:val="center"/>
              <w:rPr>
                <w:b/>
                <w:color w:val="000000"/>
                <w:szCs w:val="21"/>
              </w:rPr>
            </w:pPr>
            <w:r>
              <w:rPr>
                <w:b/>
                <w:color w:val="000000"/>
                <w:szCs w:val="21"/>
              </w:rPr>
              <w:t>省</w:t>
            </w:r>
          </w:p>
        </w:tc>
        <w:tc>
          <w:tcPr>
            <w:tcW w:w="149" w:type="pct"/>
            <w:vAlign w:val="center"/>
          </w:tcPr>
          <w:p>
            <w:pPr>
              <w:jc w:val="center"/>
              <w:rPr>
                <w:b/>
                <w:color w:val="000000"/>
                <w:szCs w:val="21"/>
              </w:rPr>
            </w:pPr>
            <w:r>
              <w:rPr>
                <w:b/>
                <w:color w:val="000000"/>
                <w:szCs w:val="21"/>
              </w:rPr>
              <w:t>市</w:t>
            </w:r>
          </w:p>
        </w:tc>
        <w:tc>
          <w:tcPr>
            <w:tcW w:w="154" w:type="pct"/>
            <w:vAlign w:val="center"/>
          </w:tcPr>
          <w:p>
            <w:pPr>
              <w:jc w:val="center"/>
              <w:rPr>
                <w:b/>
                <w:color w:val="000000"/>
                <w:szCs w:val="21"/>
              </w:rPr>
            </w:pPr>
            <w:r>
              <w:rPr>
                <w:b/>
                <w:color w:val="000000"/>
                <w:szCs w:val="21"/>
              </w:rPr>
              <w:t>县</w:t>
            </w:r>
          </w:p>
        </w:tc>
        <w:tc>
          <w:tcPr>
            <w:tcW w:w="294" w:type="pct"/>
            <w:vMerge w:val="continue"/>
            <w:vAlign w:val="center"/>
          </w:tcPr>
          <w:p/>
        </w:tc>
        <w:tc>
          <w:tcPr>
            <w:tcW w:w="393" w:type="pct"/>
            <w:vMerge w:val="continue"/>
            <w:vAlign w:val="center"/>
          </w:tcPr>
          <w:p/>
        </w:tc>
        <w:tc>
          <w:tcPr>
            <w:tcW w:w="359" w:type="pct"/>
            <w:vMerge w:val="continue"/>
            <w:vAlign w:val="center"/>
          </w:tcPr>
          <w:p/>
        </w:tc>
        <w:tc>
          <w:tcPr>
            <w:tcW w:w="402" w:type="pct"/>
            <w:vMerge w:val="continue"/>
            <w:vAlign w:val="center"/>
          </w:tcPr>
          <w:p/>
        </w:tc>
        <w:tc>
          <w:tcPr>
            <w:tcW w:w="1256" w:type="pct"/>
            <w:vMerge w:val="continue"/>
            <w:vAlign w:val="center"/>
          </w:tcPr>
          <w:p/>
        </w:tc>
        <w:tc>
          <w:tcPr>
            <w:tcW w:w="1108"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Align w:val="center"/>
          </w:tcPr>
          <w:p>
            <w:pPr>
              <w:widowControl/>
              <w:jc w:val="center"/>
              <w:rPr>
                <w:color w:val="000000"/>
                <w:kern w:val="0"/>
                <w:szCs w:val="21"/>
              </w:rPr>
            </w:pPr>
            <w:r>
              <w:rPr>
                <w:color w:val="000000"/>
                <w:kern w:val="0"/>
                <w:szCs w:val="21"/>
              </w:rPr>
              <w:t>ZH43052130003</w:t>
            </w:r>
          </w:p>
        </w:tc>
        <w:tc>
          <w:tcPr>
            <w:tcW w:w="482" w:type="pct"/>
            <w:vAlign w:val="center"/>
          </w:tcPr>
          <w:p>
            <w:pPr>
              <w:widowControl/>
              <w:jc w:val="center"/>
              <w:rPr>
                <w:color w:val="000000"/>
                <w:kern w:val="0"/>
                <w:szCs w:val="21"/>
              </w:rPr>
            </w:pPr>
            <w:r>
              <w:rPr>
                <w:color w:val="000000"/>
                <w:szCs w:val="21"/>
              </w:rPr>
              <w:t>双凤乡</w:t>
            </w:r>
          </w:p>
        </w:tc>
        <w:tc>
          <w:tcPr>
            <w:tcW w:w="151" w:type="pct"/>
            <w:vAlign w:val="center"/>
          </w:tcPr>
          <w:p>
            <w:pPr>
              <w:widowControl/>
              <w:jc w:val="center"/>
              <w:rPr>
                <w:color w:val="000000"/>
                <w:kern w:val="0"/>
                <w:szCs w:val="21"/>
              </w:rPr>
            </w:pPr>
            <w:r>
              <w:rPr>
                <w:color w:val="000000"/>
                <w:kern w:val="0"/>
                <w:szCs w:val="21"/>
              </w:rPr>
              <w:t>湖南省</w:t>
            </w:r>
          </w:p>
        </w:tc>
        <w:tc>
          <w:tcPr>
            <w:tcW w:w="149" w:type="pct"/>
            <w:vAlign w:val="center"/>
          </w:tcPr>
          <w:p>
            <w:pPr>
              <w:widowControl/>
              <w:jc w:val="center"/>
              <w:rPr>
                <w:color w:val="000000"/>
                <w:kern w:val="0"/>
                <w:szCs w:val="21"/>
              </w:rPr>
            </w:pPr>
            <w:r>
              <w:rPr>
                <w:color w:val="000000"/>
                <w:kern w:val="0"/>
                <w:szCs w:val="21"/>
              </w:rPr>
              <w:t>邵阳市</w:t>
            </w:r>
          </w:p>
        </w:tc>
        <w:tc>
          <w:tcPr>
            <w:tcW w:w="154" w:type="pct"/>
            <w:vAlign w:val="center"/>
          </w:tcPr>
          <w:p>
            <w:pPr>
              <w:widowControl/>
              <w:jc w:val="center"/>
              <w:rPr>
                <w:color w:val="000000"/>
                <w:kern w:val="0"/>
                <w:szCs w:val="21"/>
              </w:rPr>
            </w:pPr>
            <w:r>
              <w:rPr>
                <w:color w:val="000000"/>
                <w:kern w:val="0"/>
                <w:szCs w:val="21"/>
              </w:rPr>
              <w:t>邵东市</w:t>
            </w:r>
          </w:p>
        </w:tc>
        <w:tc>
          <w:tcPr>
            <w:tcW w:w="294" w:type="pct"/>
            <w:vAlign w:val="center"/>
          </w:tcPr>
          <w:p>
            <w:pPr>
              <w:widowControl/>
              <w:jc w:val="center"/>
              <w:rPr>
                <w:color w:val="000000"/>
                <w:kern w:val="0"/>
                <w:szCs w:val="21"/>
              </w:rPr>
            </w:pPr>
            <w:r>
              <w:rPr>
                <w:color w:val="000000"/>
                <w:kern w:val="0"/>
                <w:szCs w:val="21"/>
              </w:rPr>
              <w:t>一般管控单元</w:t>
            </w:r>
          </w:p>
        </w:tc>
        <w:tc>
          <w:tcPr>
            <w:tcW w:w="393" w:type="pct"/>
            <w:vAlign w:val="center"/>
          </w:tcPr>
          <w:p>
            <w:pPr>
              <w:widowControl/>
              <w:jc w:val="center"/>
              <w:rPr>
                <w:color w:val="000000"/>
                <w:kern w:val="0"/>
                <w:szCs w:val="21"/>
              </w:rPr>
            </w:pPr>
            <w:r>
              <w:rPr>
                <w:color w:val="000000"/>
                <w:kern w:val="0"/>
                <w:szCs w:val="21"/>
              </w:rPr>
              <w:t>59.18</w:t>
            </w:r>
          </w:p>
        </w:tc>
        <w:tc>
          <w:tcPr>
            <w:tcW w:w="359" w:type="pct"/>
            <w:vAlign w:val="center"/>
          </w:tcPr>
          <w:p>
            <w:pPr>
              <w:jc w:val="center"/>
              <w:rPr>
                <w:color w:val="000000"/>
                <w:szCs w:val="21"/>
              </w:rPr>
            </w:pPr>
            <w:r>
              <w:rPr>
                <w:color w:val="000000"/>
                <w:szCs w:val="21"/>
              </w:rPr>
              <w:t>双凤乡</w:t>
            </w:r>
          </w:p>
        </w:tc>
        <w:tc>
          <w:tcPr>
            <w:tcW w:w="402" w:type="pct"/>
            <w:vAlign w:val="center"/>
          </w:tcPr>
          <w:p>
            <w:pPr>
              <w:jc w:val="center"/>
              <w:rPr>
                <w:color w:val="000000"/>
                <w:kern w:val="0"/>
                <w:szCs w:val="21"/>
              </w:rPr>
            </w:pPr>
            <w:r>
              <w:rPr>
                <w:color w:val="000000" w:themeColor="text1"/>
                <w:szCs w:val="21"/>
                <w14:textFill>
                  <w14:solidFill>
                    <w14:schemeClr w14:val="tx1"/>
                  </w14:solidFill>
                </w14:textFill>
              </w:rPr>
              <w:t>重点生态功能区</w:t>
            </w:r>
          </w:p>
        </w:tc>
        <w:tc>
          <w:tcPr>
            <w:tcW w:w="1256" w:type="pct"/>
            <w:vAlign w:val="center"/>
          </w:tcPr>
          <w:p>
            <w:pPr>
              <w:widowControl/>
              <w:jc w:val="left"/>
              <w:rPr>
                <w:rFonts w:hint="eastAsia" w:eastAsia="宋体"/>
                <w:color w:val="000000"/>
                <w:kern w:val="0"/>
                <w:szCs w:val="21"/>
                <w:highlight w:val="none"/>
                <w:lang w:eastAsia="zh-CN"/>
              </w:rPr>
            </w:pPr>
            <w:r>
              <w:rPr>
                <w:rFonts w:hint="eastAsia"/>
                <w:color w:val="000000"/>
                <w:kern w:val="0"/>
                <w:szCs w:val="21"/>
                <w:highlight w:val="none"/>
              </w:rPr>
              <w:t>农业种植、畜禽养殖、农副产品加工、食品加工、电子信息、五金、铸造、金属表面处理、塑料制品、家具制造、机电设备制造、制鞋、服装加工、建筑材料制造、废旧资源利用、铅锌采选、休闲农业及餐饮、康养产</w:t>
            </w:r>
            <w:r>
              <w:rPr>
                <w:rFonts w:hint="eastAsia"/>
                <w:color w:val="000000"/>
                <w:kern w:val="0"/>
                <w:szCs w:val="21"/>
                <w:highlight w:val="none"/>
                <w:lang w:val="en-US" w:eastAsia="zh-CN"/>
              </w:rPr>
              <w:t>业、新能源</w:t>
            </w:r>
            <w:r>
              <w:rPr>
                <w:rFonts w:hint="eastAsia"/>
                <w:color w:val="000000"/>
                <w:kern w:val="0"/>
                <w:szCs w:val="21"/>
                <w:highlight w:val="none"/>
              </w:rPr>
              <w:t>、教育产业</w:t>
            </w:r>
            <w:r>
              <w:rPr>
                <w:rFonts w:hint="eastAsia"/>
                <w:color w:val="000000"/>
                <w:kern w:val="0"/>
                <w:szCs w:val="21"/>
                <w:highlight w:val="none"/>
                <w:lang w:eastAsia="zh-CN"/>
              </w:rPr>
              <w:t>、</w:t>
            </w:r>
            <w:r>
              <w:rPr>
                <w:rFonts w:hint="eastAsia"/>
                <w:color w:val="000000"/>
                <w:kern w:val="0"/>
                <w:szCs w:val="21"/>
                <w:highlight w:val="none"/>
              </w:rPr>
              <w:t>采矿业、旅游业、生物质能源生产、箱包制造、印刷业</w:t>
            </w:r>
            <w:r>
              <w:rPr>
                <w:rFonts w:hint="eastAsia"/>
                <w:color w:val="000000"/>
                <w:kern w:val="0"/>
                <w:szCs w:val="21"/>
                <w:highlight w:val="none"/>
                <w:lang w:eastAsia="zh-CN"/>
              </w:rPr>
              <w:t>、</w:t>
            </w:r>
          </w:p>
          <w:p>
            <w:pPr>
              <w:widowControl/>
              <w:jc w:val="center"/>
              <w:rPr>
                <w:color w:val="000000"/>
                <w:kern w:val="0"/>
                <w:szCs w:val="21"/>
              </w:rPr>
            </w:pPr>
            <w:r>
              <w:rPr>
                <w:rFonts w:hint="eastAsia"/>
                <w:color w:val="000000"/>
                <w:kern w:val="0"/>
                <w:szCs w:val="21"/>
                <w:highlight w:val="none"/>
                <w:lang w:val="en-US" w:eastAsia="zh-CN"/>
              </w:rPr>
              <w:t>光伏、风电、储能等</w:t>
            </w:r>
          </w:p>
        </w:tc>
        <w:tc>
          <w:tcPr>
            <w:tcW w:w="1108" w:type="pct"/>
            <w:gridSpan w:val="2"/>
            <w:vAlign w:val="center"/>
          </w:tcPr>
          <w:p>
            <w:pPr>
              <w:widowControl/>
              <w:rPr>
                <w:strike/>
                <w:color w:val="000000"/>
                <w:kern w:val="0"/>
                <w:szCs w:val="21"/>
              </w:rPr>
            </w:pPr>
            <w:r>
              <w:rPr>
                <w:b/>
                <w:color w:val="000000"/>
                <w:kern w:val="0"/>
                <w:szCs w:val="21"/>
              </w:rPr>
              <w:t>主要环境问题：</w:t>
            </w:r>
          </w:p>
          <w:p>
            <w:pPr>
              <w:widowControl/>
              <w:rPr>
                <w:color w:val="000000"/>
                <w:kern w:val="0"/>
                <w:szCs w:val="21"/>
              </w:rPr>
            </w:pP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p>
            <w:pPr>
              <w:widowControl/>
              <w:rPr>
                <w:b/>
                <w:color w:val="000000"/>
                <w:kern w:val="0"/>
                <w:szCs w:val="21"/>
              </w:rPr>
            </w:pPr>
            <w:r>
              <w:rPr>
                <w:b/>
                <w:color w:val="000000"/>
                <w:kern w:val="0"/>
                <w:szCs w:val="21"/>
              </w:rPr>
              <w:t>重要敏感目标：</w:t>
            </w:r>
          </w:p>
          <w:p>
            <w:pPr>
              <w:widowControl/>
              <w:rPr>
                <w:b/>
                <w:color w:val="000000"/>
                <w:kern w:val="0"/>
                <w:szCs w:val="21"/>
              </w:rPr>
            </w:pPr>
            <w:r>
              <w:rPr>
                <w:color w:val="000000"/>
                <w:szCs w:val="21"/>
              </w:rPr>
              <w:t>邵阳市邵东县三合水库饮用水水源保护区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248" w:type="pct"/>
            <w:vAlign w:val="center"/>
          </w:tcPr>
          <w:p>
            <w:pPr>
              <w:widowControl/>
              <w:spacing w:line="360" w:lineRule="exact"/>
              <w:jc w:val="center"/>
              <w:rPr>
                <w:b/>
                <w:color w:val="000000"/>
                <w:kern w:val="0"/>
                <w:szCs w:val="21"/>
              </w:rPr>
            </w:pPr>
            <w:r>
              <w:rPr>
                <w:b/>
                <w:color w:val="000000"/>
                <w:kern w:val="0"/>
                <w:szCs w:val="21"/>
              </w:rPr>
              <w:t>主要属性</w:t>
            </w:r>
          </w:p>
        </w:tc>
        <w:tc>
          <w:tcPr>
            <w:tcW w:w="4751" w:type="pct"/>
            <w:gridSpan w:val="11"/>
            <w:vAlign w:val="center"/>
          </w:tcPr>
          <w:p>
            <w:pPr>
              <w:spacing w:line="360" w:lineRule="exact"/>
              <w:rPr>
                <w:b/>
                <w:bCs/>
                <w:color w:val="000000"/>
                <w:szCs w:val="21"/>
              </w:rPr>
            </w:pPr>
            <w:r>
              <w:rPr>
                <w:b/>
                <w:bCs/>
                <w:color w:val="000000"/>
                <w:szCs w:val="21"/>
              </w:rPr>
              <w:t>双凤乡:</w:t>
            </w:r>
          </w:p>
          <w:p>
            <w:pPr>
              <w:spacing w:line="360" w:lineRule="exact"/>
              <w:rPr>
                <w:color w:val="000000"/>
                <w:szCs w:val="21"/>
              </w:rPr>
            </w:pPr>
            <w:r>
              <w:rPr>
                <w:b/>
                <w:bCs/>
                <w:szCs w:val="21"/>
              </w:rPr>
              <w:t>生态红线：</w:t>
            </w:r>
            <w:r>
              <w:rPr>
                <w:color w:val="000000"/>
                <w:szCs w:val="21"/>
              </w:rPr>
              <w:t>红线/一般生态空间/水源涵养重要区/三区三线生态红线/水土流失敏感区/原生态红线/生物多样性保护功能重要区</w:t>
            </w:r>
          </w:p>
          <w:p>
            <w:pPr>
              <w:spacing w:line="360" w:lineRule="exact"/>
              <w:rPr>
                <w:color w:val="000000"/>
                <w:szCs w:val="21"/>
              </w:rPr>
            </w:pPr>
            <w:r>
              <w:rPr>
                <w:b/>
                <w:bCs/>
                <w:szCs w:val="21"/>
              </w:rPr>
              <w:t>环境质量底线：</w:t>
            </w:r>
            <w:r>
              <w:rPr>
                <w:color w:val="000000"/>
                <w:szCs w:val="21"/>
              </w:rPr>
              <w:t>水环境优先保护区/水环境一般管控区；大气环境受体敏感重点管控区/其他区域；农用地优先保护区/建设用地重点管控区/其他重点管控区/一般管控区；重点生态功能区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Align w:val="center"/>
          </w:tcPr>
          <w:p>
            <w:pPr>
              <w:widowControl/>
              <w:spacing w:line="360" w:lineRule="exact"/>
              <w:jc w:val="center"/>
              <w:rPr>
                <w:b/>
                <w:color w:val="000000"/>
                <w:szCs w:val="21"/>
              </w:rPr>
            </w:pPr>
            <w:r>
              <w:rPr>
                <w:b/>
                <w:color w:val="000000"/>
                <w:szCs w:val="21"/>
              </w:rPr>
              <w:t>管控维度</w:t>
            </w:r>
          </w:p>
        </w:tc>
        <w:tc>
          <w:tcPr>
            <w:tcW w:w="3926" w:type="pct"/>
            <w:gridSpan w:val="10"/>
            <w:vAlign w:val="center"/>
          </w:tcPr>
          <w:p>
            <w:pPr>
              <w:spacing w:line="360" w:lineRule="exact"/>
              <w:jc w:val="center"/>
              <w:rPr>
                <w:b/>
                <w:color w:val="000000"/>
                <w:szCs w:val="21"/>
              </w:rPr>
            </w:pPr>
            <w:r>
              <w:rPr>
                <w:b/>
                <w:color w:val="000000"/>
                <w:kern w:val="0"/>
                <w:szCs w:val="21"/>
              </w:rPr>
              <w:t>管控要求</w:t>
            </w:r>
          </w:p>
        </w:tc>
        <w:tc>
          <w:tcPr>
            <w:tcW w:w="825" w:type="pct"/>
            <w:vAlign w:val="center"/>
          </w:tcPr>
          <w:p>
            <w:pPr>
              <w:spacing w:line="36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Align w:val="center"/>
          </w:tcPr>
          <w:p>
            <w:pPr>
              <w:widowControl/>
              <w:spacing w:line="360" w:lineRule="exact"/>
              <w:jc w:val="center"/>
              <w:rPr>
                <w:color w:val="000000"/>
                <w:szCs w:val="21"/>
              </w:rPr>
            </w:pPr>
            <w:r>
              <w:rPr>
                <w:color w:val="000000"/>
                <w:szCs w:val="21"/>
              </w:rPr>
              <w:t>空间布局约束</w:t>
            </w:r>
          </w:p>
        </w:tc>
        <w:tc>
          <w:tcPr>
            <w:tcW w:w="3926" w:type="pct"/>
            <w:gridSpan w:val="10"/>
            <w:vAlign w:val="center"/>
          </w:tcPr>
          <w:p>
            <w:pPr>
              <w:tabs>
                <w:tab w:val="left" w:pos="1021"/>
              </w:tabs>
              <w:spacing w:line="36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tc>
        <w:tc>
          <w:tcPr>
            <w:tcW w:w="825" w:type="pct"/>
            <w:vMerge w:val="restart"/>
            <w:vAlign w:val="center"/>
          </w:tcPr>
          <w:p>
            <w:pPr>
              <w:tabs>
                <w:tab w:val="left" w:pos="1021"/>
              </w:tabs>
              <w:spacing w:line="360" w:lineRule="exact"/>
              <w:jc w:val="lef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（1.2）（2.1.1）（2.3）（3.1）（3.2）（3.3）（3.4）（4.1.1）（4.1.2）（4.1.3）《邵东市“十四五”生态环境保护规划》（2021-2025）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Align w:val="center"/>
          </w:tcPr>
          <w:p>
            <w:pPr>
              <w:widowControl/>
              <w:spacing w:line="360" w:lineRule="exact"/>
              <w:jc w:val="center"/>
              <w:rPr>
                <w:color w:val="000000"/>
                <w:szCs w:val="21"/>
              </w:rPr>
            </w:pPr>
            <w:r>
              <w:rPr>
                <w:color w:val="000000"/>
                <w:szCs w:val="21"/>
              </w:rPr>
              <w:t>污染物排放管控</w:t>
            </w:r>
          </w:p>
        </w:tc>
        <w:tc>
          <w:tcPr>
            <w:tcW w:w="3926" w:type="pct"/>
            <w:gridSpan w:val="10"/>
            <w:vAlign w:val="center"/>
          </w:tcPr>
          <w:p>
            <w:pPr>
              <w:tabs>
                <w:tab w:val="left" w:pos="1021"/>
              </w:tabs>
              <w:spacing w:line="36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36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36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36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825" w:type="pct"/>
            <w:vMerge w:val="continue"/>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Align w:val="center"/>
          </w:tcPr>
          <w:p>
            <w:pPr>
              <w:widowControl/>
              <w:spacing w:line="360" w:lineRule="exact"/>
              <w:jc w:val="center"/>
              <w:rPr>
                <w:color w:val="000000"/>
                <w:szCs w:val="21"/>
              </w:rPr>
            </w:pPr>
            <w:r>
              <w:rPr>
                <w:color w:val="000000"/>
                <w:szCs w:val="21"/>
              </w:rPr>
              <w:t>环境风险防控</w:t>
            </w:r>
          </w:p>
        </w:tc>
        <w:tc>
          <w:tcPr>
            <w:tcW w:w="3926" w:type="pct"/>
            <w:gridSpan w:val="10"/>
            <w:vAlign w:val="center"/>
          </w:tcPr>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p>
          <w:p>
            <w:pPr>
              <w:pStyle w:val="9"/>
              <w:spacing w:after="0" w:line="360" w:lineRule="exact"/>
              <w:ind w:left="0" w:leftChars="0" w:firstLine="0" w:firstLineChars="0"/>
            </w:pPr>
            <w:r>
              <w:t>（3.3）强化受污染耕地管控，建立健全受污染耕地安全利用长效机制。</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（3.4）全面排查尾矿库，分级分类推进尾矿库整治工作，拉条挂账建立问题清单，明确责任主体、治理措施、时限要求等，按照“一库一策”加快实施治理。</w:t>
            </w:r>
          </w:p>
        </w:tc>
        <w:tc>
          <w:tcPr>
            <w:tcW w:w="825" w:type="pct"/>
            <w:vMerge w:val="continue"/>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Align w:val="center"/>
          </w:tcPr>
          <w:p>
            <w:pPr>
              <w:widowControl/>
              <w:spacing w:line="360" w:lineRule="exact"/>
              <w:jc w:val="center"/>
              <w:rPr>
                <w:color w:val="000000"/>
                <w:szCs w:val="21"/>
              </w:rPr>
            </w:pPr>
            <w:r>
              <w:rPr>
                <w:color w:val="000000"/>
                <w:szCs w:val="21"/>
              </w:rPr>
              <w:t>资源开发效率要求</w:t>
            </w:r>
          </w:p>
        </w:tc>
        <w:tc>
          <w:tcPr>
            <w:tcW w:w="3926" w:type="pct"/>
            <w:gridSpan w:val="10"/>
            <w:vAlign w:val="top"/>
          </w:tcPr>
          <w:p>
            <w:pPr>
              <w:tabs>
                <w:tab w:val="left" w:pos="1021"/>
              </w:tabs>
              <w:spacing w:line="360" w:lineRule="exact"/>
              <w:rPr>
                <w:color w:val="000000"/>
                <w:szCs w:val="21"/>
              </w:rPr>
            </w:pPr>
            <w:r>
              <w:rPr>
                <w:color w:val="000000" w:themeColor="text1"/>
                <w:szCs w:val="21"/>
                <w14:textFill>
                  <w14:solidFill>
                    <w14:schemeClr w14:val="tx1"/>
                  </w14:solidFill>
                </w14:textFill>
              </w:rPr>
              <w:t>（4.1）能源：</w:t>
            </w:r>
          </w:p>
          <w:p>
            <w:pPr>
              <w:tabs>
                <w:tab w:val="left" w:pos="1021"/>
              </w:tabs>
              <w:spacing w:line="360" w:lineRule="exact"/>
              <w:ind w:firstLine="420" w:firstLineChars="200"/>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360" w:lineRule="exact"/>
              <w:rPr>
                <w:color w:val="000000"/>
                <w:szCs w:val="21"/>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到2025年，耕地保有量为1.99万亩，永久基本农田保护面积为1.85万亩。</w:t>
            </w:r>
          </w:p>
        </w:tc>
        <w:tc>
          <w:tcPr>
            <w:tcW w:w="825" w:type="pct"/>
            <w:vMerge w:val="continue"/>
            <w:vAlign w:val="center"/>
          </w:tcPr>
          <w:p>
            <w:pPr>
              <w:spacing w:line="360" w:lineRule="exact"/>
            </w:pPr>
          </w:p>
        </w:tc>
      </w:tr>
    </w:tbl>
    <w:p>
      <w:pPr>
        <w:widowControl/>
        <w:jc w:val="center"/>
        <w:rPr>
          <w:color w:val="000000"/>
          <w:szCs w:val="21"/>
        </w:rPr>
      </w:pPr>
      <w:r>
        <w:rPr>
          <w:color w:val="000000"/>
          <w:szCs w:val="21"/>
        </w:rPr>
        <w:br w:type="page"/>
      </w:r>
    </w:p>
    <w:tbl>
      <w:tblPr>
        <w:tblStyle w:val="10"/>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74"/>
        <w:gridCol w:w="422"/>
        <w:gridCol w:w="422"/>
        <w:gridCol w:w="434"/>
        <w:gridCol w:w="828"/>
        <w:gridCol w:w="1109"/>
        <w:gridCol w:w="1011"/>
        <w:gridCol w:w="1131"/>
        <w:gridCol w:w="3539"/>
        <w:gridCol w:w="9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452" w:type="pct"/>
            <w:vMerge w:val="restart"/>
            <w:vAlign w:val="center"/>
          </w:tcPr>
          <w:p>
            <w:pPr>
              <w:widowControl/>
              <w:jc w:val="center"/>
              <w:rPr>
                <w:b/>
                <w:color w:val="000000"/>
                <w:kern w:val="0"/>
                <w:szCs w:val="21"/>
              </w:rPr>
            </w:pPr>
            <w:r>
              <w:rPr>
                <w:b/>
                <w:color w:val="000000"/>
                <w:kern w:val="0"/>
                <w:szCs w:val="21"/>
              </w:rPr>
              <w:t>单元名称</w:t>
            </w:r>
          </w:p>
        </w:tc>
        <w:tc>
          <w:tcPr>
            <w:tcW w:w="454" w:type="pct"/>
            <w:gridSpan w:val="3"/>
            <w:vAlign w:val="center"/>
          </w:tcPr>
          <w:p>
            <w:pPr>
              <w:widowControl/>
              <w:jc w:val="center"/>
              <w:rPr>
                <w:b/>
                <w:color w:val="000000"/>
                <w:kern w:val="0"/>
                <w:szCs w:val="21"/>
              </w:rPr>
            </w:pPr>
            <w:r>
              <w:rPr>
                <w:b/>
                <w:color w:val="000000"/>
                <w:kern w:val="0"/>
                <w:szCs w:val="21"/>
              </w:rPr>
              <w:t>行政区划</w:t>
            </w:r>
          </w:p>
        </w:tc>
        <w:tc>
          <w:tcPr>
            <w:tcW w:w="294" w:type="pct"/>
            <w:vMerge w:val="restart"/>
            <w:vAlign w:val="center"/>
          </w:tcPr>
          <w:p>
            <w:pPr>
              <w:widowControl/>
              <w:jc w:val="center"/>
              <w:rPr>
                <w:b/>
                <w:color w:val="000000"/>
                <w:kern w:val="0"/>
                <w:szCs w:val="21"/>
              </w:rPr>
            </w:pPr>
            <w:r>
              <w:rPr>
                <w:b/>
                <w:color w:val="000000"/>
                <w:kern w:val="0"/>
                <w:szCs w:val="21"/>
              </w:rPr>
              <w:t>单元分类</w:t>
            </w:r>
          </w:p>
        </w:tc>
        <w:tc>
          <w:tcPr>
            <w:tcW w:w="393"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59" w:type="pct"/>
            <w:vMerge w:val="restart"/>
            <w:vAlign w:val="center"/>
          </w:tcPr>
          <w:p>
            <w:pPr>
              <w:jc w:val="center"/>
              <w:rPr>
                <w:b/>
                <w:color w:val="000000"/>
                <w:kern w:val="0"/>
                <w:szCs w:val="21"/>
              </w:rPr>
            </w:pPr>
            <w:r>
              <w:rPr>
                <w:b/>
                <w:color w:val="000000"/>
                <w:kern w:val="0"/>
                <w:szCs w:val="21"/>
              </w:rPr>
              <w:t>涉及乡镇(街道)</w:t>
            </w:r>
          </w:p>
        </w:tc>
        <w:tc>
          <w:tcPr>
            <w:tcW w:w="401" w:type="pct"/>
            <w:vMerge w:val="restart"/>
            <w:vAlign w:val="center"/>
          </w:tcPr>
          <w:p>
            <w:pPr>
              <w:jc w:val="center"/>
              <w:rPr>
                <w:b/>
                <w:color w:val="000000"/>
                <w:kern w:val="0"/>
                <w:szCs w:val="21"/>
              </w:rPr>
            </w:pPr>
            <w:r>
              <w:rPr>
                <w:b/>
                <w:color w:val="000000"/>
                <w:kern w:val="0"/>
                <w:szCs w:val="21"/>
              </w:rPr>
              <w:t>主体功能定位</w:t>
            </w:r>
          </w:p>
        </w:tc>
        <w:tc>
          <w:tcPr>
            <w:tcW w:w="1256" w:type="pct"/>
            <w:vMerge w:val="restart"/>
            <w:vAlign w:val="center"/>
          </w:tcPr>
          <w:p>
            <w:pPr>
              <w:jc w:val="center"/>
              <w:rPr>
                <w:b/>
                <w:color w:val="000000"/>
                <w:kern w:val="0"/>
                <w:szCs w:val="21"/>
              </w:rPr>
            </w:pPr>
            <w:r>
              <w:rPr>
                <w:b/>
                <w:color w:val="000000"/>
                <w:kern w:val="0"/>
                <w:szCs w:val="21"/>
              </w:rPr>
              <w:t>经济产业布局</w:t>
            </w:r>
          </w:p>
        </w:tc>
        <w:tc>
          <w:tcPr>
            <w:tcW w:w="1108"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9" w:type="pct"/>
            <w:vMerge w:val="continue"/>
            <w:vAlign w:val="center"/>
          </w:tcPr>
          <w:p/>
        </w:tc>
        <w:tc>
          <w:tcPr>
            <w:tcW w:w="452" w:type="pct"/>
            <w:vMerge w:val="continue"/>
            <w:vAlign w:val="center"/>
          </w:tcPr>
          <w:p/>
        </w:tc>
        <w:tc>
          <w:tcPr>
            <w:tcW w:w="150" w:type="pct"/>
            <w:vAlign w:val="center"/>
          </w:tcPr>
          <w:p>
            <w:pPr>
              <w:jc w:val="center"/>
              <w:rPr>
                <w:b/>
                <w:color w:val="000000"/>
                <w:szCs w:val="21"/>
              </w:rPr>
            </w:pPr>
            <w:r>
              <w:rPr>
                <w:b/>
                <w:color w:val="000000"/>
                <w:szCs w:val="21"/>
              </w:rPr>
              <w:t>省</w:t>
            </w:r>
          </w:p>
        </w:tc>
        <w:tc>
          <w:tcPr>
            <w:tcW w:w="149" w:type="pct"/>
            <w:vAlign w:val="center"/>
          </w:tcPr>
          <w:p>
            <w:pPr>
              <w:jc w:val="center"/>
              <w:rPr>
                <w:b/>
                <w:color w:val="000000"/>
                <w:szCs w:val="21"/>
              </w:rPr>
            </w:pPr>
            <w:r>
              <w:rPr>
                <w:b/>
                <w:color w:val="000000"/>
                <w:szCs w:val="21"/>
              </w:rPr>
              <w:t>市</w:t>
            </w:r>
          </w:p>
        </w:tc>
        <w:tc>
          <w:tcPr>
            <w:tcW w:w="154" w:type="pct"/>
            <w:vAlign w:val="center"/>
          </w:tcPr>
          <w:p>
            <w:pPr>
              <w:jc w:val="center"/>
              <w:rPr>
                <w:b/>
                <w:color w:val="000000"/>
                <w:szCs w:val="21"/>
              </w:rPr>
            </w:pPr>
            <w:r>
              <w:rPr>
                <w:b/>
                <w:color w:val="000000"/>
                <w:szCs w:val="21"/>
              </w:rPr>
              <w:t>县</w:t>
            </w:r>
          </w:p>
        </w:tc>
        <w:tc>
          <w:tcPr>
            <w:tcW w:w="294" w:type="pct"/>
            <w:vMerge w:val="continue"/>
            <w:vAlign w:val="center"/>
          </w:tcPr>
          <w:p/>
        </w:tc>
        <w:tc>
          <w:tcPr>
            <w:tcW w:w="393" w:type="pct"/>
            <w:vMerge w:val="continue"/>
            <w:vAlign w:val="center"/>
          </w:tcPr>
          <w:p/>
        </w:tc>
        <w:tc>
          <w:tcPr>
            <w:tcW w:w="359" w:type="pct"/>
            <w:vMerge w:val="continue"/>
            <w:vAlign w:val="center"/>
          </w:tcPr>
          <w:p/>
        </w:tc>
        <w:tc>
          <w:tcPr>
            <w:tcW w:w="401" w:type="pct"/>
            <w:vMerge w:val="continue"/>
            <w:vAlign w:val="center"/>
          </w:tcPr>
          <w:p/>
        </w:tc>
        <w:tc>
          <w:tcPr>
            <w:tcW w:w="1256" w:type="pct"/>
            <w:vMerge w:val="continue"/>
            <w:vAlign w:val="center"/>
          </w:tcPr>
          <w:p/>
        </w:tc>
        <w:tc>
          <w:tcPr>
            <w:tcW w:w="1108"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jc w:val="center"/>
              <w:rPr>
                <w:color w:val="000000"/>
                <w:kern w:val="0"/>
                <w:szCs w:val="21"/>
              </w:rPr>
            </w:pPr>
            <w:r>
              <w:rPr>
                <w:color w:val="000000"/>
                <w:kern w:val="0"/>
                <w:szCs w:val="21"/>
              </w:rPr>
              <w:t>ZH43052130004</w:t>
            </w:r>
          </w:p>
        </w:tc>
        <w:tc>
          <w:tcPr>
            <w:tcW w:w="452" w:type="pct"/>
            <w:vAlign w:val="center"/>
          </w:tcPr>
          <w:p>
            <w:pPr>
              <w:widowControl/>
              <w:jc w:val="center"/>
              <w:rPr>
                <w:color w:val="000000"/>
                <w:kern w:val="0"/>
                <w:szCs w:val="21"/>
              </w:rPr>
            </w:pPr>
            <w:r>
              <w:rPr>
                <w:color w:val="000000"/>
                <w:szCs w:val="21"/>
              </w:rPr>
              <w:t>灵官殿镇</w:t>
            </w:r>
          </w:p>
        </w:tc>
        <w:tc>
          <w:tcPr>
            <w:tcW w:w="150" w:type="pct"/>
            <w:vAlign w:val="center"/>
          </w:tcPr>
          <w:p>
            <w:pPr>
              <w:widowControl/>
              <w:jc w:val="center"/>
              <w:rPr>
                <w:color w:val="000000"/>
                <w:kern w:val="0"/>
                <w:szCs w:val="21"/>
              </w:rPr>
            </w:pPr>
            <w:r>
              <w:rPr>
                <w:color w:val="000000"/>
                <w:kern w:val="0"/>
                <w:szCs w:val="21"/>
              </w:rPr>
              <w:t>湖南省</w:t>
            </w:r>
          </w:p>
        </w:tc>
        <w:tc>
          <w:tcPr>
            <w:tcW w:w="149" w:type="pct"/>
            <w:vAlign w:val="center"/>
          </w:tcPr>
          <w:p>
            <w:pPr>
              <w:widowControl/>
              <w:jc w:val="center"/>
              <w:rPr>
                <w:color w:val="000000"/>
                <w:kern w:val="0"/>
                <w:szCs w:val="21"/>
              </w:rPr>
            </w:pPr>
            <w:r>
              <w:rPr>
                <w:color w:val="000000"/>
                <w:kern w:val="0"/>
                <w:szCs w:val="21"/>
              </w:rPr>
              <w:t>邵阳市</w:t>
            </w:r>
          </w:p>
        </w:tc>
        <w:tc>
          <w:tcPr>
            <w:tcW w:w="154" w:type="pct"/>
            <w:vAlign w:val="center"/>
          </w:tcPr>
          <w:p>
            <w:pPr>
              <w:widowControl/>
              <w:jc w:val="center"/>
              <w:rPr>
                <w:color w:val="000000"/>
                <w:kern w:val="0"/>
                <w:szCs w:val="21"/>
              </w:rPr>
            </w:pPr>
            <w:r>
              <w:rPr>
                <w:color w:val="000000"/>
                <w:kern w:val="0"/>
                <w:szCs w:val="21"/>
              </w:rPr>
              <w:t>邵东市</w:t>
            </w:r>
          </w:p>
        </w:tc>
        <w:tc>
          <w:tcPr>
            <w:tcW w:w="294" w:type="pct"/>
            <w:vAlign w:val="center"/>
          </w:tcPr>
          <w:p>
            <w:pPr>
              <w:widowControl/>
              <w:jc w:val="center"/>
              <w:rPr>
                <w:color w:val="000000"/>
                <w:kern w:val="0"/>
                <w:szCs w:val="21"/>
              </w:rPr>
            </w:pPr>
            <w:r>
              <w:rPr>
                <w:color w:val="000000"/>
                <w:kern w:val="0"/>
                <w:szCs w:val="21"/>
              </w:rPr>
              <w:t>一般管控单元</w:t>
            </w:r>
          </w:p>
        </w:tc>
        <w:tc>
          <w:tcPr>
            <w:tcW w:w="393" w:type="pct"/>
            <w:vAlign w:val="center"/>
          </w:tcPr>
          <w:p>
            <w:pPr>
              <w:widowControl/>
              <w:jc w:val="center"/>
              <w:rPr>
                <w:color w:val="000000"/>
                <w:kern w:val="0"/>
                <w:szCs w:val="21"/>
              </w:rPr>
            </w:pPr>
            <w:r>
              <w:rPr>
                <w:color w:val="000000"/>
                <w:kern w:val="0"/>
                <w:szCs w:val="21"/>
              </w:rPr>
              <w:t>159.15</w:t>
            </w:r>
          </w:p>
        </w:tc>
        <w:tc>
          <w:tcPr>
            <w:tcW w:w="359" w:type="pct"/>
            <w:vAlign w:val="center"/>
          </w:tcPr>
          <w:p>
            <w:pPr>
              <w:jc w:val="center"/>
              <w:rPr>
                <w:color w:val="000000"/>
                <w:szCs w:val="21"/>
              </w:rPr>
            </w:pPr>
            <w:r>
              <w:rPr>
                <w:color w:val="000000"/>
                <w:szCs w:val="21"/>
              </w:rPr>
              <w:t>灵官殿镇</w:t>
            </w:r>
          </w:p>
        </w:tc>
        <w:tc>
          <w:tcPr>
            <w:tcW w:w="401" w:type="pct"/>
            <w:vAlign w:val="center"/>
          </w:tcPr>
          <w:p>
            <w:pPr>
              <w:jc w:val="center"/>
              <w:rPr>
                <w:color w:val="000000"/>
                <w:kern w:val="0"/>
                <w:szCs w:val="21"/>
              </w:rPr>
            </w:pPr>
            <w:r>
              <w:rPr>
                <w:color w:val="000000" w:themeColor="text1"/>
                <w:szCs w:val="21"/>
                <w14:textFill>
                  <w14:solidFill>
                    <w14:schemeClr w14:val="tx1"/>
                  </w14:solidFill>
                </w14:textFill>
              </w:rPr>
              <w:t>重点生态功能区/能源资源富集区</w:t>
            </w:r>
          </w:p>
        </w:tc>
        <w:tc>
          <w:tcPr>
            <w:tcW w:w="1256" w:type="pct"/>
            <w:vAlign w:val="center"/>
          </w:tcPr>
          <w:p>
            <w:pPr>
              <w:widowControl/>
              <w:jc w:val="left"/>
              <w:rPr>
                <w:strike/>
                <w:color w:val="000000"/>
                <w:kern w:val="0"/>
                <w:szCs w:val="21"/>
              </w:rPr>
            </w:pPr>
            <w:r>
              <w:rPr>
                <w:rFonts w:hint="eastAsia"/>
                <w:strike w:val="0"/>
                <w:color w:val="000000"/>
                <w:kern w:val="0"/>
                <w:szCs w:val="21"/>
                <w:highlight w:val="none"/>
              </w:rPr>
              <w:t>农业种植、畜禽养殖、农副产品加工、食品加工、电子信息、五金、铸造、金属表面处理、塑料制品、家具制造、机电设备制造、制鞋、服装加工、建筑材料制造、废旧资源利用、铅锌采选、休闲农业及餐饮、康养产业、教育产业</w:t>
            </w:r>
            <w:r>
              <w:rPr>
                <w:rFonts w:hint="eastAsia"/>
                <w:color w:val="000000"/>
                <w:kern w:val="0"/>
                <w:szCs w:val="21"/>
                <w:highlight w:val="none"/>
                <w:lang w:eastAsia="zh-CN"/>
              </w:rPr>
              <w:t>、</w:t>
            </w:r>
            <w:r>
              <w:rPr>
                <w:rFonts w:hint="eastAsia"/>
                <w:color w:val="000000"/>
                <w:kern w:val="0"/>
                <w:szCs w:val="21"/>
                <w:highlight w:val="none"/>
                <w:lang w:val="en-US" w:eastAsia="zh-CN"/>
              </w:rPr>
              <w:t>光伏、风电、新能源、储能</w:t>
            </w:r>
            <w:r>
              <w:rPr>
                <w:rFonts w:hint="eastAsia"/>
                <w:strike w:val="0"/>
                <w:color w:val="000000"/>
                <w:kern w:val="0"/>
                <w:szCs w:val="21"/>
                <w:highlight w:val="none"/>
              </w:rPr>
              <w:t>等</w:t>
            </w:r>
          </w:p>
        </w:tc>
        <w:tc>
          <w:tcPr>
            <w:tcW w:w="1108" w:type="pct"/>
            <w:gridSpan w:val="2"/>
          </w:tcPr>
          <w:p>
            <w:pPr>
              <w:widowControl/>
              <w:rPr>
                <w:strike/>
                <w:color w:val="000000"/>
                <w:kern w:val="0"/>
                <w:szCs w:val="21"/>
              </w:rPr>
            </w:pPr>
            <w:r>
              <w:rPr>
                <w:b/>
                <w:color w:val="000000"/>
                <w:kern w:val="0"/>
                <w:szCs w:val="21"/>
              </w:rPr>
              <w:t>主要环境问题：</w:t>
            </w:r>
          </w:p>
          <w:p>
            <w:pPr>
              <w:widowControl/>
              <w:rPr>
                <w:b/>
                <w:color w:val="000000"/>
                <w:kern w:val="0"/>
                <w:szCs w:val="21"/>
              </w:rPr>
            </w:pPr>
            <w:r>
              <w:rPr>
                <w:color w:val="000000"/>
                <w:kern w:val="0"/>
                <w:szCs w:val="21"/>
              </w:rPr>
              <w:t>农村面源污染未得到有效治理；部分企业地块土壤污染。</w:t>
            </w:r>
            <w:r>
              <w:rPr>
                <w:color w:val="000000" w:themeColor="text1"/>
                <w:kern w:val="0"/>
                <w:szCs w:val="21"/>
                <w14:textFill>
                  <w14:solidFill>
                    <w14:schemeClr w14:val="tx1"/>
                  </w14:solidFill>
                </w14:textFill>
              </w:rPr>
              <w:t>声环境质量有待提升、空气质量有待提升、</w:t>
            </w:r>
            <w:r>
              <w:rPr>
                <w:color w:val="000000"/>
                <w:kern w:val="0"/>
                <w:szCs w:val="21"/>
              </w:rPr>
              <w:t>企业工矿场地生态恢复缓慢。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spacing w:line="440" w:lineRule="exact"/>
              <w:jc w:val="center"/>
              <w:rPr>
                <w:b/>
                <w:color w:val="000000"/>
                <w:kern w:val="0"/>
                <w:szCs w:val="21"/>
              </w:rPr>
            </w:pPr>
            <w:r>
              <w:rPr>
                <w:b/>
                <w:color w:val="000000"/>
                <w:kern w:val="0"/>
                <w:szCs w:val="21"/>
              </w:rPr>
              <w:t>主要属性</w:t>
            </w:r>
          </w:p>
        </w:tc>
        <w:tc>
          <w:tcPr>
            <w:tcW w:w="4720" w:type="pct"/>
            <w:gridSpan w:val="11"/>
            <w:vAlign w:val="center"/>
          </w:tcPr>
          <w:p>
            <w:pPr>
              <w:spacing w:line="440" w:lineRule="exact"/>
              <w:rPr>
                <w:color w:val="000000"/>
                <w:szCs w:val="21"/>
              </w:rPr>
            </w:pPr>
            <w:r>
              <w:rPr>
                <w:b/>
                <w:bCs/>
                <w:color w:val="000000"/>
                <w:szCs w:val="21"/>
              </w:rPr>
              <w:t>灵官殿镇</w:t>
            </w:r>
            <w:r>
              <w:rPr>
                <w:color w:val="000000"/>
                <w:szCs w:val="21"/>
              </w:rPr>
              <w:t>：</w:t>
            </w:r>
          </w:p>
          <w:p>
            <w:pPr>
              <w:spacing w:line="440" w:lineRule="exact"/>
              <w:rPr>
                <w:color w:val="000000"/>
                <w:szCs w:val="21"/>
              </w:rPr>
            </w:pPr>
            <w:r>
              <w:rPr>
                <w:b/>
                <w:bCs/>
                <w:szCs w:val="21"/>
              </w:rPr>
              <w:t>生态红线：</w:t>
            </w:r>
            <w:r>
              <w:rPr>
                <w:color w:val="000000"/>
                <w:szCs w:val="21"/>
              </w:rPr>
              <w:t>一般生态空间</w:t>
            </w:r>
          </w:p>
          <w:p>
            <w:pPr>
              <w:spacing w:line="440" w:lineRule="exact"/>
              <w:rPr>
                <w:color w:val="000000"/>
                <w:szCs w:val="21"/>
              </w:rPr>
            </w:pPr>
            <w:r>
              <w:rPr>
                <w:b/>
                <w:bCs/>
                <w:szCs w:val="21"/>
              </w:rPr>
              <w:t>环境质量底线：</w:t>
            </w:r>
            <w:r>
              <w:rPr>
                <w:color w:val="000000"/>
                <w:szCs w:val="21"/>
              </w:rPr>
              <w:t>水环境其他重点管控区/水环境一般管控区；大气环境优先保护区/其他区域；农用地优先保护区/建设用地重点管控区/其他重点管控区/一般管控区；重点生态功能区/能源资源富集区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spacing w:line="440" w:lineRule="exact"/>
              <w:jc w:val="center"/>
              <w:rPr>
                <w:b/>
                <w:color w:val="000000"/>
                <w:szCs w:val="21"/>
              </w:rPr>
            </w:pPr>
            <w:r>
              <w:rPr>
                <w:b/>
                <w:color w:val="000000"/>
                <w:szCs w:val="21"/>
              </w:rPr>
              <w:t>管控维度</w:t>
            </w:r>
          </w:p>
        </w:tc>
        <w:tc>
          <w:tcPr>
            <w:tcW w:w="3644" w:type="pct"/>
            <w:gridSpan w:val="10"/>
            <w:vAlign w:val="center"/>
          </w:tcPr>
          <w:p>
            <w:pPr>
              <w:spacing w:line="440" w:lineRule="exact"/>
              <w:jc w:val="center"/>
              <w:rPr>
                <w:b/>
                <w:color w:val="000000"/>
                <w:szCs w:val="21"/>
              </w:rPr>
            </w:pPr>
            <w:r>
              <w:rPr>
                <w:b/>
                <w:color w:val="000000"/>
                <w:kern w:val="0"/>
                <w:szCs w:val="21"/>
              </w:rPr>
              <w:t>管控要求</w:t>
            </w:r>
          </w:p>
        </w:tc>
        <w:tc>
          <w:tcPr>
            <w:tcW w:w="1076" w:type="pct"/>
            <w:vAlign w:val="center"/>
          </w:tcPr>
          <w:p>
            <w:pPr>
              <w:spacing w:line="44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spacing w:line="440" w:lineRule="exact"/>
              <w:jc w:val="center"/>
              <w:rPr>
                <w:color w:val="000000"/>
                <w:szCs w:val="21"/>
              </w:rPr>
            </w:pPr>
            <w:r>
              <w:rPr>
                <w:color w:val="000000"/>
                <w:szCs w:val="21"/>
              </w:rPr>
              <w:t>空间布局约束</w:t>
            </w:r>
          </w:p>
        </w:tc>
        <w:tc>
          <w:tcPr>
            <w:tcW w:w="3644" w:type="pct"/>
            <w:gridSpan w:val="10"/>
            <w:vAlign w:val="center"/>
          </w:tcPr>
          <w:p>
            <w:pPr>
              <w:tabs>
                <w:tab w:val="left" w:pos="1021"/>
              </w:tabs>
              <w:spacing w:line="440" w:lineRule="exact"/>
              <w:rPr>
                <w:color w:val="000000"/>
                <w:szCs w:val="21"/>
              </w:rPr>
            </w:pPr>
            <w:r>
              <w:rPr>
                <w:color w:val="000000"/>
                <w:szCs w:val="21"/>
              </w:rPr>
              <w:t>（1.1）建制镇区域内10蒸吨/小时以下的工业锅炉必须要求使用清洁能源。当城市燃气供应不能满足需求时，可以过渡使用生物质成型燃料、柴油等非高污染燃料。</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（1.2）生态保护红线内，在符合现行法律法规前提下，除国家重大战略项目外，仅允许对生态功能不造成破坏的有限人为活动，确保生态功能不降低、面积不减少、性质不改变。</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（1.3）禁止占用耕地建窑、建坟或者擅自在耕地上建房、挖砂、采石、采矿、取土等。</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（1.4）严禁公路和河流两侧、自然保护区等生态敏感地区的私挖乱采。</w:t>
            </w:r>
          </w:p>
        </w:tc>
        <w:tc>
          <w:tcPr>
            <w:tcW w:w="1076" w:type="pct"/>
            <w:vMerge w:val="restart"/>
            <w:vAlign w:val="center"/>
          </w:tcPr>
          <w:p>
            <w:pPr>
              <w:tabs>
                <w:tab w:val="left" w:pos="1021"/>
              </w:tabs>
              <w:spacing w:line="440" w:lineRule="exact"/>
              <w:rPr>
                <w:color w:val="000000" w:themeColor="text1"/>
                <w:szCs w:val="21"/>
                <w14:textFill>
                  <w14:solidFill>
                    <w14:schemeClr w14:val="tx1"/>
                  </w14:solidFill>
                </w14:textFill>
              </w:rPr>
            </w:pPr>
            <w:r>
              <w:rPr>
                <w:color w:val="000000"/>
                <w:szCs w:val="21"/>
              </w:rPr>
              <w:t>（1.1）根据当地实际情况、存在的环境问题、属性表内容等，结合法律法规规章制度、规划、规范性文件等提出。</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（1.2）（1.4）（2.1.1）（2.3）（3.1）（3.2）（3.3）（3.4）（4.1.1）（4.1.2）（4.1.3）《邵东市“十四五”生态环境保护规划》（2021-2025）</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（1.3）（4.3）《邵东市国土空间总体规划》（2021-2035 年）</w:t>
            </w:r>
          </w:p>
          <w:p>
            <w:pPr>
              <w:tabs>
                <w:tab w:val="left" w:pos="1021"/>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（2.1.2）（2.2）《邵东市国民经济和社会发展第十四个五年规划》（2021年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2025年）</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bCs/>
                <w:color w:val="000000"/>
                <w:szCs w:val="21"/>
              </w:rPr>
              <w:t>《邵阳市“十四五”用水总量和强度双控目标》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spacing w:line="440" w:lineRule="exact"/>
              <w:jc w:val="center"/>
              <w:rPr>
                <w:color w:val="000000"/>
                <w:szCs w:val="21"/>
              </w:rPr>
            </w:pPr>
            <w:r>
              <w:rPr>
                <w:color w:val="000000"/>
                <w:szCs w:val="21"/>
              </w:rPr>
              <w:t>污染物排放管控</w:t>
            </w:r>
          </w:p>
        </w:tc>
        <w:tc>
          <w:tcPr>
            <w:tcW w:w="3644" w:type="pct"/>
            <w:gridSpan w:val="10"/>
            <w:vAlign w:val="center"/>
          </w:tcPr>
          <w:p>
            <w:pPr>
              <w:tabs>
                <w:tab w:val="left" w:pos="1021"/>
              </w:tabs>
              <w:spacing w:line="440" w:lineRule="exact"/>
              <w:rPr>
                <w:color w:val="000000"/>
                <w:szCs w:val="21"/>
              </w:rPr>
            </w:pPr>
            <w:r>
              <w:rPr>
                <w:color w:val="000000" w:themeColor="text1"/>
                <w:szCs w:val="21"/>
                <w14:textFill>
                  <w14:solidFill>
                    <w14:schemeClr w14:val="tx1"/>
                  </w14:solidFill>
                </w14:textFill>
              </w:rPr>
              <w:t>（2.1）</w:t>
            </w:r>
            <w:r>
              <w:rPr>
                <w:color w:val="000000"/>
                <w:szCs w:val="21"/>
              </w:rPr>
              <w:t>废水：</w:t>
            </w:r>
          </w:p>
          <w:p>
            <w:pPr>
              <w:tabs>
                <w:tab w:val="left" w:pos="1021"/>
              </w:tabs>
              <w:spacing w:line="440" w:lineRule="exact"/>
              <w:ind w:firstLine="420" w:firstLineChars="200"/>
              <w:rPr>
                <w:color w:val="000000"/>
                <w:szCs w:val="21"/>
              </w:rPr>
            </w:pPr>
            <w:r>
              <w:rPr>
                <w:color w:val="000000" w:themeColor="text1"/>
                <w:szCs w:val="21"/>
                <w14:textFill>
                  <w14:solidFill>
                    <w14:schemeClr w14:val="tx1"/>
                  </w14:solidFill>
                </w14:textFill>
              </w:rPr>
              <w:t>（2.1.1）补齐城乡污水收集和处理设施短板，加强生活源污染治理，完善城市污水管网建设，实现建成区污水管网全覆盖，改造老旧破损管网及检查井，系统解决管网漏损问题。</w:t>
            </w:r>
          </w:p>
          <w:p>
            <w:pPr>
              <w:tabs>
                <w:tab w:val="left" w:pos="1021"/>
              </w:tabs>
              <w:spacing w:line="440" w:lineRule="exact"/>
              <w:ind w:firstLine="420" w:firstLineChars="2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（2.1.2）强化饮用水源地保护，建立健全饮用水源地环境监测制度体系。稳步开展蒸水、侧水、桐江河等河流的重点流域综合治理、矿涌水、黑臭水体治理工作。</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（2.2）废气：加大工地扬尘管理和涉气企业的监管，严格治理餐饮业排污，加快淘汰黄标车，加强机动车环保管理，大力推广新能源汽车。</w:t>
            </w:r>
          </w:p>
          <w:p>
            <w:pPr>
              <w:tabs>
                <w:tab w:val="left" w:pos="1021"/>
              </w:tabs>
              <w:spacing w:line="440" w:lineRule="exact"/>
              <w:rPr>
                <w:color w:val="000000"/>
                <w:szCs w:val="21"/>
              </w:rPr>
            </w:pPr>
            <w:r>
              <w:rPr>
                <w:color w:val="000000" w:themeColor="text1"/>
                <w:szCs w:val="21"/>
                <w14:textFill>
                  <w14:solidFill>
                    <w14:schemeClr w14:val="tx1"/>
                  </w14:solidFill>
                </w14:textFill>
              </w:rPr>
              <w:t>（2.3）固体废弃物：推动塑料污染全链条治理，强化生活垃圾分类管理。</w:t>
            </w:r>
          </w:p>
        </w:tc>
        <w:tc>
          <w:tcPr>
            <w:tcW w:w="1076" w:type="pct"/>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spacing w:line="440" w:lineRule="exact"/>
              <w:jc w:val="center"/>
              <w:rPr>
                <w:color w:val="000000"/>
                <w:szCs w:val="21"/>
              </w:rPr>
            </w:pPr>
            <w:r>
              <w:rPr>
                <w:color w:val="000000"/>
                <w:szCs w:val="21"/>
              </w:rPr>
              <w:t>环境风险防控</w:t>
            </w:r>
          </w:p>
        </w:tc>
        <w:tc>
          <w:tcPr>
            <w:tcW w:w="3644" w:type="pct"/>
            <w:gridSpan w:val="10"/>
            <w:vAlign w:val="center"/>
          </w:tcPr>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（3.1）持续开展固体废物和危险废物贮存场所周边土壤与地下水环境状况调查评估。</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（3.2）严格控制涉重金属行业污染物排放，整治涉重金属矿区历史遗留固体废物，防控矿产资源开发污染土壤。</w:t>
            </w:r>
          </w:p>
          <w:p>
            <w:pPr>
              <w:pStyle w:val="9"/>
              <w:spacing w:line="440" w:lineRule="exact"/>
              <w:ind w:left="0" w:leftChars="0" w:firstLine="0" w:firstLineChars="0"/>
            </w:pPr>
            <w:r>
              <w:t>（3.3）强化受污染耕地管控，建立健全受污染耕地安全利用长效机制。</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（3.4）全面排查尾矿库，分级分类推进尾矿库整治工作，拉条挂账建立问题清单，明确责任主体、治理措施、时限要求等，按照“一库一策”加快实施治理。</w:t>
            </w:r>
          </w:p>
        </w:tc>
        <w:tc>
          <w:tcPr>
            <w:tcW w:w="1076" w:type="pct"/>
            <w:vMerge w:val="continue"/>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widowControl/>
              <w:spacing w:line="440" w:lineRule="exact"/>
              <w:jc w:val="center"/>
              <w:rPr>
                <w:color w:val="000000"/>
                <w:szCs w:val="21"/>
              </w:rPr>
            </w:pPr>
            <w:r>
              <w:rPr>
                <w:color w:val="000000"/>
                <w:szCs w:val="21"/>
              </w:rPr>
              <w:t>资源开发效率要求</w:t>
            </w:r>
          </w:p>
        </w:tc>
        <w:tc>
          <w:tcPr>
            <w:tcW w:w="3644" w:type="pct"/>
            <w:gridSpan w:val="10"/>
          </w:tcPr>
          <w:p>
            <w:pPr>
              <w:tabs>
                <w:tab w:val="left" w:pos="1021"/>
              </w:tabs>
              <w:spacing w:line="440" w:lineRule="exact"/>
              <w:rPr>
                <w:color w:val="000000"/>
                <w:szCs w:val="21"/>
              </w:rPr>
            </w:pPr>
            <w:r>
              <w:rPr>
                <w:color w:val="000000" w:themeColor="text1"/>
                <w:szCs w:val="21"/>
                <w14:textFill>
                  <w14:solidFill>
                    <w14:schemeClr w14:val="tx1"/>
                  </w14:solidFill>
                </w14:textFill>
              </w:rPr>
              <w:t>（4.1）能源：</w:t>
            </w:r>
          </w:p>
          <w:p>
            <w:pPr>
              <w:tabs>
                <w:tab w:val="left" w:pos="1021"/>
              </w:tabs>
              <w:spacing w:line="440" w:lineRule="exact"/>
              <w:rPr>
                <w:color w:val="000000"/>
                <w:szCs w:val="21"/>
              </w:rPr>
            </w:pPr>
            <w:r>
              <w:rPr>
                <w:color w:val="000000" w:themeColor="text1"/>
                <w:szCs w:val="21"/>
                <w14:textFill>
                  <w14:solidFill>
                    <w14:schemeClr w14:val="tx1"/>
                  </w14:solidFill>
                </w14:textFill>
              </w:rPr>
              <w:t>（4.1.1）</w:t>
            </w:r>
            <w:r>
              <w:rPr>
                <w:color w:val="000000"/>
                <w:szCs w:val="21"/>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（4.1.2）加快推进以风电、光伏发电为主的新能源发展，统筹发展水能、氢能、地热、生物质等优质清洁能源。</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4.1.3）到2025年，邵东市非化石能源消费占比提升至26%。实施终端能源清洁化替代，加快工业、建筑、交通等领域电气化发展，推行清洁能源替代，逐步改善农村用能结构，提倡使用太阳能、石油液化气、电、沼气等清洁能源。</w:t>
            </w:r>
          </w:p>
          <w:p>
            <w:pPr>
              <w:tabs>
                <w:tab w:val="left" w:pos="1021"/>
              </w:tabs>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（4.2）水资源：到2025年，邵东市</w:t>
            </w:r>
            <w:r>
              <w:rPr>
                <w:szCs w:val="21"/>
              </w:rPr>
              <w:t>用水总量控制在4.466亿立方米，万元地区生产总值用水量比2020年下降22.19%，万元工业增加值用水量比2020年下降15.19%，农田灌溉水有效利用系数0.568。</w:t>
            </w:r>
          </w:p>
          <w:p>
            <w:pPr>
              <w:tabs>
                <w:tab w:val="left" w:pos="1021"/>
              </w:tabs>
              <w:spacing w:line="440" w:lineRule="exact"/>
              <w:rPr>
                <w:color w:val="000000"/>
                <w:szCs w:val="21"/>
              </w:rPr>
            </w:pPr>
            <w:r>
              <w:rPr>
                <w:color w:val="000000" w:themeColor="text1"/>
                <w:szCs w:val="21"/>
                <w14:textFill>
                  <w14:solidFill>
                    <w14:schemeClr w14:val="tx1"/>
                  </w14:solidFill>
                </w14:textFill>
              </w:rPr>
              <w:t>（4.3）</w:t>
            </w:r>
            <w:r>
              <w:rPr>
                <w:szCs w:val="21"/>
              </w:rPr>
              <w:t>土地资源：</w:t>
            </w:r>
            <w:r>
              <w:rPr>
                <w:color w:val="000000" w:themeColor="text1"/>
                <w:szCs w:val="21"/>
                <w14:textFill>
                  <w14:solidFill>
                    <w14:schemeClr w14:val="tx1"/>
                  </w14:solidFill>
                </w14:textFill>
              </w:rPr>
              <w:t>到2025年，耕地保有量为5.15万亩，永久基本农田保护面积为4.83万亩。</w:t>
            </w:r>
          </w:p>
        </w:tc>
        <w:tc>
          <w:tcPr>
            <w:tcW w:w="1076" w:type="pct"/>
            <w:vMerge w:val="continue"/>
            <w:vAlign w:val="center"/>
          </w:tcPr>
          <w:p>
            <w:pPr>
              <w:spacing w:line="440" w:lineRule="exact"/>
            </w:pPr>
          </w:p>
        </w:tc>
      </w:tr>
    </w:tbl>
    <w:p>
      <w:r>
        <w:br w:type="page"/>
      </w:r>
    </w:p>
    <w:p>
      <w:pPr>
        <w:pStyle w:val="2"/>
        <w:rPr>
          <w:rFonts w:ascii="Times New Roman" w:hAnsi="Times New Roman" w:cs="Times New Roman"/>
        </w:rPr>
      </w:pPr>
      <w:bookmarkStart w:id="34" w:name="_Toc57836520"/>
      <w:bookmarkStart w:id="35" w:name="_Toc16100"/>
      <w:r>
        <w:rPr>
          <w:rFonts w:ascii="Times New Roman" w:hAnsi="Times New Roman" w:cs="Times New Roman"/>
        </w:rPr>
        <w:t>2-5新邵县</w:t>
      </w:r>
      <w:bookmarkEnd w:id="34"/>
      <w:bookmarkEnd w:id="35"/>
    </w:p>
    <w:tbl>
      <w:tblPr>
        <w:tblStyle w:val="10"/>
        <w:tblpPr w:leftFromText="180" w:rightFromText="180" w:vertAnchor="text" w:tblpXSpec="center"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47"/>
        <w:gridCol w:w="575"/>
        <w:gridCol w:w="575"/>
        <w:gridCol w:w="432"/>
        <w:gridCol w:w="863"/>
        <w:gridCol w:w="1008"/>
        <w:gridCol w:w="1151"/>
        <w:gridCol w:w="694"/>
        <w:gridCol w:w="2387"/>
        <w:gridCol w:w="383"/>
        <w:gridCol w:w="321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2048"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1585"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864"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1008"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1151"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693"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w:t>
            </w:r>
          </w:p>
        </w:tc>
        <w:tc>
          <w:tcPr>
            <w:tcW w:w="2386"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3606" w:type="dxa"/>
            <w:gridSpan w:val="3"/>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2048"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576"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576"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433"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864"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008"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151"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69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2386"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606" w:type="dxa"/>
            <w:gridSpan w:val="3"/>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ZH43052210001</w:t>
            </w:r>
          </w:p>
        </w:tc>
        <w:tc>
          <w:tcPr>
            <w:tcW w:w="204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大新镇/龙溪铺镇</w:t>
            </w:r>
          </w:p>
        </w:tc>
        <w:tc>
          <w:tcPr>
            <w:tcW w:w="576"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576"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433"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864"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优先保护单元</w:t>
            </w:r>
          </w:p>
        </w:tc>
        <w:tc>
          <w:tcPr>
            <w:tcW w:w="1008" w:type="dxa"/>
            <w:tcBorders>
              <w:top w:val="single" w:color="auto" w:sz="4" w:space="0"/>
              <w:left w:val="nil"/>
              <w:bottom w:val="single" w:color="auto" w:sz="4" w:space="0"/>
              <w:right w:val="single" w:color="auto" w:sz="4" w:space="0"/>
            </w:tcBorders>
            <w:vAlign w:val="center"/>
          </w:tcPr>
          <w:p>
            <w:pPr>
              <w:pStyle w:val="16"/>
              <w:rPr>
                <w:rFonts w:ascii="Times New Roman" w:hAnsi="Times New Roman" w:cs="Times New Roman"/>
              </w:rPr>
            </w:pPr>
            <w:r>
              <w:rPr>
                <w:rFonts w:ascii="Times New Roman" w:hAnsi="Times New Roman" w:eastAsia="宋体" w:cs="Times New Roman"/>
                <w:color w:val="auto"/>
                <w:kern w:val="2"/>
                <w:sz w:val="21"/>
                <w:szCs w:val="22"/>
              </w:rPr>
              <w:t>287.62</w:t>
            </w:r>
          </w:p>
        </w:tc>
        <w:tc>
          <w:tcPr>
            <w:tcW w:w="1151"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大新镇/龙溪铺镇</w:t>
            </w:r>
          </w:p>
        </w:tc>
        <w:tc>
          <w:tcPr>
            <w:tcW w:w="693" w:type="dxa"/>
            <w:tcBorders>
              <w:top w:val="single" w:color="auto" w:sz="4" w:space="0"/>
              <w:left w:val="nil"/>
              <w:bottom w:val="single" w:color="auto" w:sz="4" w:space="0"/>
              <w:right w:val="single" w:color="auto" w:sz="4" w:space="0"/>
            </w:tcBorders>
            <w:vAlign w:val="center"/>
          </w:tcPr>
          <w:p>
            <w:pPr>
              <w:rPr>
                <w:color w:val="000000"/>
              </w:rPr>
            </w:pPr>
            <w:r>
              <w:rPr>
                <w:b/>
                <w:bCs/>
                <w:color w:val="000000"/>
              </w:rPr>
              <w:t>龙溪铺镇</w:t>
            </w:r>
            <w:r>
              <w:rPr>
                <w:color w:val="000000"/>
              </w:rPr>
              <w:t>：农产品主产区；</w:t>
            </w:r>
          </w:p>
          <w:p>
            <w:pPr>
              <w:rPr>
                <w:color w:val="000000"/>
              </w:rPr>
            </w:pPr>
            <w:r>
              <w:rPr>
                <w:b/>
                <w:bCs/>
                <w:color w:val="000000"/>
              </w:rPr>
              <w:t>大新镇</w:t>
            </w:r>
            <w:r>
              <w:rPr>
                <w:color w:val="000000"/>
              </w:rPr>
              <w:t>：重点生态功能区</w:t>
            </w:r>
          </w:p>
        </w:tc>
        <w:tc>
          <w:tcPr>
            <w:tcW w:w="2386" w:type="dxa"/>
            <w:tcBorders>
              <w:top w:val="single" w:color="auto" w:sz="4" w:space="0"/>
              <w:left w:val="nil"/>
              <w:bottom w:val="single" w:color="auto" w:sz="4" w:space="0"/>
              <w:right w:val="single" w:color="auto" w:sz="4" w:space="0"/>
            </w:tcBorders>
            <w:vAlign w:val="center"/>
          </w:tcPr>
          <w:p>
            <w:pPr>
              <w:widowControl/>
              <w:jc w:val="center"/>
            </w:pPr>
            <w:r>
              <w:rPr>
                <w:rFonts w:ascii="宋体" w:hAnsi="宋体"/>
                <w:b/>
                <w:bCs/>
              </w:rPr>
              <w:t>大新镇</w:t>
            </w:r>
            <w:r>
              <w:rPr>
                <w:rFonts w:ascii="宋体" w:hAnsi="宋体"/>
              </w:rPr>
              <w:t>：</w:t>
            </w:r>
            <w:r>
              <w:rPr>
                <w:rFonts w:ascii="宋体" w:hAnsi="宋体"/>
                <w:kern w:val="0"/>
              </w:rPr>
              <w:t>农业种植、畜禽养殖、</w:t>
            </w:r>
            <w:r>
              <w:rPr>
                <w:rFonts w:ascii="宋体" w:hAnsi="宋体"/>
              </w:rPr>
              <w:t>旅游业</w:t>
            </w:r>
            <w:r>
              <w:rPr>
                <w:rFonts w:hint="eastAsia" w:ascii="宋体" w:hAnsi="宋体"/>
              </w:rPr>
              <w:t>、能源开发</w:t>
            </w:r>
            <w:r>
              <w:rPr>
                <w:rFonts w:ascii="宋体" w:hAnsi="宋体"/>
              </w:rPr>
              <w:t>；</w:t>
            </w:r>
          </w:p>
          <w:p>
            <w:r>
              <w:rPr>
                <w:rFonts w:ascii="宋体" w:hAnsi="宋体"/>
                <w:b/>
                <w:bCs/>
              </w:rPr>
              <w:t>龙溪铺镇</w:t>
            </w:r>
            <w:r>
              <w:rPr>
                <w:rFonts w:ascii="宋体" w:hAnsi="宋体"/>
              </w:rPr>
              <w:t>：</w:t>
            </w:r>
            <w:r>
              <w:rPr>
                <w:rFonts w:ascii="宋体" w:hAnsi="宋体"/>
                <w:kern w:val="0"/>
              </w:rPr>
              <w:t>农业种植、畜禽养殖、石材</w:t>
            </w:r>
            <w:r>
              <w:rPr>
                <w:rFonts w:hint="eastAsia" w:ascii="宋体" w:hAnsi="宋体"/>
                <w:kern w:val="0"/>
              </w:rPr>
              <w:t>开采</w:t>
            </w:r>
            <w:r>
              <w:rPr>
                <w:rFonts w:ascii="宋体" w:hAnsi="宋体"/>
                <w:kern w:val="0"/>
              </w:rPr>
              <w:t>加工、</w:t>
            </w:r>
            <w:r>
              <w:rPr>
                <w:rFonts w:hint="eastAsia" w:ascii="宋体" w:hAnsi="宋体"/>
                <w:kern w:val="0"/>
              </w:rPr>
              <w:t>建筑材料、</w:t>
            </w:r>
            <w:r>
              <w:rPr>
                <w:rFonts w:hint="eastAsia" w:ascii="宋体" w:hAnsi="宋体"/>
              </w:rPr>
              <w:t>能源开发、</w:t>
            </w:r>
            <w:r>
              <w:rPr>
                <w:rFonts w:ascii="宋体" w:hAnsi="宋体"/>
                <w:kern w:val="0"/>
              </w:rPr>
              <w:t>其他轻工业。</w:t>
            </w:r>
          </w:p>
          <w:p>
            <w:pPr>
              <w:widowControl/>
              <w:jc w:val="center"/>
              <w:rPr>
                <w:szCs w:val="21"/>
              </w:rPr>
            </w:pPr>
          </w:p>
        </w:tc>
        <w:tc>
          <w:tcPr>
            <w:tcW w:w="3606" w:type="dxa"/>
            <w:gridSpan w:val="3"/>
            <w:tcBorders>
              <w:top w:val="single" w:color="auto" w:sz="4" w:space="0"/>
              <w:left w:val="nil"/>
              <w:bottom w:val="single" w:color="auto" w:sz="4" w:space="0"/>
              <w:right w:val="single" w:color="auto" w:sz="4" w:space="0"/>
            </w:tcBorders>
          </w:tcPr>
          <w:p>
            <w:pPr>
              <w:widowControl/>
              <w:rPr>
                <w:b/>
                <w:bCs/>
                <w:color w:val="000000"/>
                <w:kern w:val="0"/>
              </w:rPr>
            </w:pPr>
            <w:r>
              <w:rPr>
                <w:b/>
                <w:bCs/>
                <w:color w:val="000000"/>
                <w:kern w:val="0"/>
              </w:rPr>
              <w:t>主要环境问题:</w:t>
            </w:r>
          </w:p>
          <w:p>
            <w:pPr>
              <w:widowControl/>
              <w:numPr>
                <w:ilvl w:val="255"/>
                <w:numId w:val="0"/>
              </w:numPr>
              <w:rPr>
                <w:color w:val="000000"/>
              </w:rPr>
            </w:pPr>
            <w:r>
              <w:rPr>
                <w:b/>
                <w:bCs/>
                <w:color w:val="000000"/>
              </w:rPr>
              <w:t>大新镇：</w:t>
            </w:r>
            <w:r>
              <w:rPr>
                <w:color w:val="000000"/>
              </w:rPr>
              <w:t>农村面源污染未完全得到有效治理、乡镇污水处理厂污水收集率偏低，大气环境颗粒物污染（野外用火、秸秆焚烧等）形势严峻。</w:t>
            </w:r>
          </w:p>
          <w:p>
            <w:pPr>
              <w:widowControl/>
            </w:pPr>
            <w:r>
              <w:rPr>
                <w:b/>
                <w:bCs/>
                <w:color w:val="000000"/>
              </w:rPr>
              <w:t>龙溪铺镇</w:t>
            </w:r>
            <w:r>
              <w:rPr>
                <w:color w:val="000000"/>
              </w:rPr>
              <w:t>：</w:t>
            </w:r>
            <w:r>
              <w:rPr>
                <w:kern w:val="0"/>
              </w:rPr>
              <w:t>石材加工噪声污染、农村面源污染未完全得到有效治理、乡镇污水处理厂污水收集率偏低，大气环境颗粒物污染（野外用火、秸秆焚烧等）形势严峻。</w:t>
            </w:r>
          </w:p>
          <w:p>
            <w:pPr>
              <w:widowControl/>
              <w:rPr>
                <w:b/>
                <w:bCs/>
                <w:color w:val="000000"/>
                <w:kern w:val="0"/>
              </w:rPr>
            </w:pPr>
            <w:r>
              <w:rPr>
                <w:b/>
                <w:bCs/>
                <w:color w:val="000000"/>
                <w:kern w:val="0"/>
              </w:rPr>
              <w:t>重要敏感目标:</w:t>
            </w:r>
          </w:p>
          <w:p>
            <w:pPr>
              <w:widowControl/>
              <w:numPr>
                <w:ilvl w:val="255"/>
                <w:numId w:val="0"/>
              </w:numPr>
              <w:rPr>
                <w:color w:val="000000"/>
              </w:rPr>
            </w:pPr>
            <w:r>
              <w:rPr>
                <w:b/>
                <w:bCs/>
                <w:color w:val="000000"/>
              </w:rPr>
              <w:t>大新镇：</w:t>
            </w:r>
            <w:r>
              <w:rPr>
                <w:color w:val="000000"/>
              </w:rPr>
              <w:t>涉及资水新邵段沙塘鳢黄尾鲴国家级水产种质资源保护区、新邵县筱溪国家湿地公园。新邵县白水洞风景名胜区。</w:t>
            </w:r>
          </w:p>
          <w:p>
            <w:pPr>
              <w:widowControl/>
              <w:numPr>
                <w:ilvl w:val="255"/>
                <w:numId w:val="0"/>
              </w:numPr>
              <w:rPr>
                <w:color w:val="000000"/>
              </w:rPr>
            </w:pPr>
            <w:r>
              <w:rPr>
                <w:b/>
                <w:bCs/>
                <w:color w:val="000000"/>
              </w:rPr>
              <w:t>龙溪铺镇</w:t>
            </w:r>
            <w:r>
              <w:rPr>
                <w:color w:val="000000"/>
              </w:rPr>
              <w:t>：</w:t>
            </w:r>
            <w:r>
              <w:rPr>
                <w:kern w:val="0"/>
              </w:rPr>
              <w:t>涉及新邵县筱溪国家湿地公园。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b/>
                <w:bCs/>
                <w:color w:val="000000"/>
                <w:kern w:val="0"/>
              </w:rPr>
            </w:pPr>
            <w:r>
              <w:rPr>
                <w:b/>
                <w:bCs/>
                <w:color w:val="000000"/>
                <w:kern w:val="0"/>
              </w:rPr>
              <w:t>主要属性</w:t>
            </w:r>
          </w:p>
        </w:tc>
        <w:tc>
          <w:tcPr>
            <w:tcW w:w="13335" w:type="dxa"/>
            <w:gridSpan w:val="11"/>
            <w:tcBorders>
              <w:top w:val="single" w:color="auto" w:sz="4" w:space="0"/>
              <w:left w:val="nil"/>
              <w:bottom w:val="single" w:color="auto" w:sz="4" w:space="0"/>
              <w:right w:val="single" w:color="auto" w:sz="4" w:space="0"/>
            </w:tcBorders>
            <w:vAlign w:val="center"/>
          </w:tcPr>
          <w:p>
            <w:pPr>
              <w:spacing w:line="440" w:lineRule="exact"/>
              <w:rPr>
                <w:b/>
                <w:bCs/>
              </w:rPr>
            </w:pPr>
            <w:r>
              <w:rPr>
                <w:b/>
                <w:bCs/>
              </w:rPr>
              <w:t>龙溪铺镇:</w:t>
            </w:r>
          </w:p>
          <w:p>
            <w:pPr>
              <w:spacing w:line="440" w:lineRule="exact"/>
              <w:ind w:firstLine="422" w:firstLineChars="200"/>
              <w:rPr>
                <w:b/>
                <w:bCs/>
              </w:rPr>
            </w:pPr>
            <w:r>
              <w:rPr>
                <w:b/>
                <w:bCs/>
              </w:rPr>
              <w:t>生态红线：</w:t>
            </w:r>
            <w:r>
              <w:t>红线/一般生态空间；湿地公园\水源涵养重要区\三区三线生态红线\风景名胜区\生物多样性保护功能重要区\原生态红线\水土流失敏感区\石漠化敏感区\水土保持功能重要区；</w:t>
            </w:r>
          </w:p>
          <w:p>
            <w:pPr>
              <w:spacing w:line="440" w:lineRule="exact"/>
              <w:ind w:firstLine="422" w:firstLineChars="200"/>
            </w:pPr>
            <w:r>
              <w:rPr>
                <w:b/>
                <w:bCs/>
              </w:rPr>
              <w:t>环境质量底线：</w:t>
            </w:r>
            <w:r>
              <w:t>水环境优先保护区/水环境一般管控区；湿地公园；湖南新邵筱溪国家级湿地公园；大气环境优先保护区/大气环境高排放重点管控区/大气环境受体敏感重点管控区；白水洞国家级风景名胜区/湖南新邵筱溪国家湿地公园/新邵县龙溪铺镇工业园区；农用地优先保护区/农用地重点管控区/建设用地重点管控区/其他重点管控区/一般管控区；矿区/中高风险企业用地/重点行业企业重点区域；农产品主产区；</w:t>
            </w:r>
          </w:p>
          <w:p>
            <w:pPr>
              <w:pStyle w:val="16"/>
              <w:spacing w:line="440" w:lineRule="exact"/>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大新镇：</w:t>
            </w:r>
          </w:p>
          <w:p>
            <w:pPr>
              <w:spacing w:line="440" w:lineRule="exact"/>
              <w:ind w:firstLine="422" w:firstLineChars="200"/>
              <w:rPr>
                <w:b/>
                <w:bCs/>
              </w:rPr>
            </w:pPr>
            <w:r>
              <w:rPr>
                <w:b/>
                <w:bCs/>
              </w:rPr>
              <w:t>生态红线：</w:t>
            </w:r>
            <w:r>
              <w:t>红线/一般生态空间；风景名胜区\水源涵养重要区\三区三线生态红线\湿地公园\生物多样性保护功能重要区\原生态红线\水土流失敏感区\石漠化敏感区；</w:t>
            </w:r>
          </w:p>
          <w:p>
            <w:pPr>
              <w:spacing w:line="440" w:lineRule="exact"/>
              <w:ind w:firstLine="422" w:firstLineChars="200"/>
              <w:rPr>
                <w:b/>
                <w:bCs/>
                <w:color w:val="000000"/>
                <w:szCs w:val="21"/>
              </w:rPr>
            </w:pPr>
            <w:r>
              <w:rPr>
                <w:b/>
                <w:bCs/>
              </w:rPr>
              <w:t>环境质量底线：</w:t>
            </w:r>
            <w:r>
              <w:t>水环境优先保护区/水环境其他重点管控区/水环境一般管控区；水产种质（国家级）、湿地公园、重金属矿/重金属矿；资水新邵段沙塘鳢黄尾鲴国家级水产种质资源保护区、湖南新邵筱溪国家级湿地公园、新邵辰鑫矿产有限责任公司/新邵县三郎庙铅锌锑多金属矿有限公司三郎庙铅锌锑矿；大气环境优先保护区/大气环境受体敏感重点管控区；白水洞国家级风景名胜区/湖南新邵筱溪国家湿地公园；农用地优先保护区/建设用地重点管控区/其他重点管控区/一般管控区；矿区/中高风险企业用地/重点行业企业重点区域；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b/>
                <w:bCs/>
                <w:color w:val="000000"/>
              </w:rPr>
            </w:pPr>
            <w:r>
              <w:rPr>
                <w:b/>
                <w:bCs/>
                <w:color w:val="000000"/>
              </w:rPr>
              <w:t>管控维度</w:t>
            </w:r>
          </w:p>
        </w:tc>
        <w:tc>
          <w:tcPr>
            <w:tcW w:w="10117"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color w:val="000000"/>
              </w:rPr>
            </w:pPr>
            <w:r>
              <w:rPr>
                <w:b/>
                <w:bCs/>
                <w:color w:val="000000"/>
                <w:kern w:val="0"/>
              </w:rPr>
              <w:t>管控要求</w:t>
            </w:r>
          </w:p>
        </w:tc>
        <w:tc>
          <w:tcPr>
            <w:tcW w:w="32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60" w:hRule="atLeast"/>
        </w:trPr>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空间布局约束</w:t>
            </w:r>
          </w:p>
        </w:tc>
        <w:tc>
          <w:tcPr>
            <w:tcW w:w="10117"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400" w:lineRule="exact"/>
              <w:jc w:val="left"/>
            </w:pPr>
            <w:r>
              <w:t>（1.2）严禁在资江、邵水岸线1公里等区域范围内新(改、扩)建尾矿库。</w:t>
            </w:r>
          </w:p>
          <w:p>
            <w:pPr>
              <w:widowControl/>
              <w:spacing w:line="400" w:lineRule="exact"/>
              <w:jc w:val="left"/>
            </w:pPr>
            <w:r>
              <w:t>（1.3）加强水产种质资源保护区管控，核实保护区范围。禁止新建排污口、禁止围湖造田。</w:t>
            </w:r>
          </w:p>
        </w:tc>
        <w:tc>
          <w:tcPr>
            <w:tcW w:w="3218" w:type="dxa"/>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t>（1.3）（4.3）《新邵县国土空间总体规划（2021-2035年）》</w:t>
            </w:r>
          </w:p>
          <w:p>
            <w:pPr>
              <w:widowControl/>
              <w:spacing w:line="400" w:lineRule="exact"/>
              <w:jc w:val="left"/>
            </w:pPr>
            <w: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污染物排放管控</w:t>
            </w:r>
          </w:p>
        </w:tc>
        <w:tc>
          <w:tcPr>
            <w:tcW w:w="101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lang w:val="zh-CN"/>
              </w:rPr>
            </w:pPr>
            <w:r>
              <w:t>（2.1）废水：实施农村生活污水治理规划，以环境敏感区周边村庄、乡镇政府驻地和中心村为重点梯次推进农村生活污水治理，推动城镇污水处理设施和服务向城镇近郊农村延伸。</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（2.2）废气：</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（2.2.1）按照“分业施策、一行一策”的原则，加大低 VOCs 含量原辅材料的推广使用力度，从源头减少 VOCs 产生。推进使用先进生产工艺设备，减少无组织排放。实行重点排放源排放浓度与去除效率双重控制。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（2.2.2）加强扬尘污染治理。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（2.3）固体废弃物：</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（2.3.1）</w:t>
            </w:r>
            <w:r>
              <w:rPr>
                <w:rFonts w:hint="eastAsia"/>
              </w:rPr>
              <w:t>持续</w:t>
            </w:r>
            <w:r>
              <w:t>推动塑料污染全链条治理。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（2.3.2）实施生活垃圾分类制度，建设分类投放、分类收集、分类运输、分类处置的生活垃圾管理系统。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（2.3.3）推动建筑垃圾资源化利用。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lang w:val="zh-CN"/>
              </w:rPr>
            </w:pPr>
            <w:r>
              <w:t>（2.3.4）推动农作物秸秆、畜禽粪污、林业废弃物、农产品加工副产品等农林废弃物的高效利用。</w:t>
            </w:r>
          </w:p>
        </w:tc>
        <w:tc>
          <w:tcPr>
            <w:tcW w:w="32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环境风险防控</w:t>
            </w:r>
          </w:p>
        </w:tc>
        <w:tc>
          <w:tcPr>
            <w:tcW w:w="101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t>（3.1）建设用地风险防控：</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（3.1.1）完善准入管理机制，严格污染地块用途管制，列入建设用地土壤污染风险管控和修复名录的地块，不得作为住宅、公共管理与公共服务用地。</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（3.2）加大优先保护类耕地保护力度，确保面积不减少、环境质量不下降；在永久基本农田集中区域，不得规划新建可能造成土壤污染的建设项目。</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（3.3）对污染突出、环境敏感和管控难度较大的污染地块，避免作为高功能用地性质进行开发使用。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32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65" w:hRule="atLeast"/>
        </w:trPr>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资源开发效率要求</w:t>
            </w:r>
          </w:p>
        </w:tc>
        <w:tc>
          <w:tcPr>
            <w:tcW w:w="10117" w:type="dxa"/>
            <w:gridSpan w:val="10"/>
            <w:tcBorders>
              <w:top w:val="single" w:color="auto" w:sz="4" w:space="0"/>
              <w:left w:val="single" w:color="auto" w:sz="4" w:space="0"/>
              <w:bottom w:val="single" w:color="auto" w:sz="4" w:space="0"/>
              <w:right w:val="single" w:color="auto" w:sz="4" w:space="0"/>
            </w:tcBorders>
          </w:tcPr>
          <w:p>
            <w:pPr>
              <w:widowControl/>
              <w:spacing w:line="400" w:lineRule="exact"/>
              <w:jc w:val="left"/>
            </w:pPr>
            <w:r>
              <w:rPr>
                <w:lang w:val="zh-CN"/>
              </w:rPr>
              <w:t>（</w:t>
            </w:r>
            <w:r>
              <w:t>4.1</w:t>
            </w:r>
            <w:r>
              <w:rPr>
                <w:lang w:val="zh-CN"/>
              </w:rPr>
              <w:t>）</w:t>
            </w:r>
            <w:r>
              <w:t>能源：</w:t>
            </w:r>
          </w:p>
          <w:p>
            <w:pPr>
              <w:widowControl/>
              <w:spacing w:line="40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40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40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400" w:lineRule="exact"/>
              <w:jc w:val="left"/>
            </w:pPr>
            <w:r>
              <w:t>（4.3）土地资源：到2035年，大新镇耕地保有量不低于2.46万亩，永久基本农田面积不低于1.67万亩，生态保护红线面积不少于7270.89公顷，城镇开发边界规模不超过55.05公顷；龙溪铺镇耕地保有量不低于4万亩，永久基本农田面积不低于3.42万亩，生态保护红线面积不少于4631.4公顷，城镇开发边界规模不超过96.55公顷。</w:t>
            </w:r>
          </w:p>
        </w:tc>
        <w:tc>
          <w:tcPr>
            <w:tcW w:w="32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bl>
    <w:p>
      <w:pPr>
        <w:widowControl/>
        <w:jc w:val="center"/>
        <w:rPr>
          <w:b/>
          <w:bCs/>
          <w:color w:val="000000"/>
          <w:kern w:val="0"/>
        </w:rPr>
      </w:pPr>
      <w:r>
        <w:rPr>
          <w:b/>
          <w:bCs/>
          <w:color w:val="000000"/>
          <w:kern w:val="0"/>
        </w:rPr>
        <w:br w:type="page"/>
      </w:r>
    </w:p>
    <w:tbl>
      <w:tblPr>
        <w:tblStyle w:val="10"/>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50"/>
        <w:gridCol w:w="432"/>
        <w:gridCol w:w="432"/>
        <w:gridCol w:w="437"/>
        <w:gridCol w:w="689"/>
        <w:gridCol w:w="1369"/>
        <w:gridCol w:w="1252"/>
        <w:gridCol w:w="1128"/>
        <w:gridCol w:w="2513"/>
        <w:gridCol w:w="68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650"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1302"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689"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1369"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1253"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1127"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主体功能定位①</w:t>
            </w:r>
          </w:p>
        </w:tc>
        <w:tc>
          <w:tcPr>
            <w:tcW w:w="2513"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3622" w:type="dxa"/>
            <w:gridSpan w:val="2"/>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650"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432"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432"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438"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689"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369"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25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127"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251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622" w:type="dxa"/>
            <w:gridSpan w:val="2"/>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ZH43052210002</w:t>
            </w:r>
          </w:p>
        </w:tc>
        <w:tc>
          <w:tcPr>
            <w:tcW w:w="650"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潭府乡/太芝庙镇</w:t>
            </w:r>
          </w:p>
        </w:tc>
        <w:tc>
          <w:tcPr>
            <w:tcW w:w="432"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432"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43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689"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优先保护单元</w:t>
            </w:r>
          </w:p>
        </w:tc>
        <w:tc>
          <w:tcPr>
            <w:tcW w:w="1369" w:type="dxa"/>
            <w:tcBorders>
              <w:top w:val="single" w:color="auto" w:sz="4" w:space="0"/>
              <w:left w:val="nil"/>
              <w:bottom w:val="single" w:color="auto" w:sz="4" w:space="0"/>
              <w:right w:val="single" w:color="auto" w:sz="4" w:space="0"/>
            </w:tcBorders>
            <w:vAlign w:val="center"/>
          </w:tcPr>
          <w:p>
            <w:pPr>
              <w:pStyle w:val="16"/>
              <w:rPr>
                <w:rFonts w:ascii="Times New Roman" w:hAnsi="Times New Roman" w:cs="Times New Roman"/>
              </w:rPr>
            </w:pPr>
            <w:r>
              <w:rPr>
                <w:rFonts w:ascii="Times New Roman" w:hAnsi="Times New Roman" w:eastAsia="宋体" w:cs="Times New Roman"/>
                <w:sz w:val="21"/>
                <w:szCs w:val="21"/>
              </w:rPr>
              <w:t>228.23</w:t>
            </w:r>
          </w:p>
        </w:tc>
        <w:tc>
          <w:tcPr>
            <w:tcW w:w="1253"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潭府乡/太芝庙镇</w:t>
            </w:r>
          </w:p>
        </w:tc>
        <w:tc>
          <w:tcPr>
            <w:tcW w:w="1127" w:type="dxa"/>
            <w:tcBorders>
              <w:top w:val="single" w:color="auto" w:sz="4" w:space="0"/>
              <w:left w:val="nil"/>
              <w:bottom w:val="single" w:color="auto" w:sz="4" w:space="0"/>
              <w:right w:val="single" w:color="auto" w:sz="4" w:space="0"/>
            </w:tcBorders>
            <w:vAlign w:val="center"/>
          </w:tcPr>
          <w:p>
            <w:pPr>
              <w:jc w:val="center"/>
              <w:rPr>
                <w:color w:val="000000"/>
              </w:rPr>
            </w:pPr>
            <w:r>
              <w:rPr>
                <w:b/>
                <w:bCs/>
                <w:color w:val="000000"/>
              </w:rPr>
              <w:t>潭府乡</w:t>
            </w:r>
            <w:r>
              <w:rPr>
                <w:color w:val="000000"/>
              </w:rPr>
              <w:t>：农产品主产区、太</w:t>
            </w:r>
            <w:r>
              <w:rPr>
                <w:b/>
                <w:bCs/>
                <w:color w:val="000000"/>
              </w:rPr>
              <w:t>芝庙镇</w:t>
            </w:r>
            <w:r>
              <w:rPr>
                <w:color w:val="000000"/>
              </w:rPr>
              <w:t>：农产品主产区/能源资源富集区</w:t>
            </w:r>
          </w:p>
        </w:tc>
        <w:tc>
          <w:tcPr>
            <w:tcW w:w="2513" w:type="dxa"/>
            <w:tcBorders>
              <w:top w:val="single" w:color="auto" w:sz="4" w:space="0"/>
              <w:left w:val="nil"/>
              <w:bottom w:val="single" w:color="auto" w:sz="4" w:space="0"/>
              <w:right w:val="single" w:color="auto" w:sz="4" w:space="0"/>
            </w:tcBorders>
          </w:tcPr>
          <w:p>
            <w:r>
              <w:rPr>
                <w:rFonts w:ascii="宋体" w:hAnsi="宋体"/>
                <w:b/>
                <w:bCs/>
                <w:color w:val="000000"/>
              </w:rPr>
              <w:t>潭府乡、太芝庙镇</w:t>
            </w:r>
            <w:r>
              <w:rPr>
                <w:rFonts w:ascii="宋体" w:hAnsi="宋体"/>
                <w:b/>
                <w:bCs/>
              </w:rPr>
              <w:t>：</w:t>
            </w:r>
            <w:r>
              <w:rPr>
                <w:rFonts w:ascii="宋体" w:hAnsi="宋体"/>
                <w:kern w:val="0"/>
              </w:rPr>
              <w:t>农业种植、畜禽养殖、农副产品加工、</w:t>
            </w:r>
            <w:r>
              <w:rPr>
                <w:rFonts w:ascii="宋体" w:hAnsi="宋体"/>
              </w:rPr>
              <w:t>旅游业</w:t>
            </w:r>
            <w:r>
              <w:rPr>
                <w:rFonts w:hint="eastAsia" w:ascii="宋体" w:hAnsi="宋体"/>
              </w:rPr>
              <w:t>、</w:t>
            </w:r>
            <w:r>
              <w:rPr>
                <w:rFonts w:hint="eastAsia" w:ascii="宋体" w:hAnsi="宋体"/>
                <w:kern w:val="0"/>
              </w:rPr>
              <w:t>矿产开发利用、能源开发</w:t>
            </w:r>
            <w:r>
              <w:rPr>
                <w:rFonts w:ascii="宋体" w:hAnsi="宋体"/>
              </w:rPr>
              <w:t>。</w:t>
            </w:r>
          </w:p>
          <w:p>
            <w:pPr>
              <w:widowControl/>
              <w:rPr>
                <w:szCs w:val="21"/>
              </w:rPr>
            </w:pPr>
          </w:p>
        </w:tc>
        <w:tc>
          <w:tcPr>
            <w:tcW w:w="3622" w:type="dxa"/>
            <w:gridSpan w:val="2"/>
            <w:tcBorders>
              <w:top w:val="single" w:color="auto" w:sz="4" w:space="0"/>
              <w:left w:val="nil"/>
              <w:bottom w:val="single" w:color="auto" w:sz="4" w:space="0"/>
              <w:right w:val="single" w:color="auto" w:sz="4" w:space="0"/>
            </w:tcBorders>
          </w:tcPr>
          <w:p>
            <w:pPr>
              <w:widowControl/>
              <w:rPr>
                <w:b/>
                <w:bCs/>
                <w:color w:val="000000"/>
                <w:kern w:val="0"/>
              </w:rPr>
            </w:pPr>
            <w:r>
              <w:rPr>
                <w:b/>
                <w:bCs/>
                <w:color w:val="000000"/>
                <w:kern w:val="0"/>
              </w:rPr>
              <w:t>主要环境问题:</w:t>
            </w:r>
          </w:p>
          <w:p>
            <w:pPr>
              <w:widowControl/>
              <w:rPr>
                <w:kern w:val="0"/>
              </w:rPr>
            </w:pPr>
            <w:r>
              <w:rPr>
                <w:b/>
                <w:bCs/>
                <w:color w:val="000000"/>
              </w:rPr>
              <w:t>潭府乡</w:t>
            </w:r>
            <w:r>
              <w:rPr>
                <w:b/>
                <w:bCs/>
              </w:rPr>
              <w:t>：</w:t>
            </w:r>
            <w:r>
              <w:rPr>
                <w:kern w:val="0"/>
              </w:rPr>
              <w:t>农村面源污染未完全得到有效治理、乡镇污水处理厂污水收集率偏低，大气环境颗粒物污染（野外用火、秸秆焚烧等）形势严峻。</w:t>
            </w:r>
          </w:p>
          <w:p>
            <w:pPr>
              <w:widowControl/>
              <w:rPr>
                <w:kern w:val="0"/>
              </w:rPr>
            </w:pPr>
            <w:r>
              <w:rPr>
                <w:b/>
                <w:bCs/>
                <w:color w:val="000000"/>
              </w:rPr>
              <w:t>太芝庙镇：</w:t>
            </w:r>
            <w:r>
              <w:rPr>
                <w:kern w:val="0"/>
              </w:rPr>
              <w:t>历史遗留锑超标治理任重道远，农村面源污染未完全得到有效治理、乡镇污水处理厂污水收集率偏低，大气环境颗粒物污染（野外用火、秸秆焚烧等）形势严峻。</w:t>
            </w:r>
          </w:p>
          <w:p>
            <w:pPr>
              <w:widowControl/>
              <w:rPr>
                <w:b/>
                <w:bCs/>
                <w:color w:val="000000"/>
                <w:kern w:val="0"/>
              </w:rPr>
            </w:pPr>
            <w:r>
              <w:rPr>
                <w:b/>
                <w:bCs/>
                <w:color w:val="000000"/>
                <w:kern w:val="0"/>
              </w:rPr>
              <w:t>重要敏感目标:</w:t>
            </w:r>
          </w:p>
          <w:p>
            <w:pPr>
              <w:widowControl/>
              <w:rPr>
                <w:kern w:val="0"/>
              </w:rPr>
            </w:pPr>
            <w:r>
              <w:rPr>
                <w:b/>
                <w:bCs/>
                <w:color w:val="000000"/>
              </w:rPr>
              <w:t>潭府乡</w:t>
            </w:r>
            <w:r>
              <w:rPr>
                <w:b/>
                <w:bCs/>
              </w:rPr>
              <w:t>：</w:t>
            </w:r>
            <w:r>
              <w:rPr>
                <w:kern w:val="0"/>
              </w:rPr>
              <w:t>涉及新邵县枫树坑水库饮用水源保护区、新邵县岳坪峰国家森林公园</w:t>
            </w:r>
          </w:p>
          <w:p>
            <w:pPr>
              <w:widowControl/>
              <w:rPr>
                <w:kern w:val="0"/>
              </w:rPr>
            </w:pPr>
            <w:r>
              <w:rPr>
                <w:b/>
                <w:bCs/>
                <w:color w:val="000000"/>
              </w:rPr>
              <w:t>太芝庙镇：</w:t>
            </w:r>
            <w:r>
              <w:rPr>
                <w:kern w:val="0"/>
              </w:rPr>
              <w:t>涉及新邵县岳坪峰国家森林公园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kern w:val="0"/>
              </w:rPr>
            </w:pPr>
            <w:r>
              <w:rPr>
                <w:b/>
                <w:bCs/>
                <w:color w:val="000000"/>
                <w:kern w:val="0"/>
              </w:rPr>
              <w:t>主要属性</w:t>
            </w:r>
          </w:p>
        </w:tc>
        <w:tc>
          <w:tcPr>
            <w:tcW w:w="12525" w:type="dxa"/>
            <w:gridSpan w:val="11"/>
            <w:tcBorders>
              <w:top w:val="single" w:color="auto" w:sz="4" w:space="0"/>
              <w:left w:val="nil"/>
              <w:bottom w:val="single" w:color="auto" w:sz="4" w:space="0"/>
              <w:right w:val="single" w:color="auto" w:sz="4" w:space="0"/>
            </w:tcBorders>
            <w:vAlign w:val="center"/>
          </w:tcPr>
          <w:p>
            <w:pPr>
              <w:pStyle w:val="16"/>
              <w:spacing w:line="400" w:lineRule="exact"/>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潭府乡：</w:t>
            </w:r>
          </w:p>
          <w:p>
            <w:pPr>
              <w:spacing w:line="400" w:lineRule="exact"/>
              <w:ind w:firstLine="422" w:firstLineChars="200"/>
            </w:pPr>
            <w:r>
              <w:rPr>
                <w:b/>
                <w:bCs/>
              </w:rPr>
              <w:t>生态红线：</w:t>
            </w:r>
            <w:r>
              <w:t>红线/一般生态空间；水源涵养重要区\三区三线生态红线\森林公园\生物多样性保护功能重要区\水土流失敏感区\原生态红线；</w:t>
            </w:r>
          </w:p>
          <w:p>
            <w:pPr>
              <w:spacing w:line="400" w:lineRule="exact"/>
              <w:ind w:firstLine="422" w:firstLineChars="200"/>
              <w:rPr>
                <w:b/>
                <w:bCs/>
                <w:color w:val="000000"/>
                <w:szCs w:val="21"/>
              </w:rPr>
            </w:pPr>
            <w:r>
              <w:rPr>
                <w:b/>
                <w:bCs/>
              </w:rPr>
              <w:t>环境质量底线：</w:t>
            </w:r>
            <w:r>
              <w:t>水环境优先保护区/水环境一般管控区；水源地（县级及以上）；邵阳市新邵县枫树坑水库饮用水水源；大气环境优先保护区/大气环境布局敏感重点管控区；湖南新邵岳坪峰国家森林公园；农用地优先保护区/农用地重点管控区/其他重点管控区/一般管控区；矿区；农产品主产区；</w:t>
            </w:r>
          </w:p>
          <w:p>
            <w:pPr>
              <w:pStyle w:val="16"/>
              <w:spacing w:line="400" w:lineRule="exact"/>
              <w:rPr>
                <w:rFonts w:ascii="Times New Roman" w:hAnsi="Times New Roman" w:eastAsia="宋体" w:cs="Times New Roman"/>
                <w:b/>
                <w:bCs/>
                <w:sz w:val="21"/>
                <w:szCs w:val="21"/>
              </w:rPr>
            </w:pPr>
            <w:r>
              <w:rPr>
                <w:rFonts w:ascii="Times New Roman" w:hAnsi="Times New Roman" w:eastAsia="宋体" w:cs="Times New Roman"/>
                <w:b/>
                <w:bCs/>
                <w:sz w:val="21"/>
                <w:szCs w:val="21"/>
              </w:rPr>
              <w:t>太芝庙镇：</w:t>
            </w:r>
          </w:p>
          <w:p>
            <w:pPr>
              <w:spacing w:line="400" w:lineRule="exact"/>
              <w:ind w:firstLine="422" w:firstLineChars="200"/>
              <w:rPr>
                <w:b/>
                <w:bCs/>
              </w:rPr>
            </w:pPr>
            <w:r>
              <w:rPr>
                <w:b/>
                <w:bCs/>
              </w:rPr>
              <w:t>生态红线：</w:t>
            </w:r>
            <w:r>
              <w:t>红线/一般生态空间；水源涵养重要区\森林公园\三区三线生态红线\生物多样性保护功能重要区\水土流失敏感区\原生态红线；</w:t>
            </w:r>
          </w:p>
          <w:p>
            <w:pPr>
              <w:spacing w:line="400" w:lineRule="exact"/>
              <w:ind w:firstLine="422" w:firstLineChars="200"/>
              <w:rPr>
                <w:b/>
                <w:bCs/>
                <w:color w:val="000000"/>
                <w:szCs w:val="21"/>
              </w:rPr>
            </w:pPr>
            <w:r>
              <w:rPr>
                <w:b/>
                <w:bCs/>
              </w:rPr>
              <w:t>环境质量底线：</w:t>
            </w:r>
            <w:r>
              <w:t>水环境优先保护区/水环境其他重点管控区/水环境一般管控区；水源地（县级及以上）/重金属矿；邵阳市新邵县枫树坑水库饮用水水源/湖南新龙矿业有限责任公司龙山金锑矿；大气环境优先保护区/大气环境受体敏感重点管控区；湖南新邵岳坪峰国家森林公园；农用地优先保护区/农用地重点管控区/建设用地重点管控区/其他重点管控区/一般管控区；矿区/中高风险企业用地；农产品主产区/能源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rPr>
            </w:pPr>
            <w:r>
              <w:rPr>
                <w:b/>
                <w:bCs/>
                <w:color w:val="000000"/>
              </w:rPr>
              <w:t>管控维度</w:t>
            </w:r>
          </w:p>
        </w:tc>
        <w:tc>
          <w:tcPr>
            <w:tcW w:w="9589" w:type="dxa"/>
            <w:gridSpan w:val="10"/>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kern w:val="0"/>
              </w:rPr>
              <w:t>管控要求</w:t>
            </w:r>
          </w:p>
        </w:tc>
        <w:tc>
          <w:tcPr>
            <w:tcW w:w="2936" w:type="dxa"/>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空间布局约束</w:t>
            </w:r>
          </w:p>
        </w:tc>
        <w:tc>
          <w:tcPr>
            <w:tcW w:w="9589" w:type="dxa"/>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400" w:lineRule="exact"/>
              <w:jc w:val="left"/>
            </w:pPr>
            <w:r>
              <w:t>（1.2）严禁在资江、邵水岸线1公里等区域范围内新(改、扩)建尾矿库。</w:t>
            </w:r>
          </w:p>
        </w:tc>
        <w:tc>
          <w:tcPr>
            <w:tcW w:w="2936" w:type="dxa"/>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t>（4.2）《邵阳市“十四五”用水总量和强度双控目标》</w:t>
            </w:r>
          </w:p>
          <w:p>
            <w:pPr>
              <w:widowControl/>
              <w:spacing w:line="400" w:lineRule="exact"/>
              <w:jc w:val="left"/>
            </w:pPr>
            <w:r>
              <w:t>（4.3）《新邵县国土空间总体规划（2021-2035年）》</w:t>
            </w:r>
          </w:p>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污染物排放管控</w:t>
            </w:r>
          </w:p>
        </w:tc>
        <w:tc>
          <w:tcPr>
            <w:tcW w:w="9589" w:type="dxa"/>
            <w:gridSpan w:val="10"/>
            <w:tcBorders>
              <w:top w:val="single" w:color="auto" w:sz="4" w:space="0"/>
              <w:left w:val="nil"/>
              <w:bottom w:val="single" w:color="auto" w:sz="4" w:space="0"/>
              <w:right w:val="single" w:color="auto" w:sz="4" w:space="0"/>
            </w:tcBorders>
            <w:vAlign w:val="center"/>
          </w:tcPr>
          <w:p>
            <w:pPr>
              <w:widowControl/>
              <w:spacing w:line="400" w:lineRule="exact"/>
              <w:jc w:val="left"/>
              <w:rPr>
                <w:lang w:val="zh-CN"/>
              </w:rPr>
            </w:pPr>
            <w:r>
              <w:t>（2.1）废水：实施农村生活污水治理规划，以环境敏感区周边村庄、乡镇政府驻地和中心村为重点梯次推进农村生活污水治理，推动城镇污水处理设施和服务向城镇近郊农村延伸。</w:t>
            </w:r>
          </w:p>
          <w:p>
            <w:pPr>
              <w:widowControl/>
              <w:spacing w:line="400" w:lineRule="exact"/>
              <w:jc w:val="left"/>
            </w:pPr>
            <w:r>
              <w:t>（2.2）废气：</w:t>
            </w:r>
          </w:p>
          <w:p>
            <w:pPr>
              <w:widowControl/>
              <w:spacing w:line="400" w:lineRule="exact"/>
              <w:jc w:val="left"/>
            </w:pPr>
            <w:r>
              <w:t>（2.2.1）按照“分业施策、一行一策”的原则，加大低 VOCs 含量原辅材料的推广使用力度，从源头减少 VOCs 产生。推进使用先进生产工艺设备，减少无组织排放。实行重点排放源排放浓度与去除效率双重控制。</w:t>
            </w:r>
          </w:p>
          <w:p>
            <w:pPr>
              <w:widowControl/>
              <w:spacing w:line="400" w:lineRule="exact"/>
              <w:jc w:val="left"/>
            </w:pPr>
            <w:r>
              <w:t>（2.2.2）加强扬尘污染治理。</w:t>
            </w:r>
          </w:p>
          <w:p>
            <w:pPr>
              <w:widowControl/>
              <w:spacing w:line="400" w:lineRule="exact"/>
              <w:jc w:val="left"/>
            </w:pPr>
            <w:r>
              <w:t>（2.3）固体废弃物：</w:t>
            </w:r>
          </w:p>
          <w:p>
            <w:pPr>
              <w:widowControl/>
              <w:spacing w:line="400" w:lineRule="exact"/>
              <w:jc w:val="left"/>
            </w:pPr>
            <w:r>
              <w:t>（2.3.1）</w:t>
            </w:r>
            <w:r>
              <w:rPr>
                <w:rFonts w:hint="eastAsia"/>
              </w:rPr>
              <w:t>持续</w:t>
            </w:r>
            <w:r>
              <w:t>推动塑料污染全链条治理。</w:t>
            </w:r>
          </w:p>
          <w:p>
            <w:pPr>
              <w:widowControl/>
              <w:spacing w:line="400" w:lineRule="exact"/>
              <w:jc w:val="left"/>
            </w:pPr>
            <w:r>
              <w:t>（2.3.2）实施生活垃圾分类制度，建设分类投放、分类收集、分类运输、分类处置的生活垃圾管理系统。</w:t>
            </w:r>
          </w:p>
          <w:p>
            <w:pPr>
              <w:widowControl/>
              <w:spacing w:line="400" w:lineRule="exact"/>
              <w:jc w:val="left"/>
            </w:pPr>
            <w:r>
              <w:t>（2.3.3）推动建筑垃圾资源化利用。</w:t>
            </w:r>
          </w:p>
          <w:p>
            <w:pPr>
              <w:widowControl/>
              <w:spacing w:line="400" w:lineRule="exact"/>
              <w:jc w:val="left"/>
              <w:rPr>
                <w:lang w:val="zh-CN"/>
              </w:rPr>
            </w:pPr>
            <w:r>
              <w:t>（2.3.4）推动农作物秸秆、畜禽粪污、林业废弃物、农产品加工副产品等农林废弃物的高效利用。</w:t>
            </w:r>
          </w:p>
        </w:tc>
        <w:tc>
          <w:tcPr>
            <w:tcW w:w="2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环境风险防控</w:t>
            </w:r>
          </w:p>
        </w:tc>
        <w:tc>
          <w:tcPr>
            <w:tcW w:w="9589" w:type="dxa"/>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t>（3.1）建设用地风险防控：</w:t>
            </w:r>
          </w:p>
          <w:p>
            <w:pPr>
              <w:widowControl/>
              <w:spacing w:line="400" w:lineRule="exact"/>
              <w:jc w:val="left"/>
            </w:pPr>
            <w:r>
              <w:t>（3.1.1）完善准入管理机制，严格污染地块用途管制，列入建设用地土壤污染风险管控和修复名录的地块，不得作为住宅、公共管理与公共服务用地。</w:t>
            </w:r>
          </w:p>
          <w:p>
            <w:pPr>
              <w:widowControl/>
              <w:spacing w:line="400" w:lineRule="exact"/>
              <w:jc w:val="left"/>
            </w:pPr>
            <w:r>
              <w:t>（3.1.2）合理规划污染地块再开发利用时序，对涉及成片污染地块分期分批开发的要优化开发时序，原则上住宅、公共管理与公共服务等敏感类用地应后开发。</w:t>
            </w:r>
          </w:p>
          <w:p>
            <w:pPr>
              <w:widowControl/>
              <w:spacing w:line="400" w:lineRule="exact"/>
              <w:jc w:val="left"/>
            </w:pPr>
            <w:r>
              <w:t>（3.2）加大优先保护类耕地保护力度，确保面积不减少、环境质量不下降；在永久基本农田集中区域，不得规划新建可能造成土壤污染的建设项目。</w:t>
            </w:r>
          </w:p>
          <w:p>
            <w:pPr>
              <w:widowControl/>
              <w:spacing w:line="400" w:lineRule="exact"/>
              <w:jc w:val="left"/>
            </w:pPr>
            <w:r>
              <w:t>（3.3）对污染突出、环境敏感和管控难度较大的污染地块，避免作为高功能用地性质进行开发使用。</w:t>
            </w:r>
          </w:p>
          <w:p>
            <w:pPr>
              <w:widowControl/>
              <w:spacing w:line="400" w:lineRule="exact"/>
              <w:jc w:val="left"/>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2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资源开发效率要求</w:t>
            </w:r>
          </w:p>
        </w:tc>
        <w:tc>
          <w:tcPr>
            <w:tcW w:w="9589" w:type="dxa"/>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rPr>
                <w:lang w:val="zh-CN"/>
              </w:rPr>
              <w:t>（</w:t>
            </w:r>
            <w:r>
              <w:t>4.1</w:t>
            </w:r>
            <w:r>
              <w:rPr>
                <w:lang w:val="zh-CN"/>
              </w:rPr>
              <w:t>）</w:t>
            </w:r>
            <w:r>
              <w:t>能源：</w:t>
            </w:r>
          </w:p>
          <w:p>
            <w:pPr>
              <w:widowControl/>
              <w:spacing w:line="40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40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40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400" w:lineRule="exact"/>
              <w:jc w:val="left"/>
            </w:pPr>
            <w:r>
              <w:t>（4.3）土地资源：到2035年，潭府乡耕地保有量不低于1.73万亩，永久基本农田面积不低于1.57万亩，生态保护红线面积不少于2521.17公顷，城镇开发边界规模不超过55.05公顷；太芝庙镇耕地保有量不低于1.1万亩，永久基本农田面积不低于0.94万亩，生态保护红线面积不少于1286.25公顷，城镇开发边界规模不超过56.67公顷。</w:t>
            </w:r>
          </w:p>
        </w:tc>
        <w:tc>
          <w:tcPr>
            <w:tcW w:w="2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bl>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p>
      <w:pPr>
        <w:widowControl/>
        <w:rPr>
          <w:b/>
          <w:bCs/>
          <w:color w:val="000000"/>
          <w:kern w:val="0"/>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579"/>
        <w:gridCol w:w="569"/>
        <w:gridCol w:w="426"/>
        <w:gridCol w:w="566"/>
        <w:gridCol w:w="709"/>
        <w:gridCol w:w="981"/>
        <w:gridCol w:w="1153"/>
        <w:gridCol w:w="1194"/>
        <w:gridCol w:w="1778"/>
        <w:gridCol w:w="343"/>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1578"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1560"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981"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1153"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1195" w:type="dxa"/>
            <w:vMerge w:val="restart"/>
            <w:tcBorders>
              <w:top w:val="single" w:color="auto" w:sz="4" w:space="0"/>
              <w:left w:val="nil"/>
              <w:bottom w:val="single" w:color="auto" w:sz="4" w:space="0"/>
              <w:right w:val="single" w:color="auto" w:sz="4" w:space="0"/>
            </w:tcBorders>
            <w:vAlign w:val="center"/>
          </w:tcPr>
          <w:p>
            <w:pPr>
              <w:jc w:val="center"/>
              <w:rPr>
                <w:color w:val="000000"/>
                <w:kern w:val="0"/>
              </w:rPr>
            </w:pPr>
            <w:r>
              <w:rPr>
                <w:b/>
                <w:bCs/>
                <w:color w:val="000000"/>
                <w:kern w:val="0"/>
              </w:rPr>
              <w:t>主体功能定位</w:t>
            </w:r>
            <w:r>
              <w:rPr>
                <w:color w:val="000000"/>
                <w:kern w:val="0"/>
              </w:rPr>
              <w:t>①</w:t>
            </w:r>
          </w:p>
        </w:tc>
        <w:tc>
          <w:tcPr>
            <w:tcW w:w="1778"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3572" w:type="dxa"/>
            <w:gridSpan w:val="2"/>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1578"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569"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425"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566"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981"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15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195"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778"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572" w:type="dxa"/>
            <w:gridSpan w:val="2"/>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pPr>
            <w:r>
              <w:t>ZH43052210003</w:t>
            </w:r>
          </w:p>
        </w:tc>
        <w:tc>
          <w:tcPr>
            <w:tcW w:w="157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酿溪镇/小塘镇/新田铺镇/严塘镇</w:t>
            </w:r>
          </w:p>
        </w:tc>
        <w:tc>
          <w:tcPr>
            <w:tcW w:w="569"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425"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566"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709"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优先保护单元</w:t>
            </w:r>
          </w:p>
        </w:tc>
        <w:tc>
          <w:tcPr>
            <w:tcW w:w="981" w:type="dxa"/>
            <w:tcBorders>
              <w:top w:val="single" w:color="auto" w:sz="4" w:space="0"/>
              <w:left w:val="nil"/>
              <w:bottom w:val="single" w:color="auto" w:sz="4" w:space="0"/>
              <w:right w:val="single" w:color="auto" w:sz="4" w:space="0"/>
            </w:tcBorders>
            <w:vAlign w:val="center"/>
          </w:tcPr>
          <w:p>
            <w:pPr>
              <w:pStyle w:val="16"/>
              <w:rPr>
                <w:rFonts w:ascii="Times New Roman" w:hAnsi="Times New Roman" w:cs="Times New Roman"/>
              </w:rPr>
            </w:pPr>
            <w:r>
              <w:rPr>
                <w:rFonts w:ascii="Times New Roman" w:hAnsi="Times New Roman" w:eastAsia="宋体" w:cs="Times New Roman"/>
                <w:color w:val="auto"/>
                <w:kern w:val="2"/>
                <w:sz w:val="21"/>
                <w:szCs w:val="22"/>
              </w:rPr>
              <w:t>367.46</w:t>
            </w:r>
          </w:p>
        </w:tc>
        <w:tc>
          <w:tcPr>
            <w:tcW w:w="1153"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酿溪镇/小塘镇/新田铺镇/严塘镇</w:t>
            </w:r>
          </w:p>
        </w:tc>
        <w:tc>
          <w:tcPr>
            <w:tcW w:w="1195" w:type="dxa"/>
            <w:tcBorders>
              <w:top w:val="single" w:color="auto" w:sz="4" w:space="0"/>
              <w:left w:val="nil"/>
              <w:bottom w:val="single" w:color="auto" w:sz="4" w:space="0"/>
              <w:right w:val="single" w:color="auto" w:sz="4" w:space="0"/>
            </w:tcBorders>
            <w:vAlign w:val="center"/>
          </w:tcPr>
          <w:p>
            <w:pPr>
              <w:jc w:val="center"/>
              <w:rPr>
                <w:color w:val="000000"/>
              </w:rPr>
            </w:pPr>
            <w:r>
              <w:rPr>
                <w:b/>
                <w:bCs/>
                <w:color w:val="000000"/>
              </w:rPr>
              <w:t>酿溪镇</w:t>
            </w:r>
            <w:r>
              <w:rPr>
                <w:color w:val="000000"/>
              </w:rPr>
              <w:t>：城市化地区；</w:t>
            </w:r>
          </w:p>
          <w:p>
            <w:pPr>
              <w:jc w:val="center"/>
              <w:rPr>
                <w:color w:val="000000"/>
              </w:rPr>
            </w:pPr>
            <w:r>
              <w:rPr>
                <w:b/>
                <w:bCs/>
                <w:color w:val="000000"/>
              </w:rPr>
              <w:t>小塘镇/新田铺镇/严塘镇</w:t>
            </w:r>
            <w:r>
              <w:rPr>
                <w:color w:val="000000"/>
              </w:rPr>
              <w:t>：农产品主产区；</w:t>
            </w:r>
          </w:p>
          <w:p>
            <w:pPr>
              <w:jc w:val="center"/>
              <w:rPr>
                <w:color w:val="000000"/>
              </w:rPr>
            </w:pPr>
            <w:r>
              <w:rPr>
                <w:b/>
                <w:bCs/>
                <w:color w:val="000000"/>
              </w:rPr>
              <w:t>严塘镇</w:t>
            </w:r>
            <w:r>
              <w:rPr>
                <w:color w:val="000000"/>
              </w:rPr>
              <w:t>：历史文化资源富集区</w:t>
            </w:r>
          </w:p>
        </w:tc>
        <w:tc>
          <w:tcPr>
            <w:tcW w:w="17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kern w:val="0"/>
              </w:rPr>
            </w:pPr>
            <w:r>
              <w:rPr>
                <w:rFonts w:ascii="宋体" w:hAnsi="宋体"/>
                <w:b/>
                <w:bCs/>
              </w:rPr>
              <w:t>酿溪镇：</w:t>
            </w:r>
            <w:r>
              <w:rPr>
                <w:rFonts w:ascii="宋体" w:hAnsi="宋体"/>
                <w:kern w:val="0"/>
              </w:rPr>
              <w:t>农业种植、畜禽养殖、农副产品加工、食品加工、轻工业、旅游业</w:t>
            </w:r>
            <w:r>
              <w:rPr>
                <w:rFonts w:hint="eastAsia" w:ascii="宋体" w:hAnsi="宋体"/>
                <w:kern w:val="0"/>
              </w:rPr>
              <w:t>、建筑材料</w:t>
            </w:r>
            <w:r>
              <w:rPr>
                <w:rFonts w:ascii="宋体" w:hAnsi="宋体"/>
                <w:kern w:val="0"/>
              </w:rPr>
              <w:t>；</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kern w:val="0"/>
              </w:rPr>
            </w:pPr>
            <w:r>
              <w:rPr>
                <w:rFonts w:ascii="宋体" w:hAnsi="宋体"/>
                <w:b/>
                <w:bCs/>
              </w:rPr>
              <w:t>小塘镇</w:t>
            </w:r>
            <w:r>
              <w:rPr>
                <w:b/>
                <w:bCs/>
              </w:rPr>
              <w:t>:</w:t>
            </w:r>
            <w:r>
              <w:rPr>
                <w:rFonts w:ascii="宋体" w:hAnsi="宋体"/>
                <w:kern w:val="0"/>
              </w:rPr>
              <w:t>农业种植、畜禽养殖、农副产品加工、</w:t>
            </w:r>
            <w:r>
              <w:rPr>
                <w:rFonts w:hint="eastAsia" w:ascii="宋体" w:hAnsi="宋体"/>
                <w:kern w:val="0"/>
              </w:rPr>
              <w:t>建筑材料、能源开发、</w:t>
            </w:r>
            <w:r>
              <w:rPr>
                <w:rFonts w:ascii="宋体" w:hAnsi="宋体"/>
                <w:kern w:val="0"/>
              </w:rPr>
              <w:t>其他轻工业；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pPr>
            <w:r>
              <w:rPr>
                <w:rFonts w:ascii="宋体" w:hAnsi="宋体"/>
                <w:b/>
                <w:bCs/>
              </w:rPr>
              <w:t>新田铺镇：</w:t>
            </w:r>
            <w:r>
              <w:rPr>
                <w:rFonts w:ascii="宋体" w:hAnsi="宋体"/>
                <w:kern w:val="0"/>
              </w:rPr>
              <w:t>农业种植、畜禽养殖、农副产品加工、食品加工、</w:t>
            </w:r>
            <w:r>
              <w:rPr>
                <w:rFonts w:hint="eastAsia" w:ascii="宋体" w:hAnsi="宋体"/>
                <w:kern w:val="0"/>
              </w:rPr>
              <w:t>建筑材料、能源开发、</w:t>
            </w:r>
            <w:r>
              <w:rPr>
                <w:rFonts w:ascii="宋体" w:hAnsi="宋体"/>
                <w:kern w:val="0"/>
              </w:rPr>
              <w:t>其他</w:t>
            </w:r>
            <w:r>
              <w:rPr>
                <w:rFonts w:ascii="宋体" w:hAnsi="宋体"/>
              </w:rPr>
              <w:t>轻工业；</w:t>
            </w:r>
          </w:p>
          <w:p>
            <w:pPr>
              <w:keepNext w:val="0"/>
              <w:keepLines w:val="0"/>
              <w:pageBreakBefore w:val="0"/>
              <w:kinsoku/>
              <w:wordWrap/>
              <w:overflowPunct/>
              <w:topLinePunct w:val="0"/>
              <w:autoSpaceDE/>
              <w:autoSpaceDN/>
              <w:bidi w:val="0"/>
              <w:adjustRightInd/>
              <w:snapToGrid/>
              <w:spacing w:line="280" w:lineRule="exact"/>
              <w:textAlignment w:val="auto"/>
            </w:pPr>
            <w:r>
              <w:rPr>
                <w:rFonts w:ascii="宋体" w:hAnsi="宋体"/>
                <w:b/>
                <w:bCs/>
              </w:rPr>
              <w:t>严塘镇：</w:t>
            </w:r>
            <w:r>
              <w:rPr>
                <w:rFonts w:ascii="宋体" w:hAnsi="宋体"/>
                <w:kern w:val="0"/>
              </w:rPr>
              <w:t>农业种植、畜禽养殖、食品加工、旅游开发及旅游产品加工、</w:t>
            </w:r>
            <w:r>
              <w:rPr>
                <w:rFonts w:hint="eastAsia" w:ascii="宋体" w:hAnsi="宋体"/>
                <w:kern w:val="0"/>
              </w:rPr>
              <w:t>建筑材料、能源开发、</w:t>
            </w:r>
            <w:r>
              <w:rPr>
                <w:rFonts w:ascii="宋体" w:hAnsi="宋体"/>
                <w:kern w:val="0"/>
              </w:rPr>
              <w:t>其他轻工业。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pPr>
          </w:p>
        </w:tc>
        <w:tc>
          <w:tcPr>
            <w:tcW w:w="3572"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0" w:lineRule="exact"/>
              <w:textAlignment w:val="auto"/>
              <w:rPr>
                <w:b/>
                <w:bCs/>
                <w:color w:val="000000"/>
                <w:kern w:val="0"/>
              </w:rPr>
            </w:pPr>
            <w:r>
              <w:rPr>
                <w:b/>
                <w:bCs/>
                <w:color w:val="000000"/>
                <w:kern w:val="0"/>
              </w:rPr>
              <w:t>主要环境问题:</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kern w:val="0"/>
              </w:rPr>
            </w:pPr>
            <w:r>
              <w:rPr>
                <w:b/>
                <w:bCs/>
                <w:color w:val="000000"/>
              </w:rPr>
              <w:t>酿溪镇：</w:t>
            </w:r>
            <w:r>
              <w:rPr>
                <w:kern w:val="0"/>
              </w:rPr>
              <w:t>农村面源污染未完全得到有效治理、大气环境颗粒物污染（野外用火、秸秆焚烧等）形势严峻。</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kern w:val="0"/>
              </w:rPr>
            </w:pPr>
            <w:r>
              <w:rPr>
                <w:b/>
                <w:bCs/>
                <w:color w:val="000000"/>
              </w:rPr>
              <w:t>小塘镇、严塘镇：</w:t>
            </w:r>
            <w:r>
              <w:rPr>
                <w:kern w:val="0"/>
              </w:rPr>
              <w:t>农村面源污染未完全得到有效治理、乡镇污水处理厂污水收集率偏低，大气环境颗粒物污染（野外用火、秸秆焚烧等）形势严峻。</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kern w:val="0"/>
              </w:rPr>
            </w:pPr>
            <w:r>
              <w:rPr>
                <w:b/>
                <w:bCs/>
                <w:color w:val="000000"/>
              </w:rPr>
              <w:t>新田铺镇：</w:t>
            </w:r>
            <w:r>
              <w:rPr>
                <w:kern w:val="0"/>
              </w:rPr>
              <w:t>农村面源污染未完全得到有效治理、乡镇污水处理厂污水收集率偏低，大气环境颗粒物污染（野外用火、秸秆焚烧等）形势严峻、原新邵县新田铺镇锰矿地块污染治理。</w:t>
            </w:r>
          </w:p>
          <w:p>
            <w:pPr>
              <w:keepNext w:val="0"/>
              <w:keepLines w:val="0"/>
              <w:pageBreakBefore w:val="0"/>
              <w:widowControl/>
              <w:kinsoku/>
              <w:wordWrap/>
              <w:overflowPunct/>
              <w:topLinePunct w:val="0"/>
              <w:autoSpaceDE/>
              <w:autoSpaceDN/>
              <w:bidi w:val="0"/>
              <w:adjustRightInd/>
              <w:snapToGrid/>
              <w:spacing w:line="280" w:lineRule="exact"/>
              <w:textAlignment w:val="auto"/>
              <w:rPr>
                <w:b/>
                <w:bCs/>
                <w:color w:val="000000"/>
                <w:kern w:val="0"/>
              </w:rPr>
            </w:pPr>
            <w:r>
              <w:rPr>
                <w:b/>
                <w:bCs/>
                <w:color w:val="000000"/>
                <w:kern w:val="0"/>
              </w:rPr>
              <w:t>重要敏感目标:</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kern w:val="0"/>
              </w:rPr>
            </w:pPr>
            <w:r>
              <w:rPr>
                <w:b/>
                <w:bCs/>
                <w:color w:val="000000"/>
              </w:rPr>
              <w:t>酿溪镇：</w:t>
            </w:r>
            <w:r>
              <w:rPr>
                <w:kern w:val="0"/>
              </w:rPr>
              <w:t>涉及资水新邵段沙塘鳢黄尾鲴国家级水产种质资源保护区、新邵县筱溪国家湿地公园。</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b/>
                <w:bCs/>
                <w:color w:val="000000"/>
                <w:kern w:val="0"/>
              </w:rPr>
            </w:pPr>
            <w:r>
              <w:rPr>
                <w:b/>
                <w:bCs/>
                <w:color w:val="000000"/>
              </w:rPr>
              <w:t>小塘镇:</w:t>
            </w:r>
            <w:r>
              <w:rPr>
                <w:kern w:val="0"/>
              </w:rPr>
              <w:t>涉及新邵县筱溪国家湿地公园。</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b/>
                <w:bCs/>
                <w:color w:val="000000"/>
                <w:kern w:val="0"/>
              </w:rPr>
            </w:pPr>
            <w:r>
              <w:rPr>
                <w:b/>
                <w:bCs/>
                <w:color w:val="000000"/>
              </w:rPr>
              <w:t>新田铺镇：</w:t>
            </w:r>
            <w:r>
              <w:rPr>
                <w:kern w:val="0"/>
              </w:rPr>
              <w:t>涉及新邵县筱溪国家湿地公园。资水新邵段沙塘鳢黄尾鲴国家级水产种质资源保护区</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textAlignment w:val="auto"/>
              <w:rPr>
                <w:b/>
                <w:bCs/>
                <w:color w:val="000000"/>
                <w:kern w:val="0"/>
              </w:rPr>
            </w:pPr>
            <w:r>
              <w:rPr>
                <w:b/>
                <w:bCs/>
                <w:color w:val="000000"/>
              </w:rPr>
              <w:t>严塘镇：</w:t>
            </w:r>
            <w:r>
              <w:rPr>
                <w:kern w:val="0"/>
              </w:rPr>
              <w:t>涉及新邵县筱溪国家湿地公园，资水新邵段沙塘鳢黄尾鲴国家级水产种质资源保护区，新邵县白水洞风景名胜区。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b/>
                <w:bCs/>
                <w:color w:val="000000"/>
                <w:kern w:val="0"/>
              </w:rPr>
            </w:pPr>
            <w:r>
              <w:rPr>
                <w:b/>
                <w:bCs/>
                <w:color w:val="000000"/>
                <w:kern w:val="0"/>
              </w:rPr>
              <w:t>主要属性</w:t>
            </w:r>
          </w:p>
        </w:tc>
        <w:tc>
          <w:tcPr>
            <w:tcW w:w="12526" w:type="dxa"/>
            <w:gridSpan w:val="11"/>
            <w:tcBorders>
              <w:top w:val="single" w:color="auto" w:sz="4" w:space="0"/>
              <w:left w:val="nil"/>
              <w:bottom w:val="single" w:color="auto" w:sz="4" w:space="0"/>
              <w:right w:val="single" w:color="auto" w:sz="4" w:space="0"/>
            </w:tcBorders>
            <w:vAlign w:val="center"/>
          </w:tcPr>
          <w:p>
            <w:pPr>
              <w:pStyle w:val="16"/>
              <w:spacing w:line="380" w:lineRule="exact"/>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酿溪镇：</w:t>
            </w:r>
          </w:p>
          <w:p>
            <w:pPr>
              <w:spacing w:line="380" w:lineRule="exact"/>
              <w:ind w:firstLine="422" w:firstLineChars="200"/>
              <w:jc w:val="left"/>
              <w:rPr>
                <w:b/>
                <w:bCs/>
              </w:rPr>
            </w:pPr>
            <w:r>
              <w:rPr>
                <w:b/>
                <w:bCs/>
              </w:rPr>
              <w:t>生态红线：</w:t>
            </w:r>
            <w:r>
              <w:t>红线/一般生态空间；三区三线生态红线\生物多样性保护功能重要区\湿地公园\风景名胜区\水源涵养重要区\原生态红线\水土流失敏感区；</w:t>
            </w:r>
          </w:p>
          <w:p>
            <w:pPr>
              <w:spacing w:line="380" w:lineRule="exact"/>
              <w:ind w:firstLine="422" w:firstLineChars="200"/>
              <w:jc w:val="left"/>
              <w:rPr>
                <w:b/>
                <w:bCs/>
                <w:color w:val="000000"/>
                <w:szCs w:val="21"/>
              </w:rPr>
            </w:pPr>
            <w:r>
              <w:rPr>
                <w:b/>
                <w:bCs/>
              </w:rPr>
              <w:t xml:space="preserve">环境质量底线： </w:t>
            </w:r>
            <w:r>
              <w:t>水环境优先保护区/ 水环境工业污染重点管控区；水产种质（国家级）、湿地公园/工业园区、污水处理厂；资水新邵段沙塘鳢黄尾鲴国家级水产种质资源保护区、湖南新邵筱溪国家级湿地公园/新邵经济开发区、新邵县大坪污水处理厂；大气环境优先保护区/大气环境高排放重点管控区/大气环境受体敏感重点管控区/大气环境布局敏感重点管控区/大气环境弱扩散重点管控区；白水洞国家级风景名胜区/湖南新邵筱溪国家湿地公园/新邵经济开发区；农用地优先保护区/建设用地重点管控区/一般管控区；中高风险企业用地/重点行业企业重点区域；新邵经济开发区；城市化地区；高污染燃料禁燃区；</w:t>
            </w:r>
          </w:p>
          <w:p>
            <w:pPr>
              <w:pStyle w:val="16"/>
              <w:spacing w:line="380" w:lineRule="exact"/>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小塘镇：</w:t>
            </w:r>
          </w:p>
          <w:p>
            <w:pPr>
              <w:spacing w:line="380" w:lineRule="exact"/>
              <w:ind w:firstLine="422" w:firstLineChars="200"/>
              <w:jc w:val="left"/>
              <w:rPr>
                <w:b/>
                <w:bCs/>
              </w:rPr>
            </w:pPr>
            <w:r>
              <w:rPr>
                <w:b/>
                <w:bCs/>
              </w:rPr>
              <w:t>生态红线：</w:t>
            </w:r>
            <w:r>
              <w:t>红线/一般生态空间；水源涵养重要区\三区三线生态红线\湿地公园\水土流失敏感区\原生态红线\生物多样性保护功能重要区；</w:t>
            </w:r>
          </w:p>
          <w:p>
            <w:pPr>
              <w:spacing w:line="380" w:lineRule="exact"/>
              <w:ind w:firstLine="422" w:firstLineChars="200"/>
              <w:jc w:val="left"/>
              <w:rPr>
                <w:b/>
                <w:bCs/>
                <w:color w:val="000000"/>
                <w:szCs w:val="21"/>
              </w:rPr>
            </w:pPr>
            <w:r>
              <w:rPr>
                <w:b/>
                <w:bCs/>
              </w:rPr>
              <w:t>环境质量底线：</w:t>
            </w:r>
            <w:r>
              <w:t>水环境优先保护区/水环境一般管控区；湿地公园；湖南新邵筱溪国家级湿地公园；大气环境优先保护区/大气环境受体敏感重点管控区/大气环境弱扩散重点管控区；湖南新邵筱溪国家湿地公园；农用地优先保护区/建设用地重点管控区/其他重点管控区/一般管控区；矿区/中高风险企业用地；农产品主产区；</w:t>
            </w:r>
          </w:p>
          <w:p>
            <w:pPr>
              <w:pStyle w:val="16"/>
              <w:spacing w:line="380" w:lineRule="exact"/>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新田铺镇：</w:t>
            </w:r>
          </w:p>
          <w:p>
            <w:pPr>
              <w:spacing w:line="380" w:lineRule="exact"/>
              <w:ind w:firstLine="422" w:firstLineChars="200"/>
              <w:jc w:val="left"/>
              <w:rPr>
                <w:b/>
                <w:bCs/>
              </w:rPr>
            </w:pPr>
            <w:r>
              <w:rPr>
                <w:b/>
                <w:bCs/>
              </w:rPr>
              <w:t>生态红线：</w:t>
            </w:r>
            <w:r>
              <w:t>红线/一般生态空间；风景名胜区\水源涵养重要区\湿地公园\原生态红线\三区三线生态红线\生物多样性保护功能重要区\水土流失敏感区；</w:t>
            </w:r>
          </w:p>
          <w:p>
            <w:pPr>
              <w:spacing w:line="380" w:lineRule="exact"/>
              <w:ind w:firstLine="422" w:firstLineChars="200"/>
              <w:jc w:val="left"/>
              <w:rPr>
                <w:b/>
                <w:bCs/>
                <w:color w:val="000000"/>
                <w:szCs w:val="21"/>
              </w:rPr>
            </w:pPr>
            <w:r>
              <w:rPr>
                <w:b/>
                <w:bCs/>
              </w:rPr>
              <w:t>环境质量底线：</w:t>
            </w:r>
            <w:r>
              <w:t>水环境优先保护区/水环境其他重点管控区；水产种质（国家级）、湿地公园、重金属矿/重金属矿；资水新邵段沙塘鳢黄尾鲴国家级水产种质资源保护区、湖南新邵筱溪国家级湿地公园、新邵县鑫山矿业有限公司永红林场铅锌锑矿/新邵县三郎庙铅锌锑多金属矿有限公司三郎庙铅锌锑矿；大气环境优先保护区/大气环境高排放重点管控区/大气环境受体敏感重点管控区/大气环境弱扩散重点管控区；白水洞国家级风景名胜区/湖南新邵筱溪国家湿地公园/新邵经济开发区；农用地优先保护区/农用地重点管控区/建设用地重点管控区/其他重点管控区/一般管控区；矿区/中高风险企业用地/重点行业企业重点区域；农产品主产区；</w:t>
            </w:r>
          </w:p>
          <w:p>
            <w:pPr>
              <w:pStyle w:val="16"/>
              <w:spacing w:line="380" w:lineRule="exact"/>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严塘镇：</w:t>
            </w:r>
          </w:p>
          <w:p>
            <w:pPr>
              <w:spacing w:line="380" w:lineRule="exact"/>
              <w:ind w:firstLine="422" w:firstLineChars="200"/>
              <w:jc w:val="left"/>
              <w:rPr>
                <w:b/>
                <w:bCs/>
              </w:rPr>
            </w:pPr>
            <w:r>
              <w:rPr>
                <w:b/>
                <w:bCs/>
              </w:rPr>
              <w:t>生态红线：</w:t>
            </w:r>
            <w:r>
              <w:t>红线/一般生态空间；风景名胜区\三区三线生态红线\水源涵养重要区\湿地公园\水土流失敏感区\原生态红线\生物多样性保护功能重要区；</w:t>
            </w:r>
          </w:p>
          <w:p>
            <w:pPr>
              <w:spacing w:line="380" w:lineRule="exact"/>
              <w:ind w:firstLine="422" w:firstLineChars="200"/>
              <w:jc w:val="left"/>
              <w:rPr>
                <w:b/>
                <w:bCs/>
                <w:color w:val="000000"/>
                <w:szCs w:val="21"/>
              </w:rPr>
            </w:pPr>
            <w:r>
              <w:rPr>
                <w:b/>
                <w:bCs/>
              </w:rPr>
              <w:t>环境质量底线：</w:t>
            </w:r>
            <w:r>
              <w:t xml:space="preserve"> 水环境优先保护区/水环境一般管控区；水产种质（国家级）、湿地公园；资水新邵段沙塘鳢黄尾鲴国家级水产种质资源保护区、湖南新邵筱溪国家级湿地公园；大气环境优先保护区/大气环境高排放重点管控区/大气环境受体敏感重点管控区/大气环境布局敏感重点管控区；白水洞国家级风景名胜区/湖南新邵筱溪国家湿地公园/新邵经济开发区；农用地优先保护区/建设用地重点管控区/其他重点管控区/一般管控区；矿区/中高风险企业用地；农产品主产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b/>
                <w:bCs/>
                <w:color w:val="000000"/>
              </w:rPr>
            </w:pPr>
            <w:r>
              <w:rPr>
                <w:b/>
                <w:bCs/>
                <w:color w:val="000000"/>
              </w:rPr>
              <w:t>管控维度</w:t>
            </w:r>
          </w:p>
        </w:tc>
        <w:tc>
          <w:tcPr>
            <w:tcW w:w="9297" w:type="dxa"/>
            <w:gridSpan w:val="10"/>
            <w:tcBorders>
              <w:top w:val="single" w:color="auto" w:sz="4" w:space="0"/>
              <w:left w:val="nil"/>
              <w:bottom w:val="single" w:color="auto" w:sz="4" w:space="0"/>
              <w:right w:val="single" w:color="auto" w:sz="4" w:space="0"/>
            </w:tcBorders>
            <w:vAlign w:val="center"/>
          </w:tcPr>
          <w:p>
            <w:pPr>
              <w:spacing w:line="380" w:lineRule="exact"/>
              <w:jc w:val="center"/>
              <w:rPr>
                <w:b/>
                <w:bCs/>
                <w:color w:val="000000"/>
              </w:rPr>
            </w:pPr>
            <w:r>
              <w:rPr>
                <w:b/>
                <w:bCs/>
                <w:color w:val="000000"/>
                <w:kern w:val="0"/>
              </w:rPr>
              <w:t>管控要求</w:t>
            </w:r>
          </w:p>
        </w:tc>
        <w:tc>
          <w:tcPr>
            <w:tcW w:w="3229" w:type="dxa"/>
            <w:tcBorders>
              <w:top w:val="single" w:color="auto" w:sz="4" w:space="0"/>
              <w:left w:val="nil"/>
              <w:bottom w:val="single" w:color="auto" w:sz="4" w:space="0"/>
              <w:right w:val="single" w:color="auto" w:sz="4" w:space="0"/>
            </w:tcBorders>
            <w:vAlign w:val="center"/>
          </w:tcPr>
          <w:p>
            <w:pPr>
              <w:spacing w:line="38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color w:val="000000"/>
              </w:rPr>
            </w:pPr>
            <w:r>
              <w:rPr>
                <w:color w:val="000000"/>
              </w:rPr>
              <w:t>空间布局约束</w:t>
            </w:r>
          </w:p>
        </w:tc>
        <w:tc>
          <w:tcPr>
            <w:tcW w:w="9297" w:type="dxa"/>
            <w:gridSpan w:val="10"/>
            <w:tcBorders>
              <w:top w:val="single" w:color="auto" w:sz="4" w:space="0"/>
              <w:left w:val="nil"/>
              <w:bottom w:val="single" w:color="auto" w:sz="4" w:space="0"/>
              <w:right w:val="single" w:color="auto" w:sz="4" w:space="0"/>
            </w:tcBorders>
            <w:vAlign w:val="center"/>
          </w:tcPr>
          <w:p>
            <w:pPr>
              <w:widowControl/>
              <w:spacing w:line="38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380" w:lineRule="exact"/>
              <w:jc w:val="left"/>
            </w:pPr>
            <w:r>
              <w:t>（1.2）严禁在资江、邵水岸线1公里等区域范围内新(改、扩)建尾矿库。</w:t>
            </w:r>
          </w:p>
          <w:p>
            <w:pPr>
              <w:widowControl/>
              <w:spacing w:line="380" w:lineRule="exact"/>
              <w:jc w:val="left"/>
            </w:pPr>
            <w:r>
              <w:t>（1.3）加强水产种质资源保护区管控，核实保护区范围。禁止新建排污口、禁止围湖造田。</w:t>
            </w:r>
          </w:p>
        </w:tc>
        <w:tc>
          <w:tcPr>
            <w:tcW w:w="3229" w:type="dxa"/>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rPr>
                <w:rFonts w:hint="eastAsia"/>
                <w:lang w:eastAsia="zh-CN"/>
              </w:rPr>
              <w:t>（</w:t>
            </w:r>
            <w:r>
              <w:rPr>
                <w:rFonts w:hint="eastAsia"/>
                <w:lang w:val="en-US" w:eastAsia="zh-CN"/>
              </w:rPr>
              <w:t>1.3</w:t>
            </w:r>
            <w:r>
              <w:rPr>
                <w:rFonts w:hint="eastAsia"/>
                <w:lang w:eastAsia="zh-CN"/>
              </w:rPr>
              <w:t>）</w:t>
            </w:r>
            <w:r>
              <w:t>（4.3）《新邵县国土空间总体规划（2021-2035年）》</w:t>
            </w:r>
          </w:p>
          <w:p>
            <w:pPr>
              <w:widowControl/>
              <w:spacing w:line="380" w:lineRule="exact"/>
              <w:jc w:val="left"/>
            </w:pPr>
            <w: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color w:val="000000"/>
              </w:rPr>
            </w:pPr>
            <w:r>
              <w:rPr>
                <w:color w:val="000000"/>
              </w:rPr>
              <w:t>污染物排放管控</w:t>
            </w:r>
          </w:p>
        </w:tc>
        <w:tc>
          <w:tcPr>
            <w:tcW w:w="9297" w:type="dxa"/>
            <w:gridSpan w:val="10"/>
            <w:tcBorders>
              <w:top w:val="single" w:color="auto" w:sz="4" w:space="0"/>
              <w:left w:val="nil"/>
              <w:bottom w:val="single" w:color="auto" w:sz="4" w:space="0"/>
              <w:right w:val="single" w:color="auto" w:sz="4" w:space="0"/>
            </w:tcBorders>
            <w:vAlign w:val="center"/>
          </w:tcPr>
          <w:p>
            <w:pPr>
              <w:widowControl/>
              <w:spacing w:line="380" w:lineRule="exact"/>
              <w:jc w:val="left"/>
              <w:rPr>
                <w:lang w:val="zh-CN"/>
              </w:rPr>
            </w:pPr>
            <w:r>
              <w:t>（2.1）废水：实施农村生活污水治理规划，以环境敏感区周边村庄、乡镇政府驻地和中心村为重点梯次推进农村生活污水治理，推动城镇污水处理设施和服务向城镇近郊农村延伸。</w:t>
            </w:r>
          </w:p>
          <w:p>
            <w:pPr>
              <w:widowControl/>
              <w:spacing w:line="380" w:lineRule="exact"/>
              <w:jc w:val="left"/>
            </w:pPr>
            <w:r>
              <w:t>（2.2）废气：</w:t>
            </w:r>
          </w:p>
          <w:p>
            <w:pPr>
              <w:widowControl/>
              <w:spacing w:line="380" w:lineRule="exact"/>
              <w:jc w:val="left"/>
            </w:pPr>
            <w:r>
              <w:t>（2.2.1）按照“分业施策、一行一策”的原则，加大低 VOCs 含量原辅材料的推广使用力度，从源头减少 VOCs 产生。推进使用先进生产工艺设备，减少无组织排放。实行重点排放源排放浓度与去除效率双重控制。</w:t>
            </w:r>
          </w:p>
          <w:p>
            <w:pPr>
              <w:widowControl/>
              <w:spacing w:line="380" w:lineRule="exact"/>
              <w:jc w:val="left"/>
            </w:pPr>
            <w:r>
              <w:t>（2.2.2）加强扬尘污染治理。</w:t>
            </w:r>
          </w:p>
          <w:p>
            <w:pPr>
              <w:widowControl/>
              <w:spacing w:line="380" w:lineRule="exact"/>
              <w:jc w:val="left"/>
            </w:pPr>
            <w:r>
              <w:t>（2.3）固体废弃物：</w:t>
            </w:r>
          </w:p>
          <w:p>
            <w:pPr>
              <w:widowControl/>
              <w:spacing w:line="380" w:lineRule="exact"/>
              <w:jc w:val="left"/>
            </w:pPr>
            <w:r>
              <w:t>（2.3.1）</w:t>
            </w:r>
            <w:r>
              <w:rPr>
                <w:rFonts w:hint="eastAsia"/>
              </w:rPr>
              <w:t>持续</w:t>
            </w:r>
            <w:r>
              <w:t>推动塑料污染全链条治理。</w:t>
            </w:r>
          </w:p>
          <w:p>
            <w:pPr>
              <w:widowControl/>
              <w:spacing w:line="380" w:lineRule="exact"/>
              <w:jc w:val="left"/>
            </w:pPr>
            <w:r>
              <w:t>（2.3.2）实施生活垃圾分类制度，建设分类投放、分类收集、分类运输、分类处置的生活垃圾管理系统。</w:t>
            </w:r>
          </w:p>
          <w:p>
            <w:pPr>
              <w:widowControl/>
              <w:spacing w:line="380" w:lineRule="exact"/>
              <w:jc w:val="left"/>
            </w:pPr>
            <w:r>
              <w:t>（2.3.3）推动建筑垃圾资源化利用。</w:t>
            </w:r>
          </w:p>
          <w:p>
            <w:pPr>
              <w:widowControl/>
              <w:spacing w:line="380" w:lineRule="exact"/>
              <w:jc w:val="left"/>
              <w:rPr>
                <w:lang w:val="zh-CN"/>
              </w:rPr>
            </w:pPr>
            <w:r>
              <w:t>（2.3.4）推动农作物秸秆、畜禽粪污、林业废弃物、农产品加工副产品等农林废弃物的高效利用。</w:t>
            </w:r>
          </w:p>
        </w:tc>
        <w:tc>
          <w:tcPr>
            <w:tcW w:w="3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color w:val="000000"/>
              </w:rPr>
            </w:pPr>
            <w:r>
              <w:rPr>
                <w:color w:val="000000"/>
              </w:rPr>
              <w:t>环境风险防控</w:t>
            </w:r>
          </w:p>
        </w:tc>
        <w:tc>
          <w:tcPr>
            <w:tcW w:w="9297" w:type="dxa"/>
            <w:gridSpan w:val="10"/>
            <w:tcBorders>
              <w:top w:val="single" w:color="auto" w:sz="4" w:space="0"/>
              <w:left w:val="nil"/>
              <w:bottom w:val="single" w:color="auto" w:sz="4" w:space="0"/>
              <w:right w:val="single" w:color="auto" w:sz="4" w:space="0"/>
            </w:tcBorders>
            <w:vAlign w:val="center"/>
          </w:tcPr>
          <w:p>
            <w:pPr>
              <w:widowControl/>
              <w:spacing w:line="380" w:lineRule="exact"/>
              <w:jc w:val="left"/>
            </w:pPr>
            <w:r>
              <w:t>（3.1）建设用地风险防控：</w:t>
            </w:r>
          </w:p>
          <w:p>
            <w:pPr>
              <w:widowControl/>
              <w:spacing w:line="380" w:lineRule="exact"/>
              <w:jc w:val="left"/>
            </w:pPr>
            <w:r>
              <w:t>（3.1.1）完善准入管理机制，严格污染地块用途管制，列入建设用地土壤污染风险管控和修复名录的地块，不得作为住宅、公共管理与公共服务用地。</w:t>
            </w:r>
          </w:p>
          <w:p>
            <w:pPr>
              <w:widowControl/>
              <w:spacing w:line="380" w:lineRule="exact"/>
              <w:jc w:val="left"/>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widowControl/>
              <w:spacing w:line="380" w:lineRule="exact"/>
              <w:jc w:val="left"/>
            </w:pPr>
            <w:r>
              <w:t>（3.2）加大优先保护类耕地保护力度，确保面积不减少、环境质量不下降；在永久基本农田集中区域，不得规划新建可能造成土壤污染的建设项目。</w:t>
            </w:r>
          </w:p>
          <w:p>
            <w:pPr>
              <w:widowControl/>
              <w:spacing w:line="380" w:lineRule="exact"/>
              <w:jc w:val="left"/>
            </w:pPr>
            <w:r>
              <w:t>（3.3）对污染突出、环境敏感和管控难度较大的污染地块，避免作为高功能用地性质进行开发使用。</w:t>
            </w:r>
          </w:p>
          <w:p>
            <w:pPr>
              <w:widowControl/>
              <w:spacing w:line="380" w:lineRule="exact"/>
              <w:jc w:val="left"/>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3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color w:val="000000"/>
              </w:rPr>
            </w:pPr>
            <w:r>
              <w:rPr>
                <w:color w:val="000000"/>
              </w:rPr>
              <w:t>资源开发效率要求</w:t>
            </w:r>
          </w:p>
        </w:tc>
        <w:tc>
          <w:tcPr>
            <w:tcW w:w="9297" w:type="dxa"/>
            <w:gridSpan w:val="10"/>
            <w:tcBorders>
              <w:top w:val="single" w:color="auto" w:sz="4" w:space="0"/>
              <w:left w:val="nil"/>
              <w:bottom w:val="single" w:color="auto" w:sz="4" w:space="0"/>
              <w:right w:val="single" w:color="auto" w:sz="4" w:space="0"/>
            </w:tcBorders>
            <w:vAlign w:val="center"/>
          </w:tcPr>
          <w:p>
            <w:pPr>
              <w:widowControl/>
              <w:spacing w:line="380" w:lineRule="exact"/>
              <w:jc w:val="left"/>
            </w:pPr>
            <w:r>
              <w:rPr>
                <w:lang w:val="zh-CN"/>
              </w:rPr>
              <w:t>（</w:t>
            </w:r>
            <w:r>
              <w:t>4.1</w:t>
            </w:r>
            <w:r>
              <w:rPr>
                <w:lang w:val="zh-CN"/>
              </w:rPr>
              <w:t>）</w:t>
            </w:r>
            <w:r>
              <w:t>能源：</w:t>
            </w:r>
          </w:p>
          <w:p>
            <w:pPr>
              <w:widowControl/>
              <w:spacing w:line="38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38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38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380" w:lineRule="exact"/>
              <w:jc w:val="left"/>
            </w:pPr>
            <w:r>
              <w:t>（4.3）土地资源：到2035年，酿溪镇耕地保有量不低于1.67万亩，永久基本农田面积不低于0.93万亩，生态保护红线面积不少于580.60公顷，城镇开发边界规模不超过1875.09公顷；小塘镇耕地保有量不低于5.72万亩，永久基本农田面积不低于5.44万亩，生态保护红线面积不少于466.2公顷，城镇开发边界规模不超过30.8公顷；新田铺镇耕地保有量不低于4.93万亩，永久基本农田面积不低于4.29万亩，生态保护红线面积不少于1613.51公顷，城镇开发边界规模不超过249.85公顷；严塘镇耕地保有量不低于3.01万亩，永久基本农田面积不低于2.69万亩，生态保护红线面积不少于4893.09公顷，城镇开发边界规模不超过187.69公顷。</w:t>
            </w:r>
          </w:p>
        </w:tc>
        <w:tc>
          <w:tcPr>
            <w:tcW w:w="3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color w:val="000000"/>
              </w:rPr>
            </w:pPr>
          </w:p>
        </w:tc>
      </w:tr>
    </w:tbl>
    <w:p>
      <w:pPr>
        <w:widowControl/>
        <w:jc w:val="left"/>
      </w:pPr>
      <w:r>
        <w:br w:type="page"/>
      </w:r>
    </w:p>
    <w:tbl>
      <w:tblPr>
        <w:tblStyle w:val="10"/>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755"/>
        <w:gridCol w:w="426"/>
        <w:gridCol w:w="426"/>
        <w:gridCol w:w="763"/>
        <w:gridCol w:w="1585"/>
        <w:gridCol w:w="986"/>
        <w:gridCol w:w="2082"/>
        <w:gridCol w:w="644"/>
        <w:gridCol w:w="2267"/>
        <w:gridCol w:w="669"/>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756"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1616"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1585"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986"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2082"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643"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w:t>
            </w:r>
          </w:p>
        </w:tc>
        <w:tc>
          <w:tcPr>
            <w:tcW w:w="2268"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3149" w:type="dxa"/>
            <w:gridSpan w:val="2"/>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756"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426"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426"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764"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1585"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986"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2082"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64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2268"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149" w:type="dxa"/>
            <w:gridSpan w:val="2"/>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ZH43052220001</w:t>
            </w:r>
          </w:p>
        </w:tc>
        <w:tc>
          <w:tcPr>
            <w:tcW w:w="756"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雀塘镇/寸石镇</w:t>
            </w:r>
          </w:p>
        </w:tc>
        <w:tc>
          <w:tcPr>
            <w:tcW w:w="426"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426"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764"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15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color w:val="000000"/>
              </w:rPr>
            </w:pPr>
            <w:r>
              <w:rPr>
                <w:color w:val="000000"/>
              </w:rPr>
              <w:t>重点管控单元</w:t>
            </w:r>
          </w:p>
        </w:tc>
        <w:tc>
          <w:tcPr>
            <w:tcW w:w="986" w:type="dxa"/>
            <w:tcBorders>
              <w:top w:val="single" w:color="auto" w:sz="4" w:space="0"/>
              <w:left w:val="nil"/>
              <w:bottom w:val="single" w:color="auto" w:sz="4" w:space="0"/>
              <w:right w:val="single" w:color="auto" w:sz="4" w:space="0"/>
            </w:tcBorders>
            <w:vAlign w:val="center"/>
          </w:tcPr>
          <w:p>
            <w:pPr>
              <w:pStyle w:val="16"/>
              <w:keepNext w:val="0"/>
              <w:keepLines w:val="0"/>
              <w:pageBreakBefore w:val="0"/>
              <w:kinsoku/>
              <w:wordWrap/>
              <w:overflowPunct/>
              <w:topLinePunct w:val="0"/>
              <w:bidi w:val="0"/>
              <w:spacing w:line="300" w:lineRule="exact"/>
              <w:textAlignment w:val="auto"/>
              <w:rPr>
                <w:rFonts w:ascii="Times New Roman" w:hAnsi="Times New Roman" w:cs="Times New Roman"/>
              </w:rPr>
            </w:pPr>
            <w:r>
              <w:rPr>
                <w:rFonts w:ascii="Times New Roman" w:hAnsi="Times New Roman" w:eastAsia="宋体" w:cs="Times New Roman"/>
                <w:color w:val="auto"/>
                <w:kern w:val="2"/>
                <w:sz w:val="21"/>
                <w:szCs w:val="22"/>
              </w:rPr>
              <w:t>188.32</w:t>
            </w:r>
          </w:p>
        </w:tc>
        <w:tc>
          <w:tcPr>
            <w:tcW w:w="20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color w:val="000000"/>
              </w:rPr>
            </w:pPr>
            <w:r>
              <w:rPr>
                <w:color w:val="000000"/>
              </w:rPr>
              <w:t>雀塘镇/寸石镇</w:t>
            </w:r>
          </w:p>
        </w:tc>
        <w:tc>
          <w:tcPr>
            <w:tcW w:w="6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00" w:lineRule="exact"/>
              <w:textAlignment w:val="auto"/>
            </w:pPr>
            <w:r>
              <w:rPr>
                <w:b/>
                <w:bCs/>
              </w:rPr>
              <w:t>雀塘镇</w:t>
            </w:r>
            <w:r>
              <w:t>：城市化地区；</w:t>
            </w:r>
          </w:p>
          <w:p>
            <w:pPr>
              <w:keepNext w:val="0"/>
              <w:keepLines w:val="0"/>
              <w:pageBreakBefore w:val="0"/>
              <w:kinsoku/>
              <w:wordWrap/>
              <w:overflowPunct/>
              <w:topLinePunct w:val="0"/>
              <w:bidi w:val="0"/>
              <w:spacing w:line="300" w:lineRule="exact"/>
              <w:textAlignment w:val="auto"/>
            </w:pPr>
            <w:r>
              <w:rPr>
                <w:b/>
                <w:bCs/>
                <w:color w:val="000000"/>
              </w:rPr>
              <w:t>寸石镇</w:t>
            </w:r>
            <w:r>
              <w:rPr>
                <w:color w:val="000000"/>
              </w:rPr>
              <w:t>：农产品主产区。</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exact"/>
              <w:textAlignment w:val="auto"/>
              <w:rPr>
                <w:kern w:val="0"/>
              </w:rPr>
            </w:pPr>
            <w:r>
              <w:rPr>
                <w:rFonts w:ascii="宋体" w:hAnsi="宋体"/>
                <w:b/>
                <w:bCs/>
              </w:rPr>
              <w:t>雀塘镇</w:t>
            </w:r>
            <w:r>
              <w:rPr>
                <w:rFonts w:ascii="宋体" w:hAnsi="宋体"/>
              </w:rPr>
              <w:t>：</w:t>
            </w:r>
            <w:r>
              <w:rPr>
                <w:rFonts w:ascii="宋体" w:hAnsi="宋体"/>
                <w:kern w:val="0"/>
              </w:rPr>
              <w:t>农业种植、畜禽养殖、农副产品加工、</w:t>
            </w:r>
            <w:r>
              <w:rPr>
                <w:rFonts w:hint="eastAsia" w:ascii="宋体" w:hAnsi="宋体"/>
                <w:kern w:val="0"/>
              </w:rPr>
              <w:t>建筑材料、能源开发</w:t>
            </w:r>
            <w:r>
              <w:rPr>
                <w:rFonts w:ascii="宋体" w:hAnsi="宋体"/>
                <w:kern w:val="0"/>
              </w:rPr>
              <w:t>再生资源综合利用；</w:t>
            </w:r>
          </w:p>
          <w:p>
            <w:pPr>
              <w:keepNext w:val="0"/>
              <w:keepLines w:val="0"/>
              <w:pageBreakBefore w:val="0"/>
              <w:kinsoku/>
              <w:wordWrap/>
              <w:overflowPunct/>
              <w:topLinePunct w:val="0"/>
              <w:bidi w:val="0"/>
              <w:spacing w:line="300" w:lineRule="exact"/>
              <w:textAlignment w:val="auto"/>
              <w:rPr>
                <w:kern w:val="0"/>
              </w:rPr>
            </w:pPr>
            <w:r>
              <w:rPr>
                <w:rFonts w:ascii="宋体" w:hAnsi="宋体"/>
                <w:b/>
                <w:bCs/>
              </w:rPr>
              <w:t>寸石镇：</w:t>
            </w:r>
            <w:r>
              <w:rPr>
                <w:rFonts w:ascii="宋体" w:hAnsi="宋体"/>
                <w:kern w:val="0"/>
              </w:rPr>
              <w:t>农业种植、畜禽养殖、农副产品加工、食品加工、家具制造、</w:t>
            </w:r>
            <w:r>
              <w:rPr>
                <w:rFonts w:hint="eastAsia" w:ascii="宋体" w:hAnsi="宋体"/>
                <w:kern w:val="0"/>
              </w:rPr>
              <w:t>建筑材料、能源开发、</w:t>
            </w:r>
            <w:r>
              <w:rPr>
                <w:rFonts w:ascii="宋体" w:hAnsi="宋体"/>
                <w:kern w:val="0"/>
              </w:rPr>
              <w:t>其他轻工业。</w:t>
            </w:r>
          </w:p>
        </w:tc>
        <w:tc>
          <w:tcPr>
            <w:tcW w:w="3149"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bidi w:val="0"/>
              <w:spacing w:line="300" w:lineRule="exact"/>
              <w:textAlignment w:val="auto"/>
              <w:rPr>
                <w:b/>
                <w:bCs/>
                <w:color w:val="000000"/>
                <w:kern w:val="0"/>
              </w:rPr>
            </w:pPr>
            <w:r>
              <w:rPr>
                <w:b/>
                <w:bCs/>
                <w:color w:val="000000"/>
                <w:kern w:val="0"/>
              </w:rPr>
              <w:t>主要环境问题：</w:t>
            </w:r>
          </w:p>
          <w:p>
            <w:pPr>
              <w:keepNext w:val="0"/>
              <w:keepLines w:val="0"/>
              <w:pageBreakBefore w:val="0"/>
              <w:widowControl/>
              <w:kinsoku/>
              <w:wordWrap/>
              <w:overflowPunct/>
              <w:topLinePunct w:val="0"/>
              <w:bidi w:val="0"/>
              <w:spacing w:line="300" w:lineRule="exact"/>
              <w:textAlignment w:val="auto"/>
              <w:rPr>
                <w:kern w:val="0"/>
              </w:rPr>
            </w:pPr>
            <w:r>
              <w:rPr>
                <w:b/>
                <w:bCs/>
              </w:rPr>
              <w:t>雀塘镇</w:t>
            </w:r>
            <w:r>
              <w:t>：</w:t>
            </w:r>
            <w:r>
              <w:rPr>
                <w:kern w:val="0"/>
              </w:rPr>
              <w:t>农村面源污染未完全得到有效治理、乡镇污水处理厂污水收集率偏低，大气环境颗粒物污染（野外用火、秸秆焚烧等）形势严峻，原新邵县雀塘镇锰矿地块污染治理。</w:t>
            </w:r>
          </w:p>
          <w:p>
            <w:pPr>
              <w:keepNext w:val="0"/>
              <w:keepLines w:val="0"/>
              <w:pageBreakBefore w:val="0"/>
              <w:widowControl/>
              <w:kinsoku/>
              <w:wordWrap/>
              <w:overflowPunct/>
              <w:topLinePunct w:val="0"/>
              <w:bidi w:val="0"/>
              <w:spacing w:line="300" w:lineRule="exact"/>
              <w:textAlignment w:val="auto"/>
              <w:rPr>
                <w:kern w:val="0"/>
              </w:rPr>
            </w:pPr>
            <w:r>
              <w:rPr>
                <w:b/>
                <w:bCs/>
                <w:color w:val="000000"/>
              </w:rPr>
              <w:t>寸石镇：</w:t>
            </w:r>
            <w:r>
              <w:rPr>
                <w:kern w:val="0"/>
              </w:rPr>
              <w:t>农村面源污染未完全得到有效治理、乡镇污水处理厂污水收集率偏低，大气环境颗粒物污染（野外用火、秸秆焚烧等）形势严峻。</w:t>
            </w:r>
          </w:p>
          <w:p>
            <w:pPr>
              <w:pStyle w:val="9"/>
              <w:keepNext w:val="0"/>
              <w:keepLines w:val="0"/>
              <w:pageBreakBefore w:val="0"/>
              <w:kinsoku/>
              <w:wordWrap/>
              <w:overflowPunct/>
              <w:topLinePunct w:val="0"/>
              <w:bidi w:val="0"/>
              <w:spacing w:line="300" w:lineRule="exact"/>
              <w:ind w:left="0" w:leftChars="0" w:firstLine="0" w:firstLineChars="0"/>
              <w:textAlignment w:val="auto"/>
            </w:pPr>
            <w:r>
              <w:rPr>
                <w:b/>
                <w:bCs/>
                <w:color w:val="000000"/>
                <w:kern w:val="0"/>
              </w:rPr>
              <w:t>重要敏感目标：</w:t>
            </w:r>
            <w:r>
              <w:rPr>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kern w:val="0"/>
              </w:rPr>
            </w:pPr>
            <w:r>
              <w:rPr>
                <w:b/>
                <w:bCs/>
                <w:color w:val="000000"/>
                <w:kern w:val="0"/>
              </w:rPr>
              <w:t>主要属性</w:t>
            </w:r>
          </w:p>
        </w:tc>
        <w:tc>
          <w:tcPr>
            <w:tcW w:w="13085" w:type="dxa"/>
            <w:gridSpan w:val="11"/>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bidi w:val="0"/>
              <w:spacing w:line="300" w:lineRule="exact"/>
              <w:jc w:val="left"/>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寸石镇：</w:t>
            </w:r>
          </w:p>
          <w:p>
            <w:pPr>
              <w:keepNext w:val="0"/>
              <w:keepLines w:val="0"/>
              <w:pageBreakBefore w:val="0"/>
              <w:widowControl w:val="0"/>
              <w:kinsoku/>
              <w:wordWrap/>
              <w:overflowPunct/>
              <w:topLinePunct w:val="0"/>
              <w:bidi w:val="0"/>
              <w:spacing w:line="300" w:lineRule="exact"/>
              <w:ind w:firstLine="422" w:firstLineChars="200"/>
              <w:jc w:val="left"/>
              <w:textAlignment w:val="auto"/>
              <w:rPr>
                <w:b/>
                <w:bCs/>
              </w:rPr>
            </w:pPr>
            <w:r>
              <w:rPr>
                <w:b/>
                <w:bCs/>
              </w:rPr>
              <w:t>生态红线：</w:t>
            </w:r>
            <w:r>
              <w:t>红线/一般生态空间；三区三线生态红线\水源涵养重要区\生物多样性保护功能重要区\原生态红线\水土流失敏感区\水土保持功能重要区；</w:t>
            </w:r>
          </w:p>
          <w:p>
            <w:pPr>
              <w:keepNext w:val="0"/>
              <w:keepLines w:val="0"/>
              <w:pageBreakBefore w:val="0"/>
              <w:widowControl w:val="0"/>
              <w:kinsoku/>
              <w:wordWrap/>
              <w:overflowPunct/>
              <w:topLinePunct w:val="0"/>
              <w:bidi w:val="0"/>
              <w:spacing w:line="300" w:lineRule="exact"/>
              <w:ind w:firstLine="422" w:firstLineChars="200"/>
              <w:jc w:val="left"/>
              <w:textAlignment w:val="auto"/>
              <w:rPr>
                <w:b/>
                <w:bCs/>
                <w:color w:val="000000"/>
                <w:szCs w:val="21"/>
              </w:rPr>
            </w:pPr>
            <w:r>
              <w:rPr>
                <w:b/>
                <w:bCs/>
              </w:rPr>
              <w:t>环境质量底线：</w:t>
            </w:r>
            <w:r>
              <w:t>水环境一般管控区；大气环境高排放重点管控区/大气环境受体敏感重点管控区/大气环境布局敏感重点管控区；新邵县寸石镇原红日机械厂工业园区；农用地优先保护区/建设用地重点管控区/其他重点管控区/一般管控区；矿区/中高风险企业用地；农产品主产区；</w:t>
            </w:r>
          </w:p>
          <w:p>
            <w:pPr>
              <w:pStyle w:val="16"/>
              <w:keepNext w:val="0"/>
              <w:keepLines w:val="0"/>
              <w:pageBreakBefore w:val="0"/>
              <w:widowControl w:val="0"/>
              <w:kinsoku/>
              <w:wordWrap/>
              <w:overflowPunct/>
              <w:topLinePunct w:val="0"/>
              <w:bidi w:val="0"/>
              <w:spacing w:line="300" w:lineRule="exact"/>
              <w:jc w:val="left"/>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雀塘镇：</w:t>
            </w:r>
          </w:p>
          <w:p>
            <w:pPr>
              <w:keepNext w:val="0"/>
              <w:keepLines w:val="0"/>
              <w:pageBreakBefore w:val="0"/>
              <w:widowControl w:val="0"/>
              <w:kinsoku/>
              <w:wordWrap/>
              <w:overflowPunct/>
              <w:topLinePunct w:val="0"/>
              <w:bidi w:val="0"/>
              <w:spacing w:line="300" w:lineRule="exact"/>
              <w:ind w:firstLine="422" w:firstLineChars="200"/>
              <w:jc w:val="left"/>
              <w:textAlignment w:val="auto"/>
              <w:rPr>
                <w:b/>
                <w:bCs/>
              </w:rPr>
            </w:pPr>
            <w:r>
              <w:rPr>
                <w:b/>
                <w:bCs/>
              </w:rPr>
              <w:t>生态红线：</w:t>
            </w:r>
            <w:r>
              <w:t>红线/一般生态空间；三区三线生态红线\水源涵养重要区\生物多样性保护功能重要区\原生态红线\水土流失敏感区；</w:t>
            </w:r>
          </w:p>
          <w:p>
            <w:pPr>
              <w:keepNext w:val="0"/>
              <w:keepLines w:val="0"/>
              <w:pageBreakBefore w:val="0"/>
              <w:widowControl w:val="0"/>
              <w:kinsoku/>
              <w:wordWrap/>
              <w:overflowPunct/>
              <w:topLinePunct w:val="0"/>
              <w:bidi w:val="0"/>
              <w:spacing w:line="300" w:lineRule="exact"/>
              <w:ind w:firstLine="422" w:firstLineChars="200"/>
              <w:jc w:val="left"/>
              <w:textAlignment w:val="auto"/>
              <w:rPr>
                <w:b/>
                <w:bCs/>
                <w:color w:val="000000"/>
                <w:szCs w:val="21"/>
              </w:rPr>
            </w:pPr>
            <w:r>
              <w:rPr>
                <w:b/>
                <w:bCs/>
              </w:rPr>
              <w:t>环境质量底线：</w:t>
            </w:r>
            <w:r>
              <w:t>水环境工业园重点管控区/水环境一般管控区；工业园区；新邵经济开发区；大气环境高排放重点管控区/大气环境受体敏感重点管控区/大气环境布局敏感重点管控区；邵阳市经济开发区/邵阳雀塘再生资源工业园/新邵经济开发区；农用地优先保护区/农用地重点管控区/建设用地重点管控区/其他重点管控区/一般管控区；矿区/中高风险企业用地/重点行业企业重点区域；新邵经济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rPr>
            </w:pPr>
            <w:r>
              <w:rPr>
                <w:b/>
                <w:bCs/>
                <w:color w:val="000000"/>
              </w:rPr>
              <w:t>管控维度</w:t>
            </w:r>
          </w:p>
        </w:tc>
        <w:tc>
          <w:tcPr>
            <w:tcW w:w="10604" w:type="dxa"/>
            <w:gridSpan w:val="10"/>
            <w:tcBorders>
              <w:top w:val="single" w:color="auto" w:sz="4" w:space="0"/>
              <w:left w:val="nil"/>
              <w:bottom w:val="single" w:color="auto" w:sz="4" w:space="0"/>
              <w:right w:val="single" w:color="auto" w:sz="4" w:space="0"/>
            </w:tcBorders>
            <w:vAlign w:val="center"/>
          </w:tcPr>
          <w:p>
            <w:pPr>
              <w:spacing w:line="340" w:lineRule="exact"/>
              <w:jc w:val="center"/>
              <w:rPr>
                <w:b/>
                <w:bCs/>
                <w:color w:val="000000"/>
              </w:rPr>
            </w:pPr>
            <w:r>
              <w:rPr>
                <w:b/>
                <w:bCs/>
                <w:color w:val="000000"/>
                <w:kern w:val="0"/>
              </w:rPr>
              <w:t>管控要求</w:t>
            </w:r>
          </w:p>
        </w:tc>
        <w:tc>
          <w:tcPr>
            <w:tcW w:w="2481" w:type="dxa"/>
            <w:tcBorders>
              <w:top w:val="single" w:color="auto" w:sz="4" w:space="0"/>
              <w:left w:val="nil"/>
              <w:bottom w:val="single" w:color="auto" w:sz="4" w:space="0"/>
              <w:right w:val="single" w:color="auto" w:sz="4" w:space="0"/>
            </w:tcBorders>
            <w:vAlign w:val="center"/>
          </w:tcPr>
          <w:p>
            <w:pPr>
              <w:spacing w:line="34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空间布局约束</w:t>
            </w:r>
          </w:p>
        </w:tc>
        <w:tc>
          <w:tcPr>
            <w:tcW w:w="10604"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（1.2）严禁在资江、邵水岸线1公里等区域范围内新(改、扩)建尾矿库。</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（1.3）加强水产种质资源保护区管控，核实保护区范围。禁止新建排污口、禁止围湖造田。</w:t>
            </w:r>
          </w:p>
        </w:tc>
        <w:tc>
          <w:tcPr>
            <w:tcW w:w="2481" w:type="dxa"/>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t>（4.2）《邵阳市“十四五”用水总量和强度双控目标》</w:t>
            </w:r>
          </w:p>
          <w:p>
            <w:pPr>
              <w:widowControl/>
              <w:spacing w:line="400" w:lineRule="exact"/>
              <w:jc w:val="left"/>
            </w:pPr>
            <w:r>
              <w:t>（4.3）《新邵县国土空间总体规划（2021-2035年）》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污染物排放管控</w:t>
            </w:r>
          </w:p>
        </w:tc>
        <w:tc>
          <w:tcPr>
            <w:tcW w:w="10604"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lang w:val="zh-CN"/>
              </w:rPr>
            </w:pPr>
            <w:r>
              <w:t>（2.1）废水：实施农村生活污水治理规划，以环境敏感区周边村庄、乡镇政府驻地和中心村为重点梯次推进农村生活污水治理，推动城镇污水处理设施和服务向城镇近郊农村延伸。</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（2.2）废气：</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（2.2.1）按照“分业施策、一行一策”的原则，加大低 VOCs 含量原辅材料的推广使用力度，从源头减少 VOCs 产生。推进使用先进生产工艺设备，减少无组织排放。实行重点排放源排放浓度与去除效率双重控制。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（2.2.2）加强扬尘污染治理。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（2.3）固体废弃物：</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（2.3.1）</w:t>
            </w:r>
            <w:r>
              <w:rPr>
                <w:rFonts w:hint="eastAsia"/>
              </w:rPr>
              <w:t>持续</w:t>
            </w:r>
            <w:r>
              <w:t>推动塑料污染全链条治理。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（2.3.2）实施生活垃圾分类制度，建设分类投放、分类收集、分类运输、分类处置的生活垃圾管理系统。</w:t>
            </w:r>
          </w:p>
          <w:p>
            <w:pPr>
              <w:keepNext w:val="0"/>
              <w:keepLines w:val="0"/>
              <w:pageBreakBefore w:val="0"/>
              <w:widowControl/>
              <w:kinsoku/>
              <w:wordWrap/>
              <w:overflowPunct/>
              <w:topLinePunct w:val="0"/>
              <w:autoSpaceDE/>
              <w:autoSpaceDN/>
              <w:bidi w:val="0"/>
              <w:adjustRightInd/>
              <w:snapToGrid/>
              <w:spacing w:line="300" w:lineRule="exact"/>
              <w:jc w:val="left"/>
              <w:textAlignment w:val="auto"/>
            </w:pPr>
            <w:r>
              <w:t>（2.3.3）推动建筑垃圾资源化利用。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lang w:val="zh-CN"/>
              </w:rPr>
            </w:pPr>
            <w:r>
              <w:t>（2.3.4）推动农作物秸秆、畜禽粪污、林业废弃物、农产品加工副产品等农林废弃物的高效利用。</w:t>
            </w:r>
          </w:p>
        </w:tc>
        <w:tc>
          <w:tcPr>
            <w:tcW w:w="2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环境风险防控</w:t>
            </w:r>
          </w:p>
        </w:tc>
        <w:tc>
          <w:tcPr>
            <w:tcW w:w="10604"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pPr>
            <w:r>
              <w:t>（3.1）建设用地风险防控：</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（3.1.1）完善准入管理机制，严格污染地块用途管制，列入建设用地土壤污染风险管控和修复名录的地块，不得作为住宅、公共管理与公共服务用地。</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（3.2）加大优先保护类耕地保护力度，确保面积不减少、环境质量不下降；在永久基本农田集中区域，不得规划新建可能造成土壤污染的建设项目。</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（3.3）对污染突出、环境敏感和管控难度较大的污染地块，避免作为高功能用地性质进行开发使用。</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2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资源开发效率要求</w:t>
            </w:r>
          </w:p>
        </w:tc>
        <w:tc>
          <w:tcPr>
            <w:tcW w:w="10604"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pPr>
            <w:r>
              <w:rPr>
                <w:lang w:val="zh-CN"/>
              </w:rPr>
              <w:t>（</w:t>
            </w:r>
            <w:r>
              <w:t>4.1</w:t>
            </w:r>
            <w:r>
              <w:rPr>
                <w:lang w:val="zh-CN"/>
              </w:rPr>
              <w:t>）</w:t>
            </w:r>
            <w:r>
              <w:t>能源：</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（4.2）水资源：到2025年，新邵县用水总量控制在2.073亿立方米，万元地区生产总值用水量比2020年下降20.15%，万元工业增加值用水量比2020年下降18.15%，农田灌溉水有效利用系数0.563。</w:t>
            </w:r>
          </w:p>
          <w:p>
            <w:pPr>
              <w:keepNext w:val="0"/>
              <w:keepLines w:val="0"/>
              <w:pageBreakBefore w:val="0"/>
              <w:widowControl/>
              <w:kinsoku/>
              <w:wordWrap/>
              <w:overflowPunct/>
              <w:topLinePunct w:val="0"/>
              <w:autoSpaceDE/>
              <w:autoSpaceDN/>
              <w:bidi w:val="0"/>
              <w:adjustRightInd/>
              <w:snapToGrid/>
              <w:spacing w:line="290" w:lineRule="exact"/>
              <w:jc w:val="left"/>
              <w:textAlignment w:val="auto"/>
            </w:pPr>
            <w:r>
              <w:t>（4.3）土地资源：到2035年，雀塘镇耕地保有量不低于3.68万亩，永久基本农田面积不低于3.32万亩，生态保护红线面积不少于1263.39公顷，城镇开发边界规模不超过342.01公顷；寸石镇耕地保有量不低于3.05万亩，永久基本农田面积不低于2.82万亩，生态保护红线面积不少于4418.13公顷，城镇开发边界规模不超过93.86公顷。</w:t>
            </w:r>
          </w:p>
        </w:tc>
        <w:tc>
          <w:tcPr>
            <w:tcW w:w="2481" w:type="dxa"/>
            <w:tcBorders>
              <w:top w:val="single" w:color="auto" w:sz="4" w:space="0"/>
              <w:left w:val="single" w:color="auto" w:sz="4" w:space="0"/>
              <w:right w:val="single" w:color="auto" w:sz="4" w:space="0"/>
            </w:tcBorders>
            <w:vAlign w:val="center"/>
          </w:tcPr>
          <w:p>
            <w:pPr>
              <w:widowControl/>
              <w:spacing w:line="340" w:lineRule="exact"/>
              <w:jc w:val="left"/>
              <w:rPr>
                <w:color w:val="000000"/>
              </w:rPr>
            </w:pPr>
          </w:p>
        </w:tc>
      </w:tr>
    </w:tbl>
    <w:p/>
    <w:p/>
    <w:p/>
    <w:p/>
    <w:p/>
    <w:p/>
    <w:p/>
    <w:p/>
    <w:p/>
    <w:p/>
    <w:p/>
    <w:p/>
    <w:p/>
    <w:p/>
    <w:p/>
    <w:tbl>
      <w:tblPr>
        <w:tblStyle w:val="10"/>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63"/>
        <w:gridCol w:w="427"/>
        <w:gridCol w:w="427"/>
        <w:gridCol w:w="409"/>
        <w:gridCol w:w="988"/>
        <w:gridCol w:w="1075"/>
        <w:gridCol w:w="1119"/>
        <w:gridCol w:w="15"/>
        <w:gridCol w:w="2099"/>
        <w:gridCol w:w="2267"/>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863"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1266"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988" w:type="dxa"/>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1074" w:type="dxa"/>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1120" w:type="dxa"/>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2114" w:type="dxa"/>
            <w:gridSpan w:val="2"/>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w:t>
            </w:r>
          </w:p>
        </w:tc>
        <w:tc>
          <w:tcPr>
            <w:tcW w:w="2268" w:type="dxa"/>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3149" w:type="dxa"/>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86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428"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428"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410"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988" w:type="dxa"/>
            <w:tcBorders>
              <w:top w:val="single" w:color="auto" w:sz="4" w:space="0"/>
              <w:left w:val="nil"/>
              <w:right w:val="single" w:color="auto" w:sz="4" w:space="0"/>
            </w:tcBorders>
            <w:vAlign w:val="center"/>
          </w:tcPr>
          <w:p>
            <w:pPr>
              <w:widowControl/>
              <w:jc w:val="left"/>
              <w:rPr>
                <w:b/>
                <w:bCs/>
                <w:color w:val="000000"/>
                <w:kern w:val="0"/>
              </w:rPr>
            </w:pPr>
          </w:p>
        </w:tc>
        <w:tc>
          <w:tcPr>
            <w:tcW w:w="1074" w:type="dxa"/>
            <w:tcBorders>
              <w:top w:val="single" w:color="auto" w:sz="4" w:space="0"/>
              <w:left w:val="nil"/>
              <w:right w:val="single" w:color="auto" w:sz="4" w:space="0"/>
            </w:tcBorders>
            <w:vAlign w:val="center"/>
          </w:tcPr>
          <w:p>
            <w:pPr>
              <w:widowControl/>
              <w:jc w:val="left"/>
              <w:rPr>
                <w:b/>
                <w:bCs/>
                <w:color w:val="000000"/>
                <w:kern w:val="0"/>
              </w:rPr>
            </w:pPr>
          </w:p>
        </w:tc>
        <w:tc>
          <w:tcPr>
            <w:tcW w:w="1120" w:type="dxa"/>
            <w:tcBorders>
              <w:top w:val="single" w:color="auto" w:sz="4" w:space="0"/>
              <w:left w:val="nil"/>
              <w:right w:val="single" w:color="auto" w:sz="4" w:space="0"/>
            </w:tcBorders>
            <w:vAlign w:val="center"/>
          </w:tcPr>
          <w:p>
            <w:pPr>
              <w:widowControl/>
              <w:jc w:val="left"/>
              <w:rPr>
                <w:b/>
                <w:bCs/>
                <w:color w:val="000000"/>
                <w:kern w:val="0"/>
              </w:rPr>
            </w:pPr>
          </w:p>
        </w:tc>
        <w:tc>
          <w:tcPr>
            <w:tcW w:w="2114" w:type="dxa"/>
            <w:gridSpan w:val="2"/>
            <w:tcBorders>
              <w:top w:val="single" w:color="auto" w:sz="4" w:space="0"/>
              <w:left w:val="nil"/>
              <w:right w:val="single" w:color="auto" w:sz="4" w:space="0"/>
            </w:tcBorders>
            <w:vAlign w:val="center"/>
          </w:tcPr>
          <w:p>
            <w:pPr>
              <w:widowControl/>
              <w:jc w:val="left"/>
              <w:rPr>
                <w:b/>
                <w:bCs/>
                <w:color w:val="000000"/>
                <w:kern w:val="0"/>
              </w:rPr>
            </w:pPr>
          </w:p>
        </w:tc>
        <w:tc>
          <w:tcPr>
            <w:tcW w:w="2268" w:type="dxa"/>
            <w:tcBorders>
              <w:top w:val="single" w:color="auto" w:sz="4" w:space="0"/>
              <w:left w:val="nil"/>
              <w:right w:val="single" w:color="auto" w:sz="4" w:space="0"/>
            </w:tcBorders>
            <w:vAlign w:val="center"/>
          </w:tcPr>
          <w:p>
            <w:pPr>
              <w:widowControl/>
              <w:jc w:val="left"/>
              <w:rPr>
                <w:b/>
                <w:bCs/>
                <w:color w:val="000000"/>
                <w:kern w:val="0"/>
              </w:rPr>
            </w:pPr>
          </w:p>
        </w:tc>
        <w:tc>
          <w:tcPr>
            <w:tcW w:w="3149" w:type="dxa"/>
            <w:tcBorders>
              <w:top w:val="single" w:color="auto" w:sz="4" w:space="0"/>
              <w:left w:val="nil"/>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ZH43052220002</w:t>
            </w:r>
          </w:p>
        </w:tc>
        <w:tc>
          <w:tcPr>
            <w:tcW w:w="863"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酿溪镇/新田铺镇（经开区扩区部分）</w:t>
            </w:r>
          </w:p>
        </w:tc>
        <w:tc>
          <w:tcPr>
            <w:tcW w:w="42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42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410"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98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重点管控单元</w:t>
            </w:r>
          </w:p>
        </w:tc>
        <w:tc>
          <w:tcPr>
            <w:tcW w:w="1074" w:type="dxa"/>
            <w:tcBorders>
              <w:top w:val="single" w:color="auto" w:sz="4" w:space="0"/>
              <w:left w:val="nil"/>
              <w:bottom w:val="single" w:color="auto" w:sz="4" w:space="0"/>
              <w:right w:val="single" w:color="auto" w:sz="4" w:space="0"/>
            </w:tcBorders>
            <w:vAlign w:val="center"/>
          </w:tcPr>
          <w:p>
            <w:pPr>
              <w:pStyle w:val="16"/>
              <w:rPr>
                <w:rFonts w:ascii="Times New Roman" w:hAnsi="Times New Roman" w:cs="Times New Roman"/>
              </w:rPr>
            </w:pPr>
            <w:r>
              <w:rPr>
                <w:rFonts w:ascii="Times New Roman" w:hAnsi="Times New Roman" w:eastAsia="宋体" w:cs="Times New Roman"/>
                <w:color w:val="auto"/>
                <w:kern w:val="2"/>
                <w:sz w:val="21"/>
                <w:szCs w:val="22"/>
              </w:rPr>
              <w:t>30.24</w:t>
            </w:r>
          </w:p>
        </w:tc>
        <w:tc>
          <w:tcPr>
            <w:tcW w:w="1135" w:type="dxa"/>
            <w:gridSpan w:val="2"/>
            <w:tcBorders>
              <w:top w:val="single" w:color="auto" w:sz="4" w:space="0"/>
              <w:left w:val="nil"/>
              <w:bottom w:val="single" w:color="auto" w:sz="4" w:space="0"/>
              <w:right w:val="single" w:color="auto" w:sz="4" w:space="0"/>
            </w:tcBorders>
            <w:vAlign w:val="center"/>
          </w:tcPr>
          <w:p>
            <w:pPr>
              <w:jc w:val="center"/>
              <w:rPr>
                <w:color w:val="000000"/>
              </w:rPr>
            </w:pPr>
            <w:r>
              <w:rPr>
                <w:color w:val="000000"/>
              </w:rPr>
              <w:t>酿溪镇/新田铺镇</w:t>
            </w:r>
          </w:p>
        </w:tc>
        <w:tc>
          <w:tcPr>
            <w:tcW w:w="2099" w:type="dxa"/>
            <w:tcBorders>
              <w:top w:val="single" w:color="auto" w:sz="4" w:space="0"/>
              <w:left w:val="nil"/>
              <w:bottom w:val="single" w:color="auto" w:sz="4" w:space="0"/>
              <w:right w:val="single" w:color="auto" w:sz="4" w:space="0"/>
            </w:tcBorders>
            <w:vAlign w:val="center"/>
          </w:tcPr>
          <w:p>
            <w:pPr>
              <w:jc w:val="center"/>
              <w:rPr>
                <w:color w:val="000000"/>
              </w:rPr>
            </w:pPr>
            <w:r>
              <w:rPr>
                <w:b/>
                <w:bCs/>
                <w:color w:val="000000"/>
              </w:rPr>
              <w:t>酿溪镇</w:t>
            </w:r>
            <w:r>
              <w:rPr>
                <w:color w:val="000000"/>
              </w:rPr>
              <w:t>：城市化地</w:t>
            </w:r>
            <w:r>
              <w:rPr>
                <w:rFonts w:hint="eastAsia"/>
                <w:color w:val="000000"/>
              </w:rPr>
              <w:t>区</w:t>
            </w:r>
            <w:r>
              <w:rPr>
                <w:color w:val="000000"/>
              </w:rPr>
              <w:t>；</w:t>
            </w:r>
          </w:p>
          <w:p>
            <w:pPr>
              <w:jc w:val="center"/>
              <w:rPr>
                <w:color w:val="000000"/>
              </w:rPr>
            </w:pPr>
            <w:r>
              <w:rPr>
                <w:b/>
                <w:bCs/>
                <w:color w:val="000000"/>
              </w:rPr>
              <w:t>新田铺镇</w:t>
            </w:r>
            <w:r>
              <w:rPr>
                <w:color w:val="000000"/>
              </w:rPr>
              <w:t>：农产品主产区。</w:t>
            </w:r>
          </w:p>
        </w:tc>
        <w:tc>
          <w:tcPr>
            <w:tcW w:w="2268" w:type="dxa"/>
            <w:tcBorders>
              <w:top w:val="single" w:color="auto" w:sz="4" w:space="0"/>
              <w:left w:val="nil"/>
              <w:bottom w:val="single" w:color="auto" w:sz="4" w:space="0"/>
              <w:right w:val="single" w:color="auto" w:sz="4" w:space="0"/>
            </w:tcBorders>
            <w:vAlign w:val="center"/>
          </w:tcPr>
          <w:p>
            <w:pPr>
              <w:widowControl/>
              <w:jc w:val="left"/>
              <w:rPr>
                <w:kern w:val="0"/>
                <w:szCs w:val="21"/>
              </w:rPr>
            </w:pPr>
            <w:r>
              <w:rPr>
                <w:b/>
                <w:bCs/>
                <w:color w:val="000000"/>
              </w:rPr>
              <w:t>酿溪镇、新田铺镇：</w:t>
            </w:r>
            <w:r>
              <w:rPr>
                <w:kern w:val="0"/>
                <w:szCs w:val="21"/>
              </w:rPr>
              <w:t>造纸（仅限再生纸）、建筑材料、生物制药业、机械制造、再生资源综合利用等。</w:t>
            </w:r>
          </w:p>
        </w:tc>
        <w:tc>
          <w:tcPr>
            <w:tcW w:w="3149" w:type="dxa"/>
            <w:tcBorders>
              <w:top w:val="single" w:color="auto" w:sz="4" w:space="0"/>
              <w:left w:val="nil"/>
              <w:bottom w:val="single" w:color="auto" w:sz="4" w:space="0"/>
              <w:right w:val="single" w:color="auto" w:sz="4" w:space="0"/>
            </w:tcBorders>
          </w:tcPr>
          <w:p>
            <w:pPr>
              <w:widowControl/>
              <w:rPr>
                <w:b/>
                <w:bCs/>
                <w:color w:val="000000"/>
                <w:kern w:val="0"/>
              </w:rPr>
            </w:pPr>
            <w:r>
              <w:rPr>
                <w:b/>
                <w:bCs/>
                <w:color w:val="000000"/>
                <w:kern w:val="0"/>
              </w:rPr>
              <w:t>主要环境问题：</w:t>
            </w:r>
          </w:p>
          <w:p>
            <w:pPr>
              <w:widowControl/>
              <w:rPr>
                <w:kern w:val="0"/>
              </w:rPr>
            </w:pPr>
            <w:r>
              <w:rPr>
                <w:b/>
                <w:bCs/>
                <w:color w:val="000000"/>
              </w:rPr>
              <w:t>酿溪镇、新田铺镇：</w:t>
            </w:r>
            <w:r>
              <w:rPr>
                <w:kern w:val="0"/>
              </w:rPr>
              <w:t>大气环境颗粒物污染（野外用火、秸秆焚烧等）形势严峻</w:t>
            </w:r>
          </w:p>
          <w:p>
            <w:pPr>
              <w:widowControl/>
              <w:rPr>
                <w:b/>
                <w:bCs/>
                <w:color w:val="000000"/>
                <w:kern w:val="0"/>
              </w:rPr>
            </w:pPr>
            <w:r>
              <w:rPr>
                <w:b/>
                <w:bCs/>
                <w:color w:val="000000"/>
                <w:kern w:val="0"/>
              </w:rPr>
              <w:t>重要敏感目标：</w:t>
            </w:r>
          </w:p>
          <w:p>
            <w:pPr>
              <w:widowControl/>
              <w:rPr>
                <w:b/>
                <w:bCs/>
                <w:color w:val="000000"/>
                <w:kern w:val="0"/>
              </w:rPr>
            </w:pPr>
            <w:r>
              <w:rPr>
                <w:b/>
                <w:bCs/>
                <w:color w:val="000000"/>
              </w:rPr>
              <w:t>酿溪镇、新田铺镇：</w:t>
            </w:r>
            <w:r>
              <w:rPr>
                <w:kern w:val="0"/>
              </w:rPr>
              <w:t>涉及资水新邵段沙塘鳢黄尾鲴国家级水产种质资源保护区、新邵县筱溪国家湿地公园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kern w:val="0"/>
              </w:rPr>
            </w:pPr>
            <w:r>
              <w:rPr>
                <w:b/>
                <w:bCs/>
                <w:color w:val="000000"/>
                <w:kern w:val="0"/>
              </w:rPr>
              <w:t>主要属性</w:t>
            </w:r>
          </w:p>
        </w:tc>
        <w:tc>
          <w:tcPr>
            <w:tcW w:w="12842" w:type="dxa"/>
            <w:gridSpan w:val="11"/>
            <w:tcBorders>
              <w:top w:val="single" w:color="auto" w:sz="4" w:space="0"/>
              <w:left w:val="nil"/>
              <w:bottom w:val="single" w:color="auto" w:sz="4" w:space="0"/>
              <w:right w:val="single" w:color="auto" w:sz="4" w:space="0"/>
            </w:tcBorders>
            <w:vAlign w:val="center"/>
          </w:tcPr>
          <w:p>
            <w:pPr>
              <w:spacing w:line="400" w:lineRule="exact"/>
              <w:rPr>
                <w:b/>
                <w:bCs/>
              </w:rPr>
            </w:pPr>
            <w:r>
              <w:rPr>
                <w:b/>
                <w:bCs/>
                <w:color w:val="000000"/>
              </w:rPr>
              <w:t>酿溪镇：</w:t>
            </w:r>
          </w:p>
          <w:p>
            <w:pPr>
              <w:spacing w:line="400" w:lineRule="exact"/>
              <w:ind w:firstLine="422" w:firstLineChars="200"/>
              <w:rPr>
                <w:b/>
                <w:bCs/>
              </w:rPr>
            </w:pPr>
            <w:r>
              <w:rPr>
                <w:b/>
                <w:bCs/>
              </w:rPr>
              <w:t>生态红线：</w:t>
            </w:r>
            <w:r>
              <w:t>红线/一般生态空间；三区三线生态红线\生物多样性保护功能重要区\湿地公园\风景名胜区\水源涵养重要区\原生态红线\水土流失敏感区；</w:t>
            </w:r>
          </w:p>
          <w:p>
            <w:pPr>
              <w:spacing w:line="400" w:lineRule="exact"/>
              <w:ind w:firstLine="422" w:firstLineChars="200"/>
              <w:rPr>
                <w:b/>
                <w:bCs/>
                <w:color w:val="000000"/>
                <w:szCs w:val="21"/>
              </w:rPr>
            </w:pPr>
            <w:r>
              <w:rPr>
                <w:b/>
                <w:bCs/>
              </w:rPr>
              <w:t xml:space="preserve">环境质量底线： </w:t>
            </w:r>
            <w:r>
              <w:t>水环境优先保护区/ 水环境工业污染重点管控区；水产种质（国家级）、湿地公园/工业园区、污水处理厂；资水新邵段沙塘鳢黄尾鲴国家级水产种质资源保护区、湖南新邵筱溪国家级湿地公园/新邵经济开发区、新邵县大坪污水处理厂；大气环境优先保护区/大气环境高排放重点管控区/大气环境受体敏感重点管控区/大气环境布局敏感重点管控区/大气环境弱扩散重点管控区；白水洞国家级风景名胜区/湖南新邵筱溪国家湿地公园/新邵经济开发区；农用地优先保护区/建设用地重点管控区/一般管控区；中高风险企业用地/重点行业企业重点区域；新邵经济开发区；城市化地区；高污染燃料禁燃区；</w:t>
            </w:r>
          </w:p>
          <w:p>
            <w:pPr>
              <w:spacing w:line="400" w:lineRule="exact"/>
              <w:rPr>
                <w:b/>
                <w:bCs/>
              </w:rPr>
            </w:pPr>
            <w:r>
              <w:rPr>
                <w:b/>
                <w:bCs/>
                <w:color w:val="000000"/>
              </w:rPr>
              <w:t>酿溪镇：</w:t>
            </w:r>
          </w:p>
          <w:p>
            <w:pPr>
              <w:spacing w:line="400" w:lineRule="exact"/>
              <w:ind w:firstLine="422" w:firstLineChars="200"/>
              <w:rPr>
                <w:b/>
                <w:bCs/>
              </w:rPr>
            </w:pPr>
            <w:r>
              <w:rPr>
                <w:b/>
                <w:bCs/>
              </w:rPr>
              <w:t>生态红线：</w:t>
            </w:r>
            <w:r>
              <w:t>红线/一般生态空间；风景名胜区\水源涵养重要区\湿地公园\原生态红线\三区三线生态红线\生物多样性保护功能重要区\水土流失敏感区；</w:t>
            </w:r>
          </w:p>
          <w:p>
            <w:pPr>
              <w:spacing w:line="400" w:lineRule="exact"/>
              <w:ind w:firstLine="422" w:firstLineChars="200"/>
              <w:rPr>
                <w:b/>
                <w:bCs/>
                <w:color w:val="000000"/>
                <w:szCs w:val="21"/>
              </w:rPr>
            </w:pPr>
            <w:r>
              <w:rPr>
                <w:b/>
                <w:bCs/>
              </w:rPr>
              <w:t>环境质量底线：</w:t>
            </w:r>
            <w:r>
              <w:t>水环境优先保护区/水环境其他重点管控区；水产种质（国家级）、湿地公园、重金属矿/重金属矿；资水新邵段沙塘鳢黄尾鲴国家级水产种质资源保护区、湖南新邵筱溪国家级湿地公园、新邵县鑫山矿业有限公司永红林场铅锌锑矿/新邵县三郎庙铅锌锑多金属矿有限公司三郎庙铅锌锑矿；大气环境优先保护区/大气环境高排放重点管控区/大气环境受体敏感重点管控区/大气环境弱扩散重点管控区；白水洞国家级风景名胜区/湖南新邵筱溪国家湿地公园/新邵经济开发区；农用地优先保护区/农用地重点管控区/建设用地重点管控区/其他重点管控区/一般管控区；矿区/中高风险企业用地/重点行业企业重点区域；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rPr>
            </w:pPr>
            <w:r>
              <w:rPr>
                <w:b/>
                <w:bCs/>
                <w:color w:val="000000"/>
              </w:rPr>
              <w:t>管控维度</w:t>
            </w:r>
          </w:p>
        </w:tc>
        <w:tc>
          <w:tcPr>
            <w:tcW w:w="9693" w:type="dxa"/>
            <w:gridSpan w:val="10"/>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kern w:val="0"/>
              </w:rPr>
              <w:t>管控要求</w:t>
            </w:r>
          </w:p>
        </w:tc>
        <w:tc>
          <w:tcPr>
            <w:tcW w:w="3149" w:type="dxa"/>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空间布局约束</w:t>
            </w:r>
          </w:p>
        </w:tc>
        <w:tc>
          <w:tcPr>
            <w:tcW w:w="9693"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400" w:lineRule="exact"/>
              <w:jc w:val="left"/>
            </w:pPr>
            <w:r>
              <w:t>（1.2）严禁在资江、邵水岸线1公里等区域范围内新(改、扩)建尾矿库。</w:t>
            </w:r>
          </w:p>
          <w:p>
            <w:pPr>
              <w:widowControl/>
              <w:spacing w:line="400" w:lineRule="exact"/>
              <w:jc w:val="left"/>
            </w:pPr>
            <w:r>
              <w:t>（1.3）加强水产种质资源保护区管控，核实保护区范围。禁止新建排污口、禁止围湖造田。</w:t>
            </w:r>
          </w:p>
        </w:tc>
        <w:tc>
          <w:tcPr>
            <w:tcW w:w="3149" w:type="dxa"/>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rPr>
                <w:rFonts w:hint="eastAsia"/>
                <w:lang w:eastAsia="zh-CN"/>
              </w:rPr>
              <w:t>（</w:t>
            </w:r>
            <w:r>
              <w:rPr>
                <w:rFonts w:hint="eastAsia"/>
                <w:lang w:val="en-US" w:eastAsia="zh-CN"/>
              </w:rPr>
              <w:t>1.3</w:t>
            </w:r>
            <w:r>
              <w:rPr>
                <w:rFonts w:hint="eastAsia"/>
                <w:lang w:eastAsia="zh-CN"/>
              </w:rPr>
              <w:t>）</w:t>
            </w:r>
            <w:r>
              <w:t>（4.3）《新邵县国土空间总体规划（2021-2035年）》</w:t>
            </w:r>
          </w:p>
          <w:p>
            <w:pPr>
              <w:widowControl/>
              <w:spacing w:line="400" w:lineRule="exact"/>
              <w:jc w:val="left"/>
            </w:pPr>
            <w: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污染物排放管控</w:t>
            </w:r>
          </w:p>
        </w:tc>
        <w:tc>
          <w:tcPr>
            <w:tcW w:w="9693"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lang w:val="zh-CN"/>
              </w:rPr>
            </w:pPr>
            <w:r>
              <w:t>（2.1）废水：实施农村生活污水治理规划，以环境敏感区周边村庄、乡镇政府驻地和中心村为重点梯次推进农村生活污水治理，推动城镇污水处理设施和服务向城镇近郊农村延伸。</w:t>
            </w:r>
          </w:p>
          <w:p>
            <w:pPr>
              <w:widowControl/>
              <w:spacing w:line="400" w:lineRule="exact"/>
              <w:jc w:val="left"/>
            </w:pPr>
            <w:r>
              <w:t>（2.2）废气：</w:t>
            </w:r>
          </w:p>
          <w:p>
            <w:pPr>
              <w:widowControl/>
              <w:spacing w:line="400" w:lineRule="exact"/>
              <w:jc w:val="left"/>
            </w:pPr>
            <w:r>
              <w:t>（2.2.1）按照“分业施策、一行一策”的原则，加大低 VOCs 含量原辅材料的推广使用力度，从源头减少 VOCs 产生。推进使用先进生产工艺设备，减少无组织排放。实行重点排放源排放浓度与去除效率双重控制。</w:t>
            </w:r>
          </w:p>
          <w:p>
            <w:pPr>
              <w:widowControl/>
              <w:spacing w:line="400" w:lineRule="exact"/>
              <w:jc w:val="left"/>
            </w:pPr>
            <w:r>
              <w:t>（2.2.2）加强扬尘污染治理。</w:t>
            </w:r>
          </w:p>
          <w:p>
            <w:pPr>
              <w:widowControl/>
              <w:spacing w:line="400" w:lineRule="exact"/>
              <w:jc w:val="left"/>
            </w:pPr>
            <w:r>
              <w:t>（2.3）固体废弃物：</w:t>
            </w:r>
          </w:p>
          <w:p>
            <w:pPr>
              <w:widowControl/>
              <w:spacing w:line="400" w:lineRule="exact"/>
              <w:jc w:val="left"/>
            </w:pPr>
            <w:r>
              <w:t>（2.3.1）</w:t>
            </w:r>
            <w:r>
              <w:rPr>
                <w:rFonts w:hint="eastAsia"/>
              </w:rPr>
              <w:t>持续</w:t>
            </w:r>
            <w:r>
              <w:t>推动塑料污染全链条治理。</w:t>
            </w:r>
          </w:p>
          <w:p>
            <w:pPr>
              <w:widowControl/>
              <w:spacing w:line="400" w:lineRule="exact"/>
              <w:jc w:val="left"/>
            </w:pPr>
            <w:r>
              <w:t>（2.3.2）实施生活垃圾分类制度，建设分类投放、分类收集、分类运输、分类处置的生活垃圾管理系统。</w:t>
            </w:r>
          </w:p>
          <w:p>
            <w:pPr>
              <w:widowControl/>
              <w:spacing w:line="400" w:lineRule="exact"/>
              <w:jc w:val="left"/>
            </w:pPr>
            <w:r>
              <w:t>（2.3.3）推动建筑垃圾资源化利用。</w:t>
            </w:r>
          </w:p>
          <w:p>
            <w:pPr>
              <w:widowControl/>
              <w:spacing w:line="400" w:lineRule="exact"/>
              <w:jc w:val="left"/>
              <w:rPr>
                <w:lang w:val="zh-CN"/>
              </w:rPr>
            </w:pPr>
            <w:r>
              <w:t>（2.3.4）推动农作物秸秆、畜禽粪污、林业废弃物、农产品加工副产品等农林废弃物的高效利用。</w:t>
            </w:r>
          </w:p>
        </w:tc>
        <w:tc>
          <w:tcPr>
            <w:tcW w:w="3149" w:type="dxa"/>
            <w:vMerge w:val="restart"/>
            <w:tcBorders>
              <w:top w:val="single" w:color="auto" w:sz="4" w:space="0"/>
              <w:left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环境风险防控</w:t>
            </w:r>
          </w:p>
        </w:tc>
        <w:tc>
          <w:tcPr>
            <w:tcW w:w="9693"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t>（3.1）建设用地风险防控：</w:t>
            </w:r>
          </w:p>
          <w:p>
            <w:pPr>
              <w:widowControl/>
              <w:spacing w:line="400" w:lineRule="exact"/>
              <w:jc w:val="left"/>
            </w:pPr>
            <w:r>
              <w:t>（3.1.1）完善准入管理机制，严格污染地块用途管制，列入建设用地土壤污染风险管控和修复名录的地块，不得作为住宅、公共管理与公共服务用地。</w:t>
            </w:r>
          </w:p>
          <w:p>
            <w:pPr>
              <w:widowControl/>
              <w:spacing w:line="400" w:lineRule="exact"/>
              <w:jc w:val="left"/>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widowControl/>
              <w:spacing w:line="400" w:lineRule="exact"/>
              <w:jc w:val="left"/>
            </w:pPr>
            <w:r>
              <w:t>（3.2）加大优先保护类耕地保护力度，确保面积不减少、环境质量不下降；在永久基本农田集中区域，不得规划新建可能造成土壤污染的建设项目。</w:t>
            </w:r>
          </w:p>
          <w:p>
            <w:pPr>
              <w:widowControl/>
              <w:spacing w:line="400" w:lineRule="exact"/>
              <w:jc w:val="left"/>
            </w:pPr>
            <w:r>
              <w:t>（3.3）对污染突出、环境敏感和管控难度较大的污染地块，避免作为高功能用地性质进行开发使用。</w:t>
            </w:r>
          </w:p>
          <w:p>
            <w:pPr>
              <w:widowControl/>
              <w:spacing w:line="400" w:lineRule="exact"/>
              <w:jc w:val="left"/>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3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资源开发效率要求</w:t>
            </w:r>
          </w:p>
        </w:tc>
        <w:tc>
          <w:tcPr>
            <w:tcW w:w="9693"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rPr>
                <w:lang w:val="zh-CN"/>
              </w:rPr>
              <w:t>（</w:t>
            </w:r>
            <w:r>
              <w:t>4.1</w:t>
            </w:r>
            <w:r>
              <w:rPr>
                <w:lang w:val="zh-CN"/>
              </w:rPr>
              <w:t>）</w:t>
            </w:r>
            <w:r>
              <w:t>能源：</w:t>
            </w:r>
          </w:p>
          <w:p>
            <w:pPr>
              <w:widowControl/>
              <w:spacing w:line="40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40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40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400" w:lineRule="exact"/>
              <w:jc w:val="left"/>
            </w:pPr>
            <w:r>
              <w:t>（4.3）土地资源：到2035年，酿溪镇耕地保有量不低于1.67万亩，永久基本农田面积不低于0.93万亩，生态保护红线面积不少于580.60公顷，城镇开发边界规模不超过1875.09公顷；新田铺镇耕地保有量不低于4.93万亩，永久基本农田面积不低于4.29万亩，生态保护红线面积不少于1613.51公顷，城镇开发边界规模不超过249.85公顷。</w:t>
            </w:r>
          </w:p>
        </w:tc>
        <w:tc>
          <w:tcPr>
            <w:tcW w:w="3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b/>
          <w:bCs/>
          <w:color w:val="000000"/>
          <w:kern w:val="0"/>
        </w:rPr>
      </w:pPr>
      <w:r>
        <w:t xml:space="preserve"> </w:t>
      </w:r>
    </w:p>
    <w:p>
      <w:pPr>
        <w:keepNext w:val="0"/>
        <w:keepLines w:val="0"/>
        <w:pageBreakBefore w:val="0"/>
        <w:widowControl/>
        <w:kinsoku/>
        <w:wordWrap/>
        <w:overflowPunct/>
        <w:topLinePunct w:val="0"/>
        <w:autoSpaceDE/>
        <w:autoSpaceDN/>
        <w:bidi w:val="0"/>
        <w:adjustRightInd/>
        <w:snapToGrid/>
        <w:spacing w:line="20" w:lineRule="exact"/>
        <w:jc w:val="center"/>
        <w:textAlignment w:val="auto"/>
        <w:rPr>
          <w:b/>
          <w:bCs/>
          <w:color w:val="000000"/>
          <w:kern w:val="0"/>
        </w:rPr>
      </w:pPr>
      <w:r>
        <w:rPr>
          <w:b/>
          <w:bCs/>
          <w:color w:val="000000"/>
          <w:kern w:val="0"/>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02"/>
        <w:gridCol w:w="427"/>
        <w:gridCol w:w="427"/>
        <w:gridCol w:w="438"/>
        <w:gridCol w:w="1003"/>
        <w:gridCol w:w="866"/>
        <w:gridCol w:w="921"/>
        <w:gridCol w:w="1290"/>
        <w:gridCol w:w="3320"/>
        <w:gridCol w:w="131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248" w:type="pct"/>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455" w:type="pct"/>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354" w:type="pct"/>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306"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325"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455"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w:t>
            </w:r>
          </w:p>
        </w:tc>
        <w:tc>
          <w:tcPr>
            <w:tcW w:w="1171"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1100" w:type="pct"/>
            <w:gridSpan w:val="2"/>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50" w:type="pct"/>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150" w:type="pct"/>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154" w:type="pct"/>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0" w:type="auto"/>
            <w:gridSpan w:val="2"/>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ZH43052230001</w:t>
            </w:r>
          </w:p>
        </w:tc>
        <w:tc>
          <w:tcPr>
            <w:tcW w:w="248"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巨口铺镇/迎光乡</w:t>
            </w:r>
          </w:p>
        </w:tc>
        <w:tc>
          <w:tcPr>
            <w:tcW w:w="150"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150"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154"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354"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一般管控单元</w:t>
            </w:r>
          </w:p>
        </w:tc>
        <w:tc>
          <w:tcPr>
            <w:tcW w:w="306" w:type="pct"/>
            <w:tcBorders>
              <w:top w:val="single" w:color="auto" w:sz="4" w:space="0"/>
              <w:left w:val="nil"/>
              <w:bottom w:val="single" w:color="auto" w:sz="4" w:space="0"/>
              <w:right w:val="single" w:color="auto" w:sz="4" w:space="0"/>
            </w:tcBorders>
            <w:vAlign w:val="center"/>
          </w:tcPr>
          <w:p>
            <w:pPr>
              <w:pStyle w:val="16"/>
              <w:rPr>
                <w:rFonts w:ascii="Times New Roman" w:hAnsi="Times New Roman" w:cs="Times New Roman"/>
              </w:rPr>
            </w:pPr>
            <w:r>
              <w:rPr>
                <w:rFonts w:ascii="Times New Roman" w:hAnsi="Times New Roman" w:eastAsia="宋体" w:cs="Times New Roman"/>
                <w:kern w:val="2"/>
                <w:sz w:val="22"/>
                <w:szCs w:val="22"/>
              </w:rPr>
              <w:t>213.86</w:t>
            </w:r>
          </w:p>
        </w:tc>
        <w:tc>
          <w:tcPr>
            <w:tcW w:w="325"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巨口铺镇/迎光乡</w:t>
            </w:r>
          </w:p>
        </w:tc>
        <w:tc>
          <w:tcPr>
            <w:tcW w:w="455" w:type="pct"/>
            <w:tcBorders>
              <w:top w:val="single" w:color="auto" w:sz="4" w:space="0"/>
              <w:left w:val="nil"/>
              <w:bottom w:val="single" w:color="auto" w:sz="4" w:space="0"/>
              <w:right w:val="single" w:color="auto" w:sz="4" w:space="0"/>
            </w:tcBorders>
            <w:vAlign w:val="center"/>
          </w:tcPr>
          <w:p>
            <w:pPr>
              <w:jc w:val="center"/>
              <w:rPr>
                <w:color w:val="000000"/>
              </w:rPr>
            </w:pPr>
            <w:r>
              <w:rPr>
                <w:b/>
                <w:bCs/>
                <w:color w:val="000000"/>
              </w:rPr>
              <w:t>巨口铺镇</w:t>
            </w:r>
            <w:r>
              <w:rPr>
                <w:color w:val="000000"/>
              </w:rPr>
              <w:t>：农产品主产区/能源资源富集区；</w:t>
            </w:r>
            <w:r>
              <w:rPr>
                <w:b/>
                <w:bCs/>
                <w:color w:val="000000"/>
              </w:rPr>
              <w:t>迎光乡</w:t>
            </w:r>
            <w:r>
              <w:rPr>
                <w:color w:val="000000"/>
              </w:rPr>
              <w:t>：农产品主产区。</w:t>
            </w:r>
          </w:p>
        </w:tc>
        <w:tc>
          <w:tcPr>
            <w:tcW w:w="1171" w:type="pct"/>
            <w:tcBorders>
              <w:top w:val="single" w:color="auto" w:sz="4" w:space="0"/>
              <w:left w:val="nil"/>
              <w:bottom w:val="single" w:color="auto" w:sz="4" w:space="0"/>
              <w:right w:val="single" w:color="auto" w:sz="4" w:space="0"/>
            </w:tcBorders>
            <w:vAlign w:val="center"/>
          </w:tcPr>
          <w:p>
            <w:pPr>
              <w:widowControl/>
              <w:jc w:val="center"/>
              <w:rPr>
                <w:kern w:val="0"/>
              </w:rPr>
            </w:pPr>
            <w:r>
              <w:rPr>
                <w:rFonts w:ascii="宋体" w:hAnsi="宋体"/>
                <w:b/>
                <w:bCs/>
              </w:rPr>
              <w:t>巨口铺镇：</w:t>
            </w:r>
            <w:r>
              <w:rPr>
                <w:rFonts w:ascii="宋体" w:hAnsi="宋体"/>
                <w:kern w:val="0"/>
              </w:rPr>
              <w:t>农业种植、农副产品加工、旅游开发及旅游产品加工、矿产开发利用、</w:t>
            </w:r>
            <w:r>
              <w:rPr>
                <w:rFonts w:hint="eastAsia" w:ascii="宋体" w:hAnsi="宋体"/>
                <w:kern w:val="0"/>
              </w:rPr>
              <w:t>建筑材料、能源开发、</w:t>
            </w:r>
            <w:r>
              <w:rPr>
                <w:rFonts w:ascii="宋体" w:hAnsi="宋体"/>
                <w:kern w:val="0"/>
              </w:rPr>
              <w:t>其他轻工业；</w:t>
            </w:r>
          </w:p>
          <w:p>
            <w:r>
              <w:rPr>
                <w:rFonts w:ascii="宋体" w:hAnsi="宋体"/>
                <w:b/>
                <w:bCs/>
              </w:rPr>
              <w:t>迎光乡：</w:t>
            </w:r>
            <w:r>
              <w:rPr>
                <w:rFonts w:ascii="宋体" w:hAnsi="宋体"/>
                <w:kern w:val="0"/>
              </w:rPr>
              <w:t>农业种植、农副产品加工、食品加工、箱包、服装加工、</w:t>
            </w:r>
            <w:r>
              <w:rPr>
                <w:rFonts w:hint="eastAsia" w:ascii="宋体" w:hAnsi="宋体"/>
                <w:kern w:val="0"/>
              </w:rPr>
              <w:t>建筑材料、能源开发、</w:t>
            </w:r>
            <w:r>
              <w:rPr>
                <w:rFonts w:ascii="宋体" w:hAnsi="宋体"/>
                <w:kern w:val="0"/>
              </w:rPr>
              <w:t>其他轻工业等。</w:t>
            </w:r>
          </w:p>
          <w:p>
            <w:pPr>
              <w:widowControl/>
              <w:jc w:val="center"/>
              <w:rPr>
                <w:kern w:val="0"/>
              </w:rPr>
            </w:pPr>
          </w:p>
        </w:tc>
        <w:tc>
          <w:tcPr>
            <w:tcW w:w="1100" w:type="pct"/>
            <w:gridSpan w:val="2"/>
            <w:tcBorders>
              <w:top w:val="single" w:color="auto" w:sz="4" w:space="0"/>
              <w:left w:val="nil"/>
              <w:bottom w:val="single" w:color="auto" w:sz="4" w:space="0"/>
              <w:right w:val="single" w:color="auto" w:sz="4" w:space="0"/>
            </w:tcBorders>
          </w:tcPr>
          <w:p>
            <w:pPr>
              <w:widowControl/>
              <w:rPr>
                <w:b/>
                <w:bCs/>
                <w:color w:val="000000"/>
                <w:kern w:val="0"/>
              </w:rPr>
            </w:pPr>
            <w:r>
              <w:rPr>
                <w:b/>
                <w:bCs/>
                <w:color w:val="000000"/>
                <w:kern w:val="0"/>
              </w:rPr>
              <w:t>主要环境问题：</w:t>
            </w:r>
          </w:p>
          <w:p>
            <w:pPr>
              <w:widowControl/>
              <w:rPr>
                <w:kern w:val="0"/>
              </w:rPr>
            </w:pPr>
            <w:r>
              <w:rPr>
                <w:b/>
                <w:bCs/>
                <w:color w:val="000000"/>
              </w:rPr>
              <w:t>巨口铺镇、迎光乡：</w:t>
            </w:r>
            <w:r>
              <w:rPr>
                <w:kern w:val="0"/>
              </w:rPr>
              <w:t>农村面源污染未完全得到有效治理、乡镇污水处理厂污水收集率偏低，大气环境颗粒物污染（野外用火、秸秆焚烧等）形势严峻。</w:t>
            </w:r>
          </w:p>
          <w:p>
            <w:pPr>
              <w:widowControl/>
              <w:rPr>
                <w:b/>
                <w:bCs/>
                <w:color w:val="000000"/>
                <w:kern w:val="0"/>
              </w:rPr>
            </w:pPr>
            <w:r>
              <w:rPr>
                <w:b/>
                <w:bCs/>
                <w:color w:val="000000"/>
                <w:kern w:val="0"/>
              </w:rPr>
              <w:t>重要敏感目标：</w:t>
            </w:r>
          </w:p>
          <w:p>
            <w:pPr>
              <w:widowControl/>
              <w:rPr>
                <w:b/>
                <w:bCs/>
                <w:color w:val="000000"/>
                <w:kern w:val="0"/>
              </w:rPr>
            </w:pPr>
            <w:r>
              <w:rPr>
                <w:b/>
                <w:bCs/>
                <w:color w:val="000000"/>
              </w:rPr>
              <w:t>巨口铺镇：</w:t>
            </w:r>
            <w:r>
              <w:rPr>
                <w:kern w:val="0"/>
              </w:rPr>
              <w:t>涉及新邵县筱溪国家湿地公园，新邵县白水洞风景名胜区。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kern w:val="0"/>
              </w:rPr>
            </w:pPr>
            <w:r>
              <w:rPr>
                <w:b/>
                <w:bCs/>
                <w:color w:val="000000"/>
                <w:kern w:val="0"/>
              </w:rPr>
              <w:t>主要属性</w:t>
            </w:r>
          </w:p>
        </w:tc>
        <w:tc>
          <w:tcPr>
            <w:tcW w:w="4417" w:type="pct"/>
            <w:gridSpan w:val="11"/>
            <w:tcBorders>
              <w:top w:val="single" w:color="auto" w:sz="4" w:space="0"/>
              <w:left w:val="nil"/>
              <w:bottom w:val="single" w:color="auto" w:sz="4" w:space="0"/>
              <w:right w:val="single" w:color="auto" w:sz="4" w:space="0"/>
            </w:tcBorders>
            <w:vAlign w:val="center"/>
          </w:tcPr>
          <w:p>
            <w:pPr>
              <w:pStyle w:val="16"/>
              <w:spacing w:line="400" w:lineRule="exact"/>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巨口铺镇：</w:t>
            </w:r>
          </w:p>
          <w:p>
            <w:pPr>
              <w:spacing w:line="400" w:lineRule="exact"/>
              <w:ind w:firstLine="422" w:firstLineChars="200"/>
              <w:jc w:val="left"/>
              <w:rPr>
                <w:b/>
                <w:bCs/>
              </w:rPr>
            </w:pPr>
            <w:r>
              <w:rPr>
                <w:b/>
                <w:bCs/>
              </w:rPr>
              <w:t>生态红线：</w:t>
            </w:r>
            <w:r>
              <w:t>红线/一般生态空间；三区三线生态红线\水源涵养重要区\风景名胜区\原生态红线\湿地公园\生物多样性保护功能重要区\水土流失敏感区；</w:t>
            </w:r>
          </w:p>
          <w:p>
            <w:pPr>
              <w:spacing w:line="400" w:lineRule="exact"/>
              <w:ind w:firstLine="422" w:firstLineChars="200"/>
              <w:jc w:val="left"/>
              <w:rPr>
                <w:color w:val="000000"/>
                <w:szCs w:val="21"/>
              </w:rPr>
            </w:pPr>
            <w:r>
              <w:rPr>
                <w:b/>
                <w:bCs/>
              </w:rPr>
              <w:t xml:space="preserve">环境质量底线： </w:t>
            </w:r>
            <w:r>
              <w:t>水环境优先保护区/ 水环境其他重点管控区/水环境一般管控区；湿地公园/重金属矿；湖南新邵筱溪国家级湿地公园/湖南省新邵县白云铺铅锌矿、新邵县三郎庙铅锌锑多金属矿有限公司三郎庙铅锌锑矿、新邵昆仑矿业有限公司高家坳金矿；大气环境优先保护区/大气环境受体敏感重点管控区；白水洞国家级风景名胜区/湖南新邵筱溪国家湿地公园；农用地优先保护区/建设用地重点管控区/其他重点管控区/一般管控区；矿区/中高风险企业用地；农产品主产区/能源资源富集区；</w:t>
            </w:r>
          </w:p>
          <w:p>
            <w:pPr>
              <w:pStyle w:val="16"/>
              <w:spacing w:line="400" w:lineRule="exact"/>
              <w:jc w:val="left"/>
              <w:rPr>
                <w:rFonts w:ascii="Times New Roman" w:hAnsi="Times New Roman" w:eastAsia="宋体" w:cs="Times New Roman"/>
                <w:sz w:val="21"/>
                <w:szCs w:val="21"/>
              </w:rPr>
            </w:pPr>
            <w:r>
              <w:rPr>
                <w:rFonts w:ascii="Times New Roman" w:hAnsi="Times New Roman" w:eastAsia="宋体" w:cs="Times New Roman"/>
                <w:sz w:val="21"/>
                <w:szCs w:val="21"/>
              </w:rPr>
              <w:t>迎光乡：</w:t>
            </w:r>
          </w:p>
          <w:p>
            <w:pPr>
              <w:spacing w:line="400" w:lineRule="exact"/>
              <w:ind w:firstLine="422" w:firstLineChars="200"/>
              <w:jc w:val="left"/>
              <w:rPr>
                <w:b/>
                <w:bCs/>
              </w:rPr>
            </w:pPr>
            <w:r>
              <w:rPr>
                <w:b/>
                <w:bCs/>
              </w:rPr>
              <w:t>生态红线：</w:t>
            </w:r>
            <w:r>
              <w:t>红线/一般生态空间；水源涵养重要区\三区三线生态红线\湿地公园\生物多样性保护功能重要区\原生态红线\水土流失敏感区；</w:t>
            </w:r>
          </w:p>
          <w:p>
            <w:pPr>
              <w:spacing w:line="400" w:lineRule="exact"/>
              <w:ind w:firstLine="422" w:firstLineChars="200"/>
              <w:jc w:val="left"/>
              <w:rPr>
                <w:b/>
                <w:bCs/>
                <w:color w:val="000000"/>
                <w:szCs w:val="21"/>
              </w:rPr>
            </w:pPr>
            <w:r>
              <w:rPr>
                <w:b/>
                <w:bCs/>
              </w:rPr>
              <w:t>环境质量底线：</w:t>
            </w:r>
            <w:r>
              <w:t xml:space="preserve"> 水环境优先保护区/水环境一般管控区；湿地公园；湖南新邵筱溪国家级湿地公园；大气环境优先保护区/大气环境受体敏感重点管控区；湖南新邵筱溪国家湿地公园；农用地优先保护区/农用地重点管控区/其他重点管控区/一般管控区；矿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rPr>
            </w:pPr>
            <w:r>
              <w:rPr>
                <w:b/>
                <w:bCs/>
                <w:color w:val="000000"/>
              </w:rPr>
              <w:t>管控维度</w:t>
            </w:r>
          </w:p>
        </w:tc>
        <w:tc>
          <w:tcPr>
            <w:tcW w:w="3777" w:type="pct"/>
            <w:gridSpan w:val="10"/>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kern w:val="0"/>
              </w:rPr>
              <w:t>管控要求</w:t>
            </w:r>
          </w:p>
        </w:tc>
        <w:tc>
          <w:tcPr>
            <w:tcW w:w="639" w:type="pct"/>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空间布局约束</w:t>
            </w:r>
          </w:p>
        </w:tc>
        <w:tc>
          <w:tcPr>
            <w:tcW w:w="3777" w:type="pct"/>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400" w:lineRule="exact"/>
              <w:jc w:val="left"/>
            </w:pPr>
            <w:r>
              <w:t>（1.2）严禁在资江、邵水岸线1公里等区域范围内新(改、扩)建尾矿库。</w:t>
            </w:r>
          </w:p>
        </w:tc>
        <w:tc>
          <w:tcPr>
            <w:tcW w:w="639" w:type="pct"/>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t>（4.2）《邵阳市“十四五”用水总量和强度双控目标》</w:t>
            </w:r>
          </w:p>
          <w:p>
            <w:pPr>
              <w:widowControl/>
              <w:spacing w:line="400" w:lineRule="exact"/>
              <w:jc w:val="left"/>
            </w:pPr>
            <w:r>
              <w:t>（4.3）《新邵县国土空间总体规划（2021-2035年）》</w:t>
            </w:r>
          </w:p>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污染物排放管控</w:t>
            </w:r>
          </w:p>
        </w:tc>
        <w:tc>
          <w:tcPr>
            <w:tcW w:w="3777" w:type="pct"/>
            <w:gridSpan w:val="10"/>
            <w:tcBorders>
              <w:top w:val="single" w:color="auto" w:sz="4" w:space="0"/>
              <w:left w:val="nil"/>
              <w:bottom w:val="single" w:color="auto" w:sz="4" w:space="0"/>
              <w:right w:val="single" w:color="auto" w:sz="4" w:space="0"/>
            </w:tcBorders>
            <w:vAlign w:val="center"/>
          </w:tcPr>
          <w:p>
            <w:pPr>
              <w:widowControl/>
              <w:spacing w:line="400" w:lineRule="exact"/>
              <w:jc w:val="left"/>
              <w:rPr>
                <w:lang w:val="zh-CN"/>
              </w:rPr>
            </w:pPr>
            <w:r>
              <w:t>（2.1）废水：实施农村生活污水治理规划，以环境敏感区周边村庄、乡镇政府驻地和中心村为重点梯次推进农村生活污水治理，推动城镇污水处理设施和服务向城镇近郊农村延伸。</w:t>
            </w:r>
          </w:p>
          <w:p>
            <w:pPr>
              <w:widowControl/>
              <w:spacing w:line="400" w:lineRule="exact"/>
              <w:jc w:val="left"/>
            </w:pPr>
            <w:r>
              <w:t>（2.2）废气：</w:t>
            </w:r>
          </w:p>
          <w:p>
            <w:pPr>
              <w:widowControl/>
              <w:spacing w:line="400" w:lineRule="exact"/>
              <w:jc w:val="left"/>
            </w:pPr>
            <w:r>
              <w:t>（2.2.1）按照“分业施策、一行一策”的原则，加大低 VOCs 含量原辅材料的推广使用力度，从源头减少 VOCs 产生。推进使用先进生产工艺设备，减少无组织排放。实行重点排放源排放浓度与去除效率双重控制。</w:t>
            </w:r>
          </w:p>
          <w:p>
            <w:pPr>
              <w:widowControl/>
              <w:spacing w:line="400" w:lineRule="exact"/>
              <w:jc w:val="left"/>
            </w:pPr>
            <w:r>
              <w:t>（2.2.2）加强扬尘污染治理。</w:t>
            </w:r>
          </w:p>
          <w:p>
            <w:pPr>
              <w:widowControl/>
              <w:spacing w:line="400" w:lineRule="exact"/>
              <w:jc w:val="left"/>
            </w:pPr>
            <w:r>
              <w:t>（2.3）固体废弃物：</w:t>
            </w:r>
          </w:p>
          <w:p>
            <w:pPr>
              <w:widowControl/>
              <w:spacing w:line="400" w:lineRule="exact"/>
              <w:jc w:val="left"/>
            </w:pPr>
            <w:r>
              <w:t>（2.3.1）</w:t>
            </w:r>
            <w:r>
              <w:rPr>
                <w:rFonts w:hint="eastAsia"/>
              </w:rPr>
              <w:t>持续</w:t>
            </w:r>
            <w:r>
              <w:t>推动塑料污染全链条治理。</w:t>
            </w:r>
          </w:p>
          <w:p>
            <w:pPr>
              <w:widowControl/>
              <w:spacing w:line="400" w:lineRule="exact"/>
              <w:jc w:val="left"/>
            </w:pPr>
            <w:r>
              <w:t>（2.3.2）实施生活垃圾分类制度，建设分类投放、分类收集、分类运输、分类处置的生活垃圾管理系统。</w:t>
            </w:r>
          </w:p>
          <w:p>
            <w:pPr>
              <w:widowControl/>
              <w:spacing w:line="400" w:lineRule="exact"/>
              <w:jc w:val="left"/>
            </w:pPr>
            <w:r>
              <w:t>（2.3.3）推动建筑垃圾资源化利用。</w:t>
            </w:r>
          </w:p>
          <w:p>
            <w:pPr>
              <w:widowControl/>
              <w:spacing w:line="400" w:lineRule="exact"/>
              <w:jc w:val="left"/>
              <w:rPr>
                <w:lang w:val="zh-CN"/>
              </w:rPr>
            </w:pPr>
            <w:r>
              <w:t>（2.3.4）推动农作物秸秆、畜禽粪污、林业废弃物、农产品加工副产品等农林废弃物的高效利用。</w:t>
            </w:r>
          </w:p>
        </w:tc>
        <w:tc>
          <w:tcPr>
            <w:tcW w:w="63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环境风险防控</w:t>
            </w:r>
          </w:p>
        </w:tc>
        <w:tc>
          <w:tcPr>
            <w:tcW w:w="3777" w:type="pct"/>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t>（3.1）建设用地风险防控：</w:t>
            </w:r>
          </w:p>
          <w:p>
            <w:pPr>
              <w:widowControl/>
              <w:spacing w:line="400" w:lineRule="exact"/>
              <w:jc w:val="left"/>
            </w:pPr>
            <w:r>
              <w:t>（3.1.1）完善准入管理机制，严格污染地块用途管制，列入建设用地土壤污染风险管控和修复名录的地块，不得作为住宅、公共管理与公共服务用地。</w:t>
            </w:r>
          </w:p>
          <w:p>
            <w:pPr>
              <w:widowControl/>
              <w:spacing w:line="400" w:lineRule="exact"/>
              <w:jc w:val="left"/>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widowControl/>
              <w:spacing w:line="400" w:lineRule="exact"/>
              <w:jc w:val="left"/>
            </w:pPr>
            <w:r>
              <w:t>（3.2）加大优先保护类耕地保护力度，确保面积不减少、环境质量不下降；在永久基本农田集中区域，不得规划新建可能造成土壤污染的建设项目。</w:t>
            </w:r>
          </w:p>
          <w:p>
            <w:pPr>
              <w:widowControl/>
              <w:spacing w:line="400" w:lineRule="exact"/>
              <w:jc w:val="left"/>
            </w:pPr>
            <w:r>
              <w:t>（3.3）对污染突出、环境敏感和管控难度较大的污染地块，避免作为高功能用地性质进行开发使用。</w:t>
            </w:r>
          </w:p>
          <w:p>
            <w:pPr>
              <w:widowControl/>
              <w:spacing w:line="400" w:lineRule="exact"/>
              <w:jc w:val="left"/>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63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资源开发效率要求</w:t>
            </w:r>
          </w:p>
        </w:tc>
        <w:tc>
          <w:tcPr>
            <w:tcW w:w="3777" w:type="pct"/>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rPr>
                <w:lang w:val="zh-CN"/>
              </w:rPr>
              <w:t>（</w:t>
            </w:r>
            <w:r>
              <w:t>4.1</w:t>
            </w:r>
            <w:r>
              <w:rPr>
                <w:lang w:val="zh-CN"/>
              </w:rPr>
              <w:t>）</w:t>
            </w:r>
            <w:r>
              <w:t>能源：</w:t>
            </w:r>
          </w:p>
          <w:p>
            <w:pPr>
              <w:widowControl/>
              <w:spacing w:line="40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40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40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400" w:lineRule="exact"/>
              <w:jc w:val="left"/>
            </w:pPr>
            <w:r>
              <w:t>（4.3）土地资源：到2035年，巨口铺镇耕地保有量不低于4.94万亩，永久基本农田面积不低于4.52万亩，生态保护红线面积不少于2782.71公顷，城镇开发边界规模不超过96.11公顷；迎光乡耕地保有量不低于1.91万亩，永久基本农田面积不低于1.74万亩，生态保护红线面积不少于239.53公顷，城镇开发边界规模不超过3.2公顷。</w:t>
            </w:r>
          </w:p>
        </w:tc>
        <w:tc>
          <w:tcPr>
            <w:tcW w:w="63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rPr>
            </w:pPr>
          </w:p>
        </w:tc>
      </w:tr>
    </w:tbl>
    <w:p>
      <w:pPr>
        <w:widowControl/>
        <w:jc w:val="center"/>
        <w:rPr>
          <w:b/>
          <w:bCs/>
          <w:color w:val="000000"/>
          <w:kern w:val="0"/>
        </w:rPr>
      </w:pPr>
      <w:r>
        <w:rPr>
          <w:b/>
          <w:bCs/>
          <w:color w:val="000000"/>
          <w:kern w:val="0"/>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54"/>
        <w:gridCol w:w="423"/>
        <w:gridCol w:w="423"/>
        <w:gridCol w:w="428"/>
        <w:gridCol w:w="1023"/>
        <w:gridCol w:w="962"/>
        <w:gridCol w:w="1015"/>
        <w:gridCol w:w="1211"/>
        <w:gridCol w:w="3170"/>
        <w:gridCol w:w="70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754"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1274"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1023" w:type="dxa"/>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962"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1015"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1211"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w:t>
            </w:r>
          </w:p>
        </w:tc>
        <w:tc>
          <w:tcPr>
            <w:tcW w:w="3169" w:type="dxa"/>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3543" w:type="dxa"/>
            <w:gridSpan w:val="2"/>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754"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423"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423"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428" w:type="dxa"/>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1023"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962"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015"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211"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169" w:type="dxa"/>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543" w:type="dxa"/>
            <w:gridSpan w:val="2"/>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jc w:val="center"/>
            </w:pPr>
            <w:r>
              <w:t>ZH43052230003</w:t>
            </w:r>
          </w:p>
          <w:p>
            <w:pPr>
              <w:pStyle w:val="16"/>
              <w:rPr>
                <w:rFonts w:ascii="Times New Roman" w:hAnsi="Times New Roman" w:cs="Times New Roman"/>
              </w:rPr>
            </w:pPr>
          </w:p>
        </w:tc>
        <w:tc>
          <w:tcPr>
            <w:tcW w:w="754"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陈家坊镇/潭溪镇</w:t>
            </w:r>
          </w:p>
        </w:tc>
        <w:tc>
          <w:tcPr>
            <w:tcW w:w="423"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423"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428"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1023" w:type="dxa"/>
            <w:tcBorders>
              <w:top w:val="single" w:color="auto" w:sz="4" w:space="0"/>
              <w:left w:val="nil"/>
              <w:bottom w:val="single" w:color="auto" w:sz="4" w:space="0"/>
              <w:right w:val="single" w:color="auto" w:sz="4" w:space="0"/>
            </w:tcBorders>
            <w:vAlign w:val="center"/>
          </w:tcPr>
          <w:p>
            <w:pPr>
              <w:pStyle w:val="16"/>
              <w:rPr>
                <w:rFonts w:ascii="Times New Roman" w:hAnsi="Times New Roman" w:cs="Times New Roman"/>
              </w:rPr>
            </w:pPr>
            <w:r>
              <w:rPr>
                <w:rFonts w:ascii="Times New Roman" w:hAnsi="Times New Roman" w:eastAsia="宋体" w:cs="Times New Roman"/>
                <w:kern w:val="2"/>
                <w:sz w:val="21"/>
                <w:szCs w:val="22"/>
              </w:rPr>
              <w:t>一般管控单元</w:t>
            </w:r>
          </w:p>
        </w:tc>
        <w:tc>
          <w:tcPr>
            <w:tcW w:w="962" w:type="dxa"/>
            <w:tcBorders>
              <w:top w:val="single" w:color="auto" w:sz="4" w:space="0"/>
              <w:left w:val="nil"/>
              <w:bottom w:val="single" w:color="auto" w:sz="4" w:space="0"/>
              <w:right w:val="single" w:color="auto" w:sz="4" w:space="0"/>
            </w:tcBorders>
            <w:vAlign w:val="center"/>
          </w:tcPr>
          <w:p>
            <w:pPr>
              <w:jc w:val="center"/>
            </w:pPr>
            <w:r>
              <w:t>213.20</w:t>
            </w:r>
          </w:p>
        </w:tc>
        <w:tc>
          <w:tcPr>
            <w:tcW w:w="1015"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陈家坊镇/潭溪镇</w:t>
            </w:r>
          </w:p>
        </w:tc>
        <w:tc>
          <w:tcPr>
            <w:tcW w:w="1211" w:type="dxa"/>
            <w:tcBorders>
              <w:top w:val="single" w:color="auto" w:sz="4" w:space="0"/>
              <w:left w:val="nil"/>
              <w:bottom w:val="single" w:color="auto" w:sz="4" w:space="0"/>
              <w:right w:val="single" w:color="auto" w:sz="4" w:space="0"/>
            </w:tcBorders>
            <w:vAlign w:val="center"/>
          </w:tcPr>
          <w:p>
            <w:pPr>
              <w:jc w:val="center"/>
              <w:rPr>
                <w:color w:val="000000"/>
              </w:rPr>
            </w:pPr>
            <w:r>
              <w:rPr>
                <w:color w:val="000000"/>
              </w:rPr>
              <w:t>陈家坊镇/潭溪镇：农产品主产区</w:t>
            </w:r>
          </w:p>
        </w:tc>
        <w:tc>
          <w:tcPr>
            <w:tcW w:w="3169" w:type="dxa"/>
            <w:tcBorders>
              <w:top w:val="single" w:color="auto" w:sz="4" w:space="0"/>
              <w:left w:val="nil"/>
              <w:bottom w:val="single" w:color="auto" w:sz="4" w:space="0"/>
              <w:right w:val="single" w:color="auto" w:sz="4" w:space="0"/>
            </w:tcBorders>
            <w:vAlign w:val="center"/>
          </w:tcPr>
          <w:p>
            <w:pPr>
              <w:widowControl/>
              <w:rPr>
                <w:kern w:val="0"/>
              </w:rPr>
            </w:pPr>
            <w:r>
              <w:rPr>
                <w:rFonts w:ascii="宋体" w:hAnsi="宋体"/>
                <w:b/>
                <w:bCs/>
              </w:rPr>
              <w:t>陈家坊镇：</w:t>
            </w:r>
            <w:r>
              <w:rPr>
                <w:rFonts w:ascii="宋体" w:hAnsi="宋体"/>
                <w:kern w:val="0"/>
              </w:rPr>
              <w:t>农业种植、畜禽养殖、农副产品加工、食品加工、服装、鞋业加工、</w:t>
            </w:r>
            <w:r>
              <w:rPr>
                <w:rFonts w:hint="eastAsia" w:ascii="宋体" w:hAnsi="宋体"/>
                <w:kern w:val="0"/>
              </w:rPr>
              <w:t>建筑材料、</w:t>
            </w:r>
            <w:r>
              <w:rPr>
                <w:rFonts w:hint="eastAsia" w:ascii="宋体" w:hAnsi="宋体"/>
              </w:rPr>
              <w:t>能源开发、</w:t>
            </w:r>
            <w:r>
              <w:rPr>
                <w:rFonts w:ascii="宋体" w:hAnsi="宋体"/>
                <w:kern w:val="0"/>
              </w:rPr>
              <w:t>其他轻工业等；</w:t>
            </w:r>
          </w:p>
          <w:p>
            <w:r>
              <w:rPr>
                <w:rFonts w:ascii="宋体" w:hAnsi="宋体"/>
                <w:b/>
                <w:bCs/>
              </w:rPr>
              <w:t>潭溪镇：</w:t>
            </w:r>
            <w:r>
              <w:rPr>
                <w:rFonts w:ascii="宋体" w:hAnsi="宋体"/>
                <w:kern w:val="0"/>
              </w:rPr>
              <w:t>农业种植、畜禽养殖、农副产品加工、食品加工、</w:t>
            </w:r>
            <w:r>
              <w:rPr>
                <w:rFonts w:hint="eastAsia" w:ascii="宋体" w:hAnsi="宋体"/>
                <w:kern w:val="0"/>
              </w:rPr>
              <w:t>矿产开发利用、能源开发、</w:t>
            </w:r>
            <w:r>
              <w:rPr>
                <w:rFonts w:ascii="宋体" w:hAnsi="宋体"/>
                <w:kern w:val="0"/>
              </w:rPr>
              <w:t>其他轻工业。</w:t>
            </w:r>
          </w:p>
          <w:p>
            <w:pPr>
              <w:widowControl/>
              <w:rPr>
                <w:kern w:val="0"/>
                <w:szCs w:val="21"/>
              </w:rPr>
            </w:pPr>
          </w:p>
        </w:tc>
        <w:tc>
          <w:tcPr>
            <w:tcW w:w="3543" w:type="dxa"/>
            <w:gridSpan w:val="2"/>
            <w:tcBorders>
              <w:top w:val="single" w:color="auto" w:sz="4" w:space="0"/>
              <w:left w:val="nil"/>
              <w:bottom w:val="single" w:color="auto" w:sz="4" w:space="0"/>
              <w:right w:val="single" w:color="auto" w:sz="4" w:space="0"/>
            </w:tcBorders>
          </w:tcPr>
          <w:p>
            <w:pPr>
              <w:widowControl/>
              <w:rPr>
                <w:b/>
                <w:bCs/>
                <w:color w:val="000000"/>
                <w:kern w:val="0"/>
              </w:rPr>
            </w:pPr>
            <w:r>
              <w:rPr>
                <w:b/>
                <w:bCs/>
                <w:color w:val="000000"/>
                <w:kern w:val="0"/>
              </w:rPr>
              <w:t>主要环境问题：</w:t>
            </w:r>
          </w:p>
          <w:p>
            <w:pPr>
              <w:widowControl/>
              <w:rPr>
                <w:kern w:val="0"/>
              </w:rPr>
            </w:pPr>
            <w:r>
              <w:rPr>
                <w:b/>
                <w:bCs/>
                <w:color w:val="000000"/>
              </w:rPr>
              <w:t>陈家坊镇、潭溪镇：</w:t>
            </w:r>
            <w:r>
              <w:rPr>
                <w:kern w:val="0"/>
              </w:rPr>
              <w:t>农村面源污染未完全得到有效治理、乡镇污水处理厂污水收集率偏低，大气环境颗粒物污染（野外用火、秸秆焚烧等）形势严峻。</w:t>
            </w:r>
          </w:p>
          <w:p>
            <w:pPr>
              <w:widowControl/>
              <w:rPr>
                <w:kern w:val="0"/>
              </w:rPr>
            </w:pPr>
            <w:r>
              <w:rPr>
                <w:b/>
                <w:bCs/>
                <w:color w:val="000000"/>
                <w:kern w:val="0"/>
              </w:rPr>
              <w:t>重要敏感目标：</w:t>
            </w:r>
            <w:r>
              <w:rPr>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kern w:val="0"/>
              </w:rPr>
            </w:pPr>
            <w:r>
              <w:rPr>
                <w:b/>
                <w:bCs/>
                <w:color w:val="000000"/>
                <w:kern w:val="0"/>
              </w:rPr>
              <w:t>主要属性</w:t>
            </w:r>
          </w:p>
        </w:tc>
        <w:tc>
          <w:tcPr>
            <w:tcW w:w="12951" w:type="dxa"/>
            <w:gridSpan w:val="11"/>
            <w:tcBorders>
              <w:top w:val="single" w:color="auto" w:sz="4" w:space="0"/>
              <w:left w:val="nil"/>
              <w:bottom w:val="single" w:color="auto" w:sz="4" w:space="0"/>
              <w:right w:val="single" w:color="auto" w:sz="4" w:space="0"/>
            </w:tcBorders>
            <w:vAlign w:val="center"/>
          </w:tcPr>
          <w:p>
            <w:pPr>
              <w:pStyle w:val="16"/>
              <w:spacing w:line="400" w:lineRule="exact"/>
              <w:rPr>
                <w:rFonts w:ascii="Times New Roman" w:hAnsi="Times New Roman" w:eastAsia="宋体" w:cs="Times New Roman"/>
                <w:b/>
                <w:bCs/>
                <w:sz w:val="21"/>
                <w:szCs w:val="21"/>
              </w:rPr>
            </w:pPr>
            <w:r>
              <w:rPr>
                <w:rFonts w:ascii="Times New Roman" w:hAnsi="Times New Roman" w:eastAsia="宋体" w:cs="Times New Roman"/>
                <w:b/>
                <w:bCs/>
                <w:sz w:val="21"/>
                <w:szCs w:val="21"/>
              </w:rPr>
              <w:t>陈家坊镇：</w:t>
            </w:r>
          </w:p>
          <w:p>
            <w:pPr>
              <w:spacing w:line="400" w:lineRule="exact"/>
              <w:ind w:firstLine="422" w:firstLineChars="200"/>
              <w:rPr>
                <w:b/>
                <w:bCs/>
              </w:rPr>
            </w:pPr>
            <w:r>
              <w:rPr>
                <w:b/>
                <w:bCs/>
              </w:rPr>
              <w:t>生态红线：</w:t>
            </w:r>
            <w:r>
              <w:t>红线/一般生态空间；水源涵养重要区\三区三线生态红线\水土流失敏感区\原生态红线\生物多样性保护功能重要区；</w:t>
            </w:r>
          </w:p>
          <w:p>
            <w:pPr>
              <w:spacing w:line="400" w:lineRule="exact"/>
              <w:ind w:firstLine="422" w:firstLineChars="200"/>
              <w:rPr>
                <w:b/>
                <w:bCs/>
                <w:color w:val="000000"/>
                <w:szCs w:val="21"/>
              </w:rPr>
            </w:pPr>
            <w:r>
              <w:rPr>
                <w:b/>
                <w:bCs/>
              </w:rPr>
              <w:t>环境质量底线：</w:t>
            </w:r>
            <w:r>
              <w:t>水环境一般管控区；大气环境受体敏感重点管控区/大气环境布局敏感重点管控区；农用地优先保护区/农用地重点管控区/建设用地重点管控区/其他重点管控区/一般管控区；矿区/中高风险企业用地/重点行业企业重点区域；农产品主产区；</w:t>
            </w:r>
          </w:p>
          <w:p>
            <w:pPr>
              <w:pStyle w:val="16"/>
              <w:spacing w:line="400" w:lineRule="exact"/>
              <w:rPr>
                <w:rFonts w:ascii="Times New Roman" w:hAnsi="Times New Roman" w:eastAsia="宋体" w:cs="Times New Roman"/>
                <w:b/>
                <w:bCs/>
                <w:sz w:val="21"/>
                <w:szCs w:val="21"/>
              </w:rPr>
            </w:pPr>
            <w:r>
              <w:rPr>
                <w:rFonts w:ascii="Times New Roman" w:hAnsi="Times New Roman" w:eastAsia="宋体" w:cs="Times New Roman"/>
                <w:b/>
                <w:bCs/>
                <w:sz w:val="21"/>
                <w:szCs w:val="21"/>
              </w:rPr>
              <w:t>潭溪镇：</w:t>
            </w:r>
          </w:p>
          <w:p>
            <w:pPr>
              <w:spacing w:line="400" w:lineRule="exact"/>
              <w:ind w:firstLine="422" w:firstLineChars="200"/>
              <w:rPr>
                <w:b/>
                <w:bCs/>
              </w:rPr>
            </w:pPr>
            <w:r>
              <w:rPr>
                <w:b/>
                <w:bCs/>
              </w:rPr>
              <w:t>生态红线：</w:t>
            </w:r>
            <w:r>
              <w:t>红线/一般生态空间；三区三线生态红线\水源涵养重要区\森林公园\生物多样性保护功能重要区\原生态红线\水土流失敏感区；</w:t>
            </w:r>
          </w:p>
          <w:p>
            <w:pPr>
              <w:spacing w:line="400" w:lineRule="exact"/>
              <w:ind w:firstLine="422" w:firstLineChars="200"/>
              <w:rPr>
                <w:b/>
                <w:bCs/>
                <w:color w:val="000000"/>
                <w:szCs w:val="21"/>
              </w:rPr>
            </w:pPr>
            <w:r>
              <w:rPr>
                <w:b/>
                <w:bCs/>
              </w:rPr>
              <w:t>环境质量底线：</w:t>
            </w:r>
            <w:r>
              <w:t>水环境其他重点管控区\水环境一般管控区；重金属矿；湖南新龙矿业有限责任公司龙山金锑矿；大气环境优先保护区/大气环境受体敏感重点管控区/大气环境布局敏感重点管控区；湖南新邵岳坪峰国家森林公园；农用地优先保护区/农用地重点管控区/建设用地重点管控区/其他重点管控区/一般管控区；矿区/中高风险企业用地；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rPr>
            </w:pPr>
            <w:r>
              <w:rPr>
                <w:b/>
                <w:bCs/>
                <w:color w:val="000000"/>
              </w:rPr>
              <w:t>管控维度</w:t>
            </w:r>
          </w:p>
        </w:tc>
        <w:tc>
          <w:tcPr>
            <w:tcW w:w="10108" w:type="dxa"/>
            <w:gridSpan w:val="10"/>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kern w:val="0"/>
              </w:rPr>
              <w:t>管控要求</w:t>
            </w:r>
          </w:p>
        </w:tc>
        <w:tc>
          <w:tcPr>
            <w:tcW w:w="2843" w:type="dxa"/>
            <w:tcBorders>
              <w:top w:val="single" w:color="auto" w:sz="4" w:space="0"/>
              <w:left w:val="nil"/>
              <w:bottom w:val="single" w:color="auto" w:sz="4" w:space="0"/>
              <w:right w:val="single" w:color="auto" w:sz="4" w:space="0"/>
            </w:tcBorders>
            <w:vAlign w:val="center"/>
          </w:tcPr>
          <w:p>
            <w:pPr>
              <w:spacing w:line="40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空间布局约束</w:t>
            </w:r>
          </w:p>
        </w:tc>
        <w:tc>
          <w:tcPr>
            <w:tcW w:w="10108"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400" w:lineRule="exact"/>
              <w:jc w:val="left"/>
            </w:pPr>
            <w:r>
              <w:t>（1.2）严禁在资江、邵水岸线1公里等区域范围内新(改、扩)建尾矿库。</w:t>
            </w:r>
          </w:p>
        </w:tc>
        <w:tc>
          <w:tcPr>
            <w:tcW w:w="2843" w:type="dxa"/>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t>（4.2）《邵阳市“十四五”用水总量和强度双控目标》</w:t>
            </w:r>
          </w:p>
          <w:p>
            <w:pPr>
              <w:widowControl/>
              <w:spacing w:line="400" w:lineRule="exact"/>
              <w:jc w:val="left"/>
            </w:pPr>
            <w:r>
              <w:t>（4.3）《新邵县国土空间总体规划（2021-2035年）》</w:t>
            </w:r>
          </w:p>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污染物排放管控</w:t>
            </w:r>
          </w:p>
        </w:tc>
        <w:tc>
          <w:tcPr>
            <w:tcW w:w="10108"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lang w:val="zh-CN"/>
              </w:rPr>
            </w:pPr>
            <w:r>
              <w:t>（2.1）废水：实施农村生活污水治理规划，以环境敏感区周边村庄、乡镇政府驻地和中心村为重点梯次推进农村生活污水治理，推动城镇污水处理设施和服务向城镇近郊农村延伸。</w:t>
            </w:r>
          </w:p>
          <w:p>
            <w:pPr>
              <w:widowControl/>
              <w:spacing w:line="400" w:lineRule="exact"/>
              <w:jc w:val="left"/>
            </w:pPr>
            <w:r>
              <w:t>（2.2）废气：</w:t>
            </w:r>
          </w:p>
          <w:p>
            <w:pPr>
              <w:widowControl/>
              <w:spacing w:line="400" w:lineRule="exact"/>
              <w:jc w:val="left"/>
            </w:pPr>
            <w:r>
              <w:t>（2.2.1）按照“分业施策、一行一策”的原则，加大低 VOCs 含量原辅材料的推广使用力度，从源头减少 VOCs 产生。推进使用先进生产工艺设备，减少无组织排放。实行重点排放源排放浓度与去除效率双重控制。</w:t>
            </w:r>
          </w:p>
          <w:p>
            <w:pPr>
              <w:widowControl/>
              <w:spacing w:line="400" w:lineRule="exact"/>
              <w:jc w:val="left"/>
            </w:pPr>
            <w:r>
              <w:t>（2.2.2）加强扬尘污染治理。</w:t>
            </w:r>
          </w:p>
          <w:p>
            <w:pPr>
              <w:widowControl/>
              <w:spacing w:line="400" w:lineRule="exact"/>
              <w:jc w:val="left"/>
            </w:pPr>
            <w:r>
              <w:t>（2.3）固体废弃物：</w:t>
            </w:r>
          </w:p>
          <w:p>
            <w:pPr>
              <w:widowControl/>
              <w:spacing w:line="400" w:lineRule="exact"/>
              <w:jc w:val="left"/>
            </w:pPr>
            <w:r>
              <w:t>（2.3.1）</w:t>
            </w:r>
            <w:r>
              <w:rPr>
                <w:rFonts w:hint="eastAsia"/>
              </w:rPr>
              <w:t>持续</w:t>
            </w:r>
            <w:r>
              <w:t>推动塑料污染全链条治理。</w:t>
            </w:r>
          </w:p>
          <w:p>
            <w:pPr>
              <w:widowControl/>
              <w:spacing w:line="400" w:lineRule="exact"/>
              <w:jc w:val="left"/>
            </w:pPr>
            <w:r>
              <w:t>（2.3.2）实施生活垃圾分类制度，建设分类投放、分类收集、分类运输、分类处置的生活垃圾管理系统。</w:t>
            </w:r>
          </w:p>
          <w:p>
            <w:pPr>
              <w:widowControl/>
              <w:spacing w:line="400" w:lineRule="exact"/>
              <w:jc w:val="left"/>
            </w:pPr>
            <w:r>
              <w:t>（2.3.3）推动建筑垃圾资源化利用。</w:t>
            </w:r>
          </w:p>
          <w:p>
            <w:pPr>
              <w:widowControl/>
              <w:spacing w:line="400" w:lineRule="exact"/>
              <w:jc w:val="left"/>
              <w:rPr>
                <w:lang w:val="zh-CN"/>
              </w:rPr>
            </w:pPr>
            <w:r>
              <w:t>（2.3.4）推动农作物秸秆、畜禽粪污、林业废弃物、农产品加工副产品等农林废弃物的高效利用。</w:t>
            </w:r>
          </w:p>
        </w:tc>
        <w:tc>
          <w:tcPr>
            <w:tcW w:w="2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环境风险防控</w:t>
            </w:r>
          </w:p>
        </w:tc>
        <w:tc>
          <w:tcPr>
            <w:tcW w:w="10108"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t>（3.1）建设用地风险防控：</w:t>
            </w:r>
          </w:p>
          <w:p>
            <w:pPr>
              <w:widowControl/>
              <w:spacing w:line="400" w:lineRule="exact"/>
              <w:jc w:val="left"/>
            </w:pPr>
            <w:r>
              <w:t>（3.1.1）完善准入管理机制，严格污染地块用途管制，列入建设用地土壤污染风险管控和修复名录的地块，不得作为住宅、公共管理与公共服务用地。</w:t>
            </w:r>
          </w:p>
          <w:p>
            <w:pPr>
              <w:widowControl/>
              <w:spacing w:line="400" w:lineRule="exact"/>
              <w:jc w:val="left"/>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widowControl/>
              <w:spacing w:line="400" w:lineRule="exact"/>
              <w:jc w:val="left"/>
            </w:pPr>
            <w:r>
              <w:t>（3.2）加大优先保护类耕地保护力度，确保面积不减少、环境质量不下降；在永久基本农田集中区域，不得规划新建可能造成土壤污染的建设项目。</w:t>
            </w:r>
          </w:p>
          <w:p>
            <w:pPr>
              <w:widowControl/>
              <w:spacing w:line="400" w:lineRule="exact"/>
              <w:jc w:val="left"/>
            </w:pPr>
            <w:r>
              <w:t>（3.3）对污染突出、环境敏感和管控难度较大的污染地块，避免作为高功能用地性质进行开发使用。</w:t>
            </w:r>
          </w:p>
          <w:p>
            <w:pPr>
              <w:widowControl/>
              <w:spacing w:line="400" w:lineRule="exact"/>
              <w:jc w:val="left"/>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2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rPr>
            </w:pPr>
            <w:r>
              <w:rPr>
                <w:color w:val="000000"/>
              </w:rPr>
              <w:t>资源开发效率要求</w:t>
            </w:r>
          </w:p>
        </w:tc>
        <w:tc>
          <w:tcPr>
            <w:tcW w:w="10108" w:type="dxa"/>
            <w:gridSpan w:val="10"/>
            <w:tcBorders>
              <w:top w:val="single" w:color="auto" w:sz="4" w:space="0"/>
              <w:left w:val="nil"/>
              <w:bottom w:val="single" w:color="auto" w:sz="4" w:space="0"/>
              <w:right w:val="single" w:color="auto" w:sz="4" w:space="0"/>
            </w:tcBorders>
            <w:vAlign w:val="center"/>
          </w:tcPr>
          <w:p>
            <w:pPr>
              <w:widowControl/>
              <w:spacing w:line="400" w:lineRule="exact"/>
              <w:jc w:val="left"/>
            </w:pPr>
            <w:r>
              <w:rPr>
                <w:lang w:val="zh-CN"/>
              </w:rPr>
              <w:t>（</w:t>
            </w:r>
            <w:r>
              <w:t>4.1</w:t>
            </w:r>
            <w:r>
              <w:rPr>
                <w:lang w:val="zh-CN"/>
              </w:rPr>
              <w:t>）</w:t>
            </w:r>
            <w:r>
              <w:t>能源：</w:t>
            </w:r>
          </w:p>
          <w:p>
            <w:pPr>
              <w:widowControl/>
              <w:spacing w:line="40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40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40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400" w:lineRule="exact"/>
              <w:jc w:val="left"/>
            </w:pPr>
            <w:r>
              <w:t>（4.3）土地资源：到2035年，陈家坊镇耕地保有量不低于5.22万亩，永久基本农田面积不低于4.92万亩，生态保护红线面积不少于468.49公顷，城镇开发边界规模不超过148.14公顷；潭溪镇耕地保有量不低于2.63万亩，永久基本农田面积不低于2.29万亩，生态保护红线面积不少于5757.36公顷，城镇开发边界规模不超过60.77公顷。</w:t>
            </w:r>
          </w:p>
        </w:tc>
        <w:tc>
          <w:tcPr>
            <w:tcW w:w="2843"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color w:val="000000"/>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b/>
          <w:bCs/>
        </w:rPr>
      </w:pPr>
      <w:r>
        <w:rPr>
          <w:color w:val="000000"/>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0" w:lineRule="exact"/>
        <w:textAlignment w:val="auto"/>
        <w:rPr>
          <w:rFonts w:ascii="Times New Roman" w:hAnsi="Times New Roman" w:cs="Times New Roman"/>
          <w:b/>
          <w:bCs/>
        </w:rPr>
      </w:pPr>
      <w:r>
        <w:rPr>
          <w:rFonts w:ascii="Times New Roman" w:hAnsi="Times New Roman" w:cs="Times New Roman"/>
          <w:b/>
          <w:bCs/>
        </w:rPr>
        <w:br w:type="page"/>
      </w:r>
    </w:p>
    <w:p>
      <w:pPr>
        <w:pStyle w:val="16"/>
        <w:rPr>
          <w:rFonts w:ascii="Times New Roman" w:hAnsi="Times New Roman" w:cs="Times New Roman"/>
          <w:b/>
          <w:bCs/>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990"/>
        <w:gridCol w:w="431"/>
        <w:gridCol w:w="434"/>
        <w:gridCol w:w="434"/>
        <w:gridCol w:w="1021"/>
        <w:gridCol w:w="882"/>
        <w:gridCol w:w="935"/>
        <w:gridCol w:w="1292"/>
        <w:gridCol w:w="3106"/>
        <w:gridCol w:w="215"/>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rPr>
            </w:pPr>
            <w:r>
              <w:rPr>
                <w:b/>
                <w:bCs/>
                <w:color w:val="000000"/>
                <w:kern w:val="0"/>
              </w:rPr>
              <w:t>环境管控单元编码</w:t>
            </w:r>
          </w:p>
        </w:tc>
        <w:tc>
          <w:tcPr>
            <w:tcW w:w="349" w:type="pct"/>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单元名称</w:t>
            </w:r>
          </w:p>
        </w:tc>
        <w:tc>
          <w:tcPr>
            <w:tcW w:w="458" w:type="pct"/>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行政区划</w:t>
            </w:r>
          </w:p>
        </w:tc>
        <w:tc>
          <w:tcPr>
            <w:tcW w:w="360" w:type="pct"/>
            <w:vMerge w:val="restart"/>
            <w:tcBorders>
              <w:top w:val="single" w:color="auto" w:sz="4" w:space="0"/>
              <w:left w:val="nil"/>
              <w:bottom w:val="single" w:color="auto" w:sz="4" w:space="0"/>
              <w:right w:val="single" w:color="auto" w:sz="4" w:space="0"/>
            </w:tcBorders>
            <w:vAlign w:val="center"/>
          </w:tcPr>
          <w:p>
            <w:pPr>
              <w:widowControl/>
              <w:jc w:val="center"/>
              <w:rPr>
                <w:b/>
                <w:bCs/>
                <w:color w:val="000000"/>
                <w:kern w:val="0"/>
              </w:rPr>
            </w:pPr>
            <w:r>
              <w:rPr>
                <w:b/>
                <w:bCs/>
                <w:color w:val="000000"/>
                <w:kern w:val="0"/>
              </w:rPr>
              <w:t>单元分类</w:t>
            </w:r>
          </w:p>
        </w:tc>
        <w:tc>
          <w:tcPr>
            <w:tcW w:w="311"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单元面积(km</w:t>
            </w:r>
            <w:r>
              <w:rPr>
                <w:b/>
                <w:bCs/>
                <w:color w:val="000000"/>
                <w:kern w:val="0"/>
                <w:vertAlign w:val="superscript"/>
              </w:rPr>
              <w:t>2</w:t>
            </w:r>
            <w:r>
              <w:rPr>
                <w:b/>
                <w:bCs/>
                <w:color w:val="000000"/>
                <w:kern w:val="0"/>
              </w:rPr>
              <w:t>)</w:t>
            </w:r>
          </w:p>
        </w:tc>
        <w:tc>
          <w:tcPr>
            <w:tcW w:w="329"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涉及乡镇(街道)</w:t>
            </w:r>
          </w:p>
        </w:tc>
        <w:tc>
          <w:tcPr>
            <w:tcW w:w="455"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主体功能定位</w:t>
            </w:r>
          </w:p>
        </w:tc>
        <w:tc>
          <w:tcPr>
            <w:tcW w:w="1171" w:type="pct"/>
            <w:gridSpan w:val="2"/>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经济产业布局</w:t>
            </w:r>
          </w:p>
        </w:tc>
        <w:tc>
          <w:tcPr>
            <w:tcW w:w="1070" w:type="pct"/>
            <w:vMerge w:val="restart"/>
            <w:tcBorders>
              <w:top w:val="single" w:color="auto" w:sz="4" w:space="0"/>
              <w:left w:val="nil"/>
              <w:bottom w:val="single" w:color="auto" w:sz="4" w:space="0"/>
              <w:right w:val="single" w:color="auto" w:sz="4" w:space="0"/>
            </w:tcBorders>
            <w:vAlign w:val="center"/>
          </w:tcPr>
          <w:p>
            <w:pPr>
              <w:jc w:val="center"/>
              <w:rPr>
                <w:b/>
                <w:bCs/>
                <w:color w:val="000000"/>
                <w:kern w:val="0"/>
              </w:rPr>
            </w:pPr>
            <w:r>
              <w:rPr>
                <w:b/>
                <w:bCs/>
                <w:color w:val="000000"/>
                <w:kern w:val="0"/>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rPr>
            </w:pPr>
          </w:p>
        </w:tc>
        <w:tc>
          <w:tcPr>
            <w:tcW w:w="349" w:type="pct"/>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52" w:type="pct"/>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省</w:t>
            </w:r>
          </w:p>
        </w:tc>
        <w:tc>
          <w:tcPr>
            <w:tcW w:w="153" w:type="pct"/>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市</w:t>
            </w:r>
          </w:p>
        </w:tc>
        <w:tc>
          <w:tcPr>
            <w:tcW w:w="153" w:type="pct"/>
            <w:tcBorders>
              <w:top w:val="single" w:color="auto" w:sz="4" w:space="0"/>
              <w:left w:val="nil"/>
              <w:bottom w:val="single" w:color="auto" w:sz="4" w:space="0"/>
              <w:right w:val="single" w:color="auto" w:sz="4" w:space="0"/>
            </w:tcBorders>
            <w:vAlign w:val="center"/>
          </w:tcPr>
          <w:p>
            <w:pPr>
              <w:jc w:val="center"/>
              <w:rPr>
                <w:b/>
                <w:bCs/>
                <w:color w:val="000000"/>
              </w:rPr>
            </w:pPr>
            <w:r>
              <w:rPr>
                <w:b/>
                <w:bCs/>
                <w:color w:val="000000"/>
              </w:rPr>
              <w:t>县</w:t>
            </w:r>
          </w:p>
        </w:tc>
        <w:tc>
          <w:tcPr>
            <w:tcW w:w="360" w:type="pct"/>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11" w:type="pct"/>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329" w:type="pct"/>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455" w:type="pct"/>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171" w:type="pct"/>
            <w:gridSpan w:val="2"/>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c>
          <w:tcPr>
            <w:tcW w:w="1070" w:type="pct"/>
            <w:vMerge w:val="continue"/>
            <w:tcBorders>
              <w:top w:val="single" w:color="auto" w:sz="4" w:space="0"/>
              <w:left w:val="nil"/>
              <w:bottom w:val="single" w:color="auto" w:sz="4" w:space="0"/>
              <w:right w:val="single" w:color="auto" w:sz="4" w:space="0"/>
            </w:tcBorders>
            <w:vAlign w:val="center"/>
          </w:tcPr>
          <w:p>
            <w:pPr>
              <w:widowControl/>
              <w:jc w:val="left"/>
              <w:rPr>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7"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ZH43052230002</w:t>
            </w:r>
          </w:p>
        </w:tc>
        <w:tc>
          <w:tcPr>
            <w:tcW w:w="349"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坪上镇</w:t>
            </w:r>
          </w:p>
        </w:tc>
        <w:tc>
          <w:tcPr>
            <w:tcW w:w="152"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湖南省</w:t>
            </w:r>
          </w:p>
        </w:tc>
        <w:tc>
          <w:tcPr>
            <w:tcW w:w="153"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邵阳市</w:t>
            </w:r>
          </w:p>
        </w:tc>
        <w:tc>
          <w:tcPr>
            <w:tcW w:w="153"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新邵县</w:t>
            </w:r>
          </w:p>
        </w:tc>
        <w:tc>
          <w:tcPr>
            <w:tcW w:w="360"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一般管控单元</w:t>
            </w:r>
          </w:p>
        </w:tc>
        <w:tc>
          <w:tcPr>
            <w:tcW w:w="311" w:type="pct"/>
            <w:tcBorders>
              <w:top w:val="single" w:color="auto" w:sz="4" w:space="0"/>
              <w:left w:val="nil"/>
              <w:bottom w:val="single" w:color="auto" w:sz="4" w:space="0"/>
              <w:right w:val="single" w:color="auto" w:sz="4" w:space="0"/>
            </w:tcBorders>
            <w:vAlign w:val="center"/>
          </w:tcPr>
          <w:p>
            <w:pPr>
              <w:jc w:val="center"/>
            </w:pPr>
            <w:r>
              <w:t>227.04</w:t>
            </w:r>
          </w:p>
        </w:tc>
        <w:tc>
          <w:tcPr>
            <w:tcW w:w="329"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坪上镇</w:t>
            </w:r>
          </w:p>
        </w:tc>
        <w:tc>
          <w:tcPr>
            <w:tcW w:w="455" w:type="pct"/>
            <w:tcBorders>
              <w:top w:val="single" w:color="auto" w:sz="4" w:space="0"/>
              <w:left w:val="nil"/>
              <w:bottom w:val="single" w:color="auto" w:sz="4" w:space="0"/>
              <w:right w:val="single" w:color="auto" w:sz="4" w:space="0"/>
            </w:tcBorders>
            <w:vAlign w:val="center"/>
          </w:tcPr>
          <w:p>
            <w:pPr>
              <w:jc w:val="center"/>
              <w:rPr>
                <w:color w:val="000000"/>
              </w:rPr>
            </w:pPr>
            <w:r>
              <w:rPr>
                <w:color w:val="000000"/>
              </w:rPr>
              <w:t>城市化地区</w:t>
            </w:r>
          </w:p>
        </w:tc>
        <w:tc>
          <w:tcPr>
            <w:tcW w:w="1171" w:type="pct"/>
            <w:gridSpan w:val="2"/>
            <w:tcBorders>
              <w:top w:val="single" w:color="auto" w:sz="4" w:space="0"/>
              <w:left w:val="nil"/>
              <w:bottom w:val="single" w:color="auto" w:sz="4" w:space="0"/>
              <w:right w:val="single" w:color="auto" w:sz="4" w:space="0"/>
            </w:tcBorders>
            <w:vAlign w:val="center"/>
          </w:tcPr>
          <w:p>
            <w:r>
              <w:rPr>
                <w:rFonts w:ascii="宋体" w:hAnsi="宋体"/>
                <w:kern w:val="0"/>
              </w:rPr>
              <w:t>农业种植、畜禽养殖、农副产品加工、食品加工、旅游开发及旅游产品加工、机械加工制造、</w:t>
            </w:r>
            <w:r>
              <w:rPr>
                <w:rFonts w:hint="eastAsia" w:ascii="宋体" w:hAnsi="宋体"/>
                <w:kern w:val="0"/>
              </w:rPr>
              <w:t>竹制品加工、能源开发、建筑材料、</w:t>
            </w:r>
            <w:r>
              <w:rPr>
                <w:rFonts w:ascii="宋体" w:hAnsi="宋体"/>
                <w:kern w:val="0"/>
              </w:rPr>
              <w:t>其他轻工业。</w:t>
            </w:r>
          </w:p>
          <w:p>
            <w:pPr>
              <w:widowControl/>
              <w:jc w:val="center"/>
              <w:rPr>
                <w:strike/>
                <w:color w:val="000000"/>
                <w:kern w:val="0"/>
              </w:rPr>
            </w:pPr>
          </w:p>
        </w:tc>
        <w:tc>
          <w:tcPr>
            <w:tcW w:w="1070" w:type="pct"/>
            <w:tcBorders>
              <w:top w:val="single" w:color="auto" w:sz="4" w:space="0"/>
              <w:left w:val="nil"/>
              <w:bottom w:val="single" w:color="auto" w:sz="4" w:space="0"/>
              <w:right w:val="single" w:color="auto" w:sz="4" w:space="0"/>
            </w:tcBorders>
          </w:tcPr>
          <w:p>
            <w:pPr>
              <w:widowControl/>
              <w:rPr>
                <w:b/>
                <w:bCs/>
                <w:color w:val="000000"/>
                <w:kern w:val="0"/>
              </w:rPr>
            </w:pPr>
            <w:r>
              <w:rPr>
                <w:b/>
                <w:bCs/>
                <w:color w:val="000000"/>
                <w:kern w:val="0"/>
              </w:rPr>
              <w:t>主要环境问题：</w:t>
            </w:r>
          </w:p>
          <w:p>
            <w:pPr>
              <w:widowControl/>
              <w:rPr>
                <w:b/>
                <w:bCs/>
                <w:color w:val="000000"/>
                <w:kern w:val="0"/>
              </w:rPr>
            </w:pPr>
            <w:r>
              <w:rPr>
                <w:kern w:val="0"/>
              </w:rPr>
              <w:t>农村面源污染未完全得到有效治理、乡镇污水处理厂污水收集率偏低，大气环境颗粒物污染（野外用火、秸秆焚烧等）形势严峻。</w:t>
            </w:r>
          </w:p>
          <w:p>
            <w:pPr>
              <w:widowControl/>
              <w:rPr>
                <w:b/>
                <w:bCs/>
                <w:color w:val="000000"/>
                <w:kern w:val="0"/>
              </w:rPr>
            </w:pPr>
            <w:r>
              <w:rPr>
                <w:b/>
                <w:bCs/>
                <w:color w:val="000000"/>
                <w:kern w:val="0"/>
              </w:rPr>
              <w:t>重要敏感目标：</w:t>
            </w:r>
          </w:p>
          <w:p>
            <w:pPr>
              <w:widowControl/>
              <w:rPr>
                <w:b/>
                <w:bCs/>
                <w:color w:val="000000"/>
                <w:kern w:val="0"/>
              </w:rPr>
            </w:pPr>
            <w:r>
              <w:rPr>
                <w:kern w:val="0"/>
              </w:rPr>
              <w:t>涉及新邵县筱溪国家湿地公园，资水新邵段沙塘鳢黄尾鲴国家级水产种质资源保护区，冷水江饮用水源保护区。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rPr>
            </w:pPr>
            <w:r>
              <w:rPr>
                <w:b/>
                <w:bCs/>
                <w:color w:val="000000"/>
                <w:kern w:val="0"/>
              </w:rPr>
              <w:t>主要属性</w:t>
            </w:r>
          </w:p>
        </w:tc>
        <w:tc>
          <w:tcPr>
            <w:tcW w:w="4506" w:type="pct"/>
            <w:gridSpan w:val="11"/>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rPr>
                <w:b/>
                <w:bCs/>
              </w:rPr>
            </w:pPr>
            <w:r>
              <w:rPr>
                <w:b/>
                <w:bCs/>
              </w:rPr>
              <w:t>生态红线：</w:t>
            </w:r>
            <w:r>
              <w:t>红线/一般生态空间；三区三线生态红线\水源涵养重要区\风景名胜区\生物多样性保护功能重要区\水土流失敏感区\原生态红线\湿地公园\水土保持功能重要区\石漠化敏感区；</w:t>
            </w:r>
          </w:p>
          <w:p>
            <w:pPr>
              <w:spacing w:line="360" w:lineRule="exact"/>
              <w:ind w:firstLine="422" w:firstLineChars="200"/>
              <w:rPr>
                <w:b/>
                <w:bCs/>
                <w:color w:val="000000"/>
              </w:rPr>
            </w:pPr>
            <w:r>
              <w:rPr>
                <w:b/>
                <w:bCs/>
              </w:rPr>
              <w:t xml:space="preserve">环境质量底线： </w:t>
            </w:r>
            <w:r>
              <w:t>水环境优先保护区/水环境一般管控区；水产种质（国家级）、湿地公园、水源地（县级及以上）；资水新邵段沙塘鳢黄尾鲴国家级水产种质资源保护区、湖南新邵筱溪国家级湿地公园、娄底市冷水江市资江球溪饮用水水源保护区；大气环境优先保护区/大气环境高排放重点管控区/大气环境受体敏感重点管控区/大气环境弱扩散重点管控区；白水洞国家级风景名胜区/湖南新邵筱溪国家湿地公园；农用地优先保护区/农用地重点管控区/建设用地重点管控区/其他重点管控区/一般管控区；矿区/中高风险企业用地/重点行业企业重点区域；城市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rPr>
            </w:pPr>
            <w:r>
              <w:rPr>
                <w:b/>
                <w:bCs/>
                <w:color w:val="000000"/>
              </w:rPr>
              <w:t>管控维度</w:t>
            </w:r>
          </w:p>
        </w:tc>
        <w:tc>
          <w:tcPr>
            <w:tcW w:w="3360" w:type="pct"/>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rPr>
            </w:pPr>
            <w:r>
              <w:rPr>
                <w:b/>
                <w:bCs/>
                <w:color w:val="000000"/>
                <w:kern w:val="0"/>
              </w:rPr>
              <w:t>管控要求</w:t>
            </w:r>
          </w:p>
        </w:tc>
        <w:tc>
          <w:tcPr>
            <w:tcW w:w="114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rPr>
            </w:pPr>
            <w:r>
              <w:rPr>
                <w:b/>
                <w:bCs/>
                <w:color w:val="000000"/>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rPr>
                <w:color w:val="000000"/>
              </w:rPr>
              <w:t>空间布局约束</w:t>
            </w:r>
          </w:p>
        </w:tc>
        <w:tc>
          <w:tcPr>
            <w:tcW w:w="3360" w:type="pct"/>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pPr>
            <w:r>
              <w:t>（1.1）生态保护红线内，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w:t>
            </w:r>
          </w:p>
          <w:p>
            <w:pPr>
              <w:widowControl/>
              <w:spacing w:line="360" w:lineRule="exact"/>
              <w:jc w:val="left"/>
            </w:pPr>
            <w:r>
              <w:t>（1.2）严禁在资江、邵水岸线1公里等区域范围内新(改、扩)建尾矿库。</w:t>
            </w:r>
          </w:p>
          <w:p>
            <w:pPr>
              <w:widowControl/>
              <w:spacing w:line="360" w:lineRule="exact"/>
              <w:jc w:val="left"/>
            </w:pPr>
            <w:r>
              <w:t>（1.3）加强水产种质资源保护区管控，核实保护区范围。禁止新建排污口、禁止围湖造田。</w:t>
            </w:r>
          </w:p>
        </w:tc>
        <w:tc>
          <w:tcPr>
            <w:tcW w:w="1146" w:type="pct"/>
            <w:gridSpan w:val="2"/>
            <w:vMerge w:val="restart"/>
            <w:tcBorders>
              <w:top w:val="single" w:color="auto" w:sz="4" w:space="0"/>
              <w:left w:val="single" w:color="auto" w:sz="4" w:space="0"/>
              <w:bottom w:val="single" w:color="auto" w:sz="4" w:space="0"/>
              <w:right w:val="single" w:color="auto" w:sz="4" w:space="0"/>
            </w:tcBorders>
          </w:tcPr>
          <w:p>
            <w:pPr>
              <w:widowControl/>
              <w:spacing w:line="400" w:lineRule="exact"/>
              <w:jc w:val="left"/>
            </w:pPr>
            <w:r>
              <w:t>（1.1）（1.2）（2.1）（2.2.1）（2.2.2）（2.3.1）（2.3.2）（2.3.3）（2.3.4）（3.1.1）（3.1.2）（3.2）（3.3）（3.4）</w:t>
            </w:r>
            <w:r>
              <w:rPr>
                <w:lang w:val="zh-CN"/>
              </w:rPr>
              <w:t>（</w:t>
            </w:r>
            <w:r>
              <w:t>4.1.1</w:t>
            </w:r>
            <w:r>
              <w:rPr>
                <w:lang w:val="zh-CN"/>
              </w:rPr>
              <w:t>）</w:t>
            </w:r>
            <w:r>
              <w:t>（4.1.2）《新邵县“十四五”生态环境保护规划》（2021-2025）</w:t>
            </w:r>
          </w:p>
          <w:p>
            <w:pPr>
              <w:widowControl/>
              <w:spacing w:line="400" w:lineRule="exact"/>
              <w:jc w:val="left"/>
            </w:pPr>
            <w:r>
              <w:rPr>
                <w:rFonts w:hint="eastAsia"/>
                <w:lang w:eastAsia="zh-CN"/>
              </w:rPr>
              <w:t>（</w:t>
            </w:r>
            <w:r>
              <w:rPr>
                <w:rFonts w:hint="eastAsia"/>
                <w:lang w:val="en-US" w:eastAsia="zh-CN"/>
              </w:rPr>
              <w:t>1.3</w:t>
            </w:r>
            <w:r>
              <w:rPr>
                <w:rFonts w:hint="eastAsia"/>
                <w:lang w:eastAsia="zh-CN"/>
              </w:rPr>
              <w:t>）</w:t>
            </w:r>
            <w:r>
              <w:t>（4.3）《新邵县国土空间总体规划（2021-2035年）》</w:t>
            </w:r>
          </w:p>
          <w:p>
            <w:pPr>
              <w:widowControl/>
              <w:spacing w:line="360" w:lineRule="exact"/>
              <w:jc w:val="left"/>
            </w:pPr>
            <w: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rPr>
                <w:color w:val="000000"/>
              </w:rPr>
              <w:t>污染物排放管控</w:t>
            </w:r>
          </w:p>
        </w:tc>
        <w:tc>
          <w:tcPr>
            <w:tcW w:w="3360" w:type="pct"/>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lang w:val="zh-CN"/>
              </w:rPr>
            </w:pPr>
            <w:r>
              <w:t>（2.1）废水：实施农村生活污水治理规划，以环境敏感区周边村庄、乡镇政府驻地和中心村为重点梯次推进农村生活污水治理，推动城镇污水处理设施和服务向城镇近郊农村延伸。</w:t>
            </w:r>
          </w:p>
          <w:p>
            <w:pPr>
              <w:widowControl/>
              <w:spacing w:line="360" w:lineRule="exact"/>
              <w:jc w:val="left"/>
            </w:pPr>
            <w:r>
              <w:t>（2.2）废气：</w:t>
            </w:r>
          </w:p>
          <w:p>
            <w:pPr>
              <w:widowControl/>
              <w:spacing w:line="360" w:lineRule="exact"/>
              <w:jc w:val="left"/>
            </w:pPr>
            <w:r>
              <w:t>（2.2.1）按照“分业施策、一行一策”的原则，加大低 VOCs 含量原辅材料的推广使用力度，从源头减少 VOCs 产生。推进使用先进生产工艺设备，减少无组织排放。实行重点排放源排放浓度与去除效率双重控制。</w:t>
            </w:r>
          </w:p>
          <w:p>
            <w:pPr>
              <w:widowControl/>
              <w:spacing w:line="360" w:lineRule="exact"/>
              <w:jc w:val="left"/>
            </w:pPr>
            <w:r>
              <w:t>（2.2.2）加强扬尘污染治理。</w:t>
            </w:r>
          </w:p>
          <w:p>
            <w:pPr>
              <w:widowControl/>
              <w:spacing w:line="360" w:lineRule="exact"/>
              <w:jc w:val="left"/>
            </w:pPr>
            <w:r>
              <w:t>（2.3）固体废弃物：</w:t>
            </w:r>
          </w:p>
          <w:p>
            <w:pPr>
              <w:widowControl/>
              <w:spacing w:line="360" w:lineRule="exact"/>
              <w:jc w:val="left"/>
            </w:pPr>
            <w:r>
              <w:t>（2.3.1）</w:t>
            </w:r>
            <w:r>
              <w:rPr>
                <w:rFonts w:hint="eastAsia"/>
              </w:rPr>
              <w:t>持续</w:t>
            </w:r>
            <w:r>
              <w:t>推动塑料污染全链条治理。</w:t>
            </w:r>
          </w:p>
          <w:p>
            <w:pPr>
              <w:widowControl/>
              <w:spacing w:line="360" w:lineRule="exact"/>
              <w:jc w:val="left"/>
            </w:pPr>
            <w:r>
              <w:t>（2.3.2）实施生活垃圾分类制度，建设分类投放、分类收集、分类运输、分类处置的生活垃圾管理系统。</w:t>
            </w:r>
          </w:p>
          <w:p>
            <w:pPr>
              <w:widowControl/>
              <w:spacing w:line="360" w:lineRule="exact"/>
              <w:jc w:val="left"/>
            </w:pPr>
            <w:r>
              <w:t>（2.3.3）推动建筑垃圾资源化利用。</w:t>
            </w:r>
          </w:p>
          <w:p>
            <w:pPr>
              <w:widowControl/>
              <w:spacing w:line="360" w:lineRule="exact"/>
              <w:jc w:val="left"/>
              <w:rPr>
                <w:lang w:val="zh-CN"/>
              </w:rPr>
            </w:pPr>
            <w:r>
              <w:t>（2.3.4）推动农作物秸秆、畜禽粪污、林业废弃物、农产品加工副产品等农林废弃物的高效利用。</w:t>
            </w:r>
          </w:p>
        </w:tc>
        <w:tc>
          <w:tcPr>
            <w:tcW w:w="11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rPr>
                <w:color w:val="000000"/>
              </w:rPr>
              <w:t>环境风险防控</w:t>
            </w:r>
          </w:p>
        </w:tc>
        <w:tc>
          <w:tcPr>
            <w:tcW w:w="3360" w:type="pct"/>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pPr>
            <w:r>
              <w:t>（3.1）建设用地风险防控：</w:t>
            </w:r>
          </w:p>
          <w:p>
            <w:pPr>
              <w:widowControl/>
              <w:spacing w:line="360" w:lineRule="exact"/>
              <w:jc w:val="left"/>
            </w:pPr>
            <w:r>
              <w:t>（3.1.1）完善准入管理机制，严格污染地块用途管制，列入建设用地土壤污染风险管控和修复名录的地块，不得作为住宅、公共管理与公共服务用地。</w:t>
            </w:r>
          </w:p>
          <w:p>
            <w:pPr>
              <w:widowControl/>
              <w:spacing w:line="360" w:lineRule="exact"/>
              <w:jc w:val="left"/>
            </w:pPr>
            <w:r>
              <w:t>（3.1.</w:t>
            </w:r>
            <w:r>
              <w:rPr>
                <w:rFonts w:hint="eastAsia"/>
                <w:lang w:val="en-US" w:eastAsia="zh-CN"/>
              </w:rPr>
              <w:t>2</w:t>
            </w:r>
            <w:r>
              <w:t>）合理规划污染地块再开发利用时序，对涉及成片污染地块分期分批开发的要优化开发时序，原则上住宅、公共管理与公共服务等敏感类用地应后开发。</w:t>
            </w:r>
          </w:p>
          <w:p>
            <w:pPr>
              <w:widowControl/>
              <w:spacing w:line="360" w:lineRule="exact"/>
              <w:jc w:val="left"/>
            </w:pPr>
            <w:r>
              <w:t>（3.2）加大优先保护类耕地保护力度，确保面积不减少、环境质量不下降；在永久基本农田集中区域，不得规划新建可能造成土壤污染的建设项目。</w:t>
            </w:r>
          </w:p>
          <w:p>
            <w:pPr>
              <w:widowControl/>
              <w:spacing w:line="360" w:lineRule="exact"/>
              <w:jc w:val="left"/>
            </w:pPr>
            <w:r>
              <w:t>（3.3）对污染突出、环境敏感和管控难度较大的污染地块，避免作为高功能用地性质进行开发使用。</w:t>
            </w:r>
          </w:p>
          <w:p>
            <w:pPr>
              <w:widowControl/>
              <w:spacing w:line="360" w:lineRule="exact"/>
              <w:jc w:val="left"/>
            </w:pPr>
            <w:r>
              <w:t>（3.4）以饮用水水源地上游尾矿库为重点，建立健全尾矿库环境预警监测体系；鼓励开展尾矿资源化利用，严禁未经审批回采尾矿。加强尾矿库安全管理，最大限度降低溃坝等事故导致尾矿进入农田风险，因地制宜管控矿区环境风险。</w:t>
            </w:r>
          </w:p>
        </w:tc>
        <w:tc>
          <w:tcPr>
            <w:tcW w:w="11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rPr>
                <w:color w:val="000000"/>
              </w:rPr>
              <w:t>资源开发效率要求</w:t>
            </w:r>
          </w:p>
        </w:tc>
        <w:tc>
          <w:tcPr>
            <w:tcW w:w="3360" w:type="pct"/>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pPr>
            <w:r>
              <w:rPr>
                <w:lang w:val="zh-CN"/>
              </w:rPr>
              <w:t>（</w:t>
            </w:r>
            <w:r>
              <w:t>4.1</w:t>
            </w:r>
            <w:r>
              <w:rPr>
                <w:lang w:val="zh-CN"/>
              </w:rPr>
              <w:t>）</w:t>
            </w:r>
            <w:r>
              <w:t>能源：</w:t>
            </w:r>
          </w:p>
          <w:p>
            <w:pPr>
              <w:widowControl/>
              <w:spacing w:line="360" w:lineRule="exact"/>
              <w:jc w:val="left"/>
              <w:rPr>
                <w:lang w:val="zh-CN"/>
              </w:rPr>
            </w:pPr>
            <w:r>
              <w:rPr>
                <w:lang w:val="zh-CN"/>
              </w:rPr>
              <w:t>（</w:t>
            </w:r>
            <w:r>
              <w:t>4.1.1</w:t>
            </w:r>
            <w:r>
              <w:rPr>
                <w:lang w:val="zh-CN"/>
              </w:rPr>
              <w:t>）优化能源结构，构建清洁低碳、安全高效的现代能源体系，控制化石能源消费总量，合理控制煤炭消费总量，提升煤炭清洁化利用率，“十四五”期间煤炭消费基本达峰，形成以非石化能源为能源消费增量主体的能源结构。</w:t>
            </w:r>
          </w:p>
          <w:p>
            <w:pPr>
              <w:widowControl/>
              <w:spacing w:line="360" w:lineRule="exact"/>
              <w:jc w:val="left"/>
              <w:rPr>
                <w:lang w:val="zh-CN"/>
              </w:rPr>
            </w:pPr>
            <w:r>
              <w:rPr>
                <w:lang w:val="zh-CN"/>
              </w:rPr>
              <w:t>（</w:t>
            </w:r>
            <w:r>
              <w:t>4.1.2</w:t>
            </w:r>
            <w:r>
              <w:rPr>
                <w:lang w:val="zh-CN"/>
              </w:rPr>
              <w:t>）实施终端能源清洁化替代，加快工业、建筑、交通等领域电气化发展，推行清洁能源替代，逐步改善农村用能结构，提倡使用太阳能、石油液化气、电、沼气等清洁能源。</w:t>
            </w:r>
          </w:p>
          <w:p>
            <w:pPr>
              <w:widowControl/>
              <w:spacing w:line="360" w:lineRule="exact"/>
              <w:jc w:val="left"/>
            </w:pPr>
            <w:r>
              <w:t>（4.2）水资源：到2025年，新邵县用水总量控制在2.073亿立方米，万元地区生产总值用水量比2020年下降20.15%，万元工业增加值用水量比2020年下降18.15%，农田灌溉水有效利用系数0.563。</w:t>
            </w:r>
          </w:p>
          <w:p>
            <w:pPr>
              <w:widowControl/>
              <w:spacing w:line="360" w:lineRule="exact"/>
              <w:jc w:val="left"/>
            </w:pPr>
            <w:r>
              <w:t>（4.3）土地资源：到2035年，坪上镇耕地保有量不低于4.7万亩，永久基本农田面积不低于4.21万亩，生态保护红线面积不少于6207.69公顷，城镇开发边界规模不超过361.21公顷。</w:t>
            </w:r>
          </w:p>
        </w:tc>
        <w:tc>
          <w:tcPr>
            <w:tcW w:w="11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rPr>
            </w:pPr>
          </w:p>
        </w:tc>
      </w:tr>
    </w:tbl>
    <w:p>
      <w:r>
        <w:br w:type="page"/>
      </w:r>
    </w:p>
    <w:p>
      <w:pPr>
        <w:pStyle w:val="2"/>
        <w:rPr>
          <w:rFonts w:ascii="Times New Roman" w:hAnsi="Times New Roman" w:cs="Times New Roman"/>
        </w:rPr>
      </w:pPr>
      <w:bookmarkStart w:id="36" w:name="_Toc57836521"/>
      <w:bookmarkStart w:id="37" w:name="_Toc6992"/>
      <w:r>
        <w:rPr>
          <w:rFonts w:ascii="Times New Roman" w:hAnsi="Times New Roman" w:cs="Times New Roman"/>
        </w:rPr>
        <w:t>2-6邵阳县</w:t>
      </w:r>
      <w:bookmarkEnd w:id="36"/>
      <w:bookmarkEnd w:id="37"/>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00"/>
        <w:gridCol w:w="426"/>
        <w:gridCol w:w="423"/>
        <w:gridCol w:w="434"/>
        <w:gridCol w:w="813"/>
        <w:gridCol w:w="1083"/>
        <w:gridCol w:w="1579"/>
        <w:gridCol w:w="970"/>
        <w:gridCol w:w="2881"/>
        <w:gridCol w:w="81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Merge w:val="restart"/>
            <w:vAlign w:val="center"/>
          </w:tcPr>
          <w:p>
            <w:pPr>
              <w:widowControl/>
              <w:jc w:val="center"/>
              <w:rPr>
                <w:b/>
                <w:color w:val="000000"/>
                <w:kern w:val="0"/>
                <w:szCs w:val="21"/>
              </w:rPr>
            </w:pPr>
            <w:r>
              <w:rPr>
                <w:b/>
                <w:color w:val="000000"/>
                <w:kern w:val="0"/>
                <w:szCs w:val="21"/>
              </w:rPr>
              <w:t>环境管控单元编码</w:t>
            </w:r>
          </w:p>
        </w:tc>
        <w:tc>
          <w:tcPr>
            <w:tcW w:w="247" w:type="pct"/>
            <w:vMerge w:val="restart"/>
            <w:vAlign w:val="center"/>
          </w:tcPr>
          <w:p>
            <w:pPr>
              <w:widowControl/>
              <w:jc w:val="center"/>
              <w:rPr>
                <w:b/>
                <w:color w:val="000000"/>
                <w:kern w:val="0"/>
                <w:szCs w:val="21"/>
              </w:rPr>
            </w:pPr>
            <w:r>
              <w:rPr>
                <w:b/>
                <w:color w:val="000000"/>
                <w:kern w:val="0"/>
                <w:szCs w:val="21"/>
              </w:rPr>
              <w:t>单元名称</w:t>
            </w:r>
          </w:p>
        </w:tc>
        <w:tc>
          <w:tcPr>
            <w:tcW w:w="451" w:type="pct"/>
            <w:gridSpan w:val="3"/>
            <w:vAlign w:val="center"/>
          </w:tcPr>
          <w:p>
            <w:pPr>
              <w:widowControl/>
              <w:jc w:val="center"/>
              <w:rPr>
                <w:b/>
                <w:color w:val="000000"/>
                <w:kern w:val="0"/>
                <w:szCs w:val="21"/>
              </w:rPr>
            </w:pPr>
            <w:r>
              <w:rPr>
                <w:b/>
                <w:color w:val="000000"/>
                <w:kern w:val="0"/>
                <w:szCs w:val="21"/>
              </w:rPr>
              <w:t>行政区划</w:t>
            </w:r>
          </w:p>
        </w:tc>
        <w:tc>
          <w:tcPr>
            <w:tcW w:w="287" w:type="pct"/>
            <w:vMerge w:val="restart"/>
            <w:vAlign w:val="center"/>
          </w:tcPr>
          <w:p>
            <w:pPr>
              <w:widowControl/>
              <w:jc w:val="center"/>
              <w:rPr>
                <w:b/>
                <w:color w:val="000000"/>
                <w:kern w:val="0"/>
                <w:szCs w:val="21"/>
              </w:rPr>
            </w:pPr>
            <w:r>
              <w:rPr>
                <w:b/>
                <w:color w:val="000000"/>
                <w:kern w:val="0"/>
                <w:szCs w:val="21"/>
              </w:rPr>
              <w:t>单元分类</w:t>
            </w:r>
          </w:p>
        </w:tc>
        <w:tc>
          <w:tcPr>
            <w:tcW w:w="382"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557" w:type="pct"/>
            <w:vMerge w:val="restart"/>
            <w:vAlign w:val="center"/>
          </w:tcPr>
          <w:p>
            <w:pPr>
              <w:jc w:val="center"/>
              <w:rPr>
                <w:b/>
                <w:color w:val="000000"/>
                <w:kern w:val="0"/>
                <w:szCs w:val="21"/>
              </w:rPr>
            </w:pPr>
            <w:r>
              <w:rPr>
                <w:b/>
                <w:color w:val="000000"/>
                <w:kern w:val="0"/>
                <w:szCs w:val="21"/>
              </w:rPr>
              <w:t>涉及乡镇(街道)</w:t>
            </w:r>
          </w:p>
        </w:tc>
        <w:tc>
          <w:tcPr>
            <w:tcW w:w="342" w:type="pct"/>
            <w:vMerge w:val="restart"/>
            <w:vAlign w:val="center"/>
          </w:tcPr>
          <w:p>
            <w:pPr>
              <w:jc w:val="center"/>
              <w:rPr>
                <w:b/>
                <w:color w:val="000000"/>
                <w:kern w:val="0"/>
                <w:szCs w:val="21"/>
              </w:rPr>
            </w:pPr>
            <w:r>
              <w:rPr>
                <w:b/>
                <w:color w:val="000000"/>
                <w:kern w:val="0"/>
                <w:szCs w:val="21"/>
              </w:rPr>
              <w:t>主体功能定位</w:t>
            </w:r>
          </w:p>
        </w:tc>
        <w:tc>
          <w:tcPr>
            <w:tcW w:w="1304" w:type="pct"/>
            <w:gridSpan w:val="2"/>
            <w:vMerge w:val="restart"/>
            <w:vAlign w:val="center"/>
          </w:tcPr>
          <w:p>
            <w:pPr>
              <w:jc w:val="center"/>
              <w:rPr>
                <w:b/>
                <w:color w:val="000000"/>
                <w:kern w:val="0"/>
                <w:szCs w:val="21"/>
              </w:rPr>
            </w:pPr>
            <w:r>
              <w:rPr>
                <w:b/>
                <w:color w:val="000000"/>
                <w:kern w:val="0"/>
                <w:szCs w:val="21"/>
              </w:rPr>
              <w:t>①经济产业布局</w:t>
            </w:r>
          </w:p>
        </w:tc>
        <w:tc>
          <w:tcPr>
            <w:tcW w:w="820"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7" w:type="pct"/>
            <w:vMerge w:val="continue"/>
            <w:vAlign w:val="center"/>
          </w:tcPr>
          <w:p/>
        </w:tc>
        <w:tc>
          <w:tcPr>
            <w:tcW w:w="247" w:type="pct"/>
            <w:vMerge w:val="continue"/>
            <w:vAlign w:val="center"/>
          </w:tcPr>
          <w:p/>
        </w:tc>
        <w:tc>
          <w:tcPr>
            <w:tcW w:w="149" w:type="pct"/>
            <w:vAlign w:val="center"/>
          </w:tcPr>
          <w:p>
            <w:pPr>
              <w:jc w:val="center"/>
              <w:rPr>
                <w:b/>
                <w:color w:val="000000"/>
                <w:szCs w:val="21"/>
              </w:rPr>
            </w:pPr>
            <w:r>
              <w:rPr>
                <w:b/>
                <w:color w:val="000000"/>
                <w:szCs w:val="21"/>
              </w:rPr>
              <w:t>省</w:t>
            </w:r>
          </w:p>
        </w:tc>
        <w:tc>
          <w:tcPr>
            <w:tcW w:w="148" w:type="pct"/>
            <w:vAlign w:val="center"/>
          </w:tcPr>
          <w:p>
            <w:pPr>
              <w:jc w:val="center"/>
              <w:rPr>
                <w:b/>
                <w:color w:val="000000"/>
                <w:szCs w:val="21"/>
              </w:rPr>
            </w:pPr>
            <w:r>
              <w:rPr>
                <w:b/>
                <w:color w:val="000000"/>
                <w:szCs w:val="21"/>
              </w:rPr>
              <w:t>市</w:t>
            </w:r>
          </w:p>
        </w:tc>
        <w:tc>
          <w:tcPr>
            <w:tcW w:w="153" w:type="pct"/>
            <w:vAlign w:val="center"/>
          </w:tcPr>
          <w:p>
            <w:pPr>
              <w:jc w:val="center"/>
              <w:rPr>
                <w:b/>
                <w:color w:val="000000"/>
                <w:szCs w:val="21"/>
              </w:rPr>
            </w:pPr>
            <w:r>
              <w:rPr>
                <w:b/>
                <w:color w:val="000000"/>
                <w:szCs w:val="21"/>
              </w:rPr>
              <w:t>县</w:t>
            </w:r>
          </w:p>
        </w:tc>
        <w:tc>
          <w:tcPr>
            <w:tcW w:w="287" w:type="pct"/>
            <w:vMerge w:val="continue"/>
            <w:vAlign w:val="center"/>
          </w:tcPr>
          <w:p/>
        </w:tc>
        <w:tc>
          <w:tcPr>
            <w:tcW w:w="382" w:type="pct"/>
            <w:vMerge w:val="continue"/>
            <w:vAlign w:val="center"/>
          </w:tcPr>
          <w:p/>
        </w:tc>
        <w:tc>
          <w:tcPr>
            <w:tcW w:w="557" w:type="pct"/>
            <w:vMerge w:val="continue"/>
            <w:vAlign w:val="center"/>
          </w:tcPr>
          <w:p/>
        </w:tc>
        <w:tc>
          <w:tcPr>
            <w:tcW w:w="342" w:type="pct"/>
            <w:vMerge w:val="continue"/>
            <w:vAlign w:val="center"/>
          </w:tcPr>
          <w:p/>
        </w:tc>
        <w:tc>
          <w:tcPr>
            <w:tcW w:w="1304" w:type="pct"/>
            <w:gridSpan w:val="2"/>
            <w:vMerge w:val="continue"/>
            <w:vAlign w:val="center"/>
          </w:tcPr>
          <w:p/>
        </w:tc>
        <w:tc>
          <w:tcPr>
            <w:tcW w:w="820"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jc w:val="center"/>
              <w:rPr>
                <w:color w:val="000000"/>
                <w:szCs w:val="21"/>
              </w:rPr>
            </w:pPr>
            <w:r>
              <w:rPr>
                <w:color w:val="000000"/>
                <w:szCs w:val="21"/>
              </w:rPr>
              <w:t>ZH43052310001</w:t>
            </w:r>
          </w:p>
        </w:tc>
        <w:tc>
          <w:tcPr>
            <w:tcW w:w="247" w:type="pct"/>
            <w:vAlign w:val="center"/>
          </w:tcPr>
          <w:p>
            <w:pPr>
              <w:jc w:val="center"/>
              <w:rPr>
                <w:color w:val="000000"/>
                <w:szCs w:val="21"/>
              </w:rPr>
            </w:pPr>
            <w:r>
              <w:rPr>
                <w:color w:val="000000"/>
                <w:szCs w:val="21"/>
              </w:rPr>
              <w:t>河伯乡</w:t>
            </w:r>
          </w:p>
        </w:tc>
        <w:tc>
          <w:tcPr>
            <w:tcW w:w="149" w:type="pct"/>
            <w:vAlign w:val="center"/>
          </w:tcPr>
          <w:p>
            <w:pPr>
              <w:jc w:val="center"/>
              <w:rPr>
                <w:color w:val="000000"/>
                <w:szCs w:val="21"/>
              </w:rPr>
            </w:pPr>
            <w:r>
              <w:rPr>
                <w:color w:val="000000"/>
                <w:szCs w:val="21"/>
              </w:rPr>
              <w:t>湖南省</w:t>
            </w:r>
          </w:p>
        </w:tc>
        <w:tc>
          <w:tcPr>
            <w:tcW w:w="148" w:type="pct"/>
            <w:vAlign w:val="center"/>
          </w:tcPr>
          <w:p>
            <w:pPr>
              <w:jc w:val="center"/>
              <w:rPr>
                <w:color w:val="000000"/>
                <w:szCs w:val="21"/>
              </w:rPr>
            </w:pPr>
            <w:r>
              <w:rPr>
                <w:color w:val="000000"/>
                <w:szCs w:val="21"/>
              </w:rPr>
              <w:t>邵阳市</w:t>
            </w:r>
          </w:p>
        </w:tc>
        <w:tc>
          <w:tcPr>
            <w:tcW w:w="153" w:type="pct"/>
            <w:vAlign w:val="center"/>
          </w:tcPr>
          <w:p>
            <w:pPr>
              <w:jc w:val="center"/>
              <w:rPr>
                <w:color w:val="000000"/>
                <w:szCs w:val="21"/>
              </w:rPr>
            </w:pPr>
            <w:r>
              <w:rPr>
                <w:color w:val="000000"/>
                <w:szCs w:val="21"/>
              </w:rPr>
              <w:t>邵阳县</w:t>
            </w:r>
          </w:p>
        </w:tc>
        <w:tc>
          <w:tcPr>
            <w:tcW w:w="287" w:type="pct"/>
            <w:vAlign w:val="center"/>
          </w:tcPr>
          <w:p>
            <w:pPr>
              <w:jc w:val="center"/>
              <w:rPr>
                <w:color w:val="000000"/>
                <w:szCs w:val="21"/>
              </w:rPr>
            </w:pPr>
            <w:r>
              <w:rPr>
                <w:color w:val="000000"/>
                <w:szCs w:val="21"/>
              </w:rPr>
              <w:t>优先保护单元</w:t>
            </w:r>
          </w:p>
        </w:tc>
        <w:tc>
          <w:tcPr>
            <w:tcW w:w="382" w:type="pct"/>
            <w:vAlign w:val="center"/>
          </w:tcPr>
          <w:p>
            <w:pPr>
              <w:pStyle w:val="3"/>
              <w:ind w:firstLine="210" w:firstLineChars="100"/>
              <w:jc w:val="left"/>
            </w:pPr>
            <w:r>
              <w:rPr>
                <w:color w:val="000000"/>
                <w:szCs w:val="21"/>
              </w:rPr>
              <w:t>139.56</w:t>
            </w:r>
          </w:p>
        </w:tc>
        <w:tc>
          <w:tcPr>
            <w:tcW w:w="557" w:type="pct"/>
            <w:vAlign w:val="center"/>
          </w:tcPr>
          <w:p>
            <w:pPr>
              <w:jc w:val="center"/>
              <w:rPr>
                <w:color w:val="000000"/>
                <w:szCs w:val="21"/>
              </w:rPr>
            </w:pPr>
            <w:r>
              <w:rPr>
                <w:color w:val="000000"/>
                <w:szCs w:val="21"/>
              </w:rPr>
              <w:t>河伯乡</w:t>
            </w:r>
          </w:p>
        </w:tc>
        <w:tc>
          <w:tcPr>
            <w:tcW w:w="342" w:type="pct"/>
            <w:vAlign w:val="center"/>
          </w:tcPr>
          <w:p>
            <w:pPr>
              <w:pStyle w:val="3"/>
            </w:pPr>
            <w:r>
              <w:rPr>
                <w:color w:val="000000"/>
                <w:szCs w:val="21"/>
              </w:rPr>
              <w:t>重点生态功能区/历史文化资源富集区</w:t>
            </w:r>
          </w:p>
        </w:tc>
        <w:tc>
          <w:tcPr>
            <w:tcW w:w="1304" w:type="pct"/>
            <w:gridSpan w:val="2"/>
            <w:vAlign w:val="center"/>
          </w:tcPr>
          <w:p>
            <w:pPr>
              <w:widowControl/>
              <w:rPr>
                <w:color w:val="000000"/>
                <w:kern w:val="0"/>
                <w:szCs w:val="21"/>
              </w:rPr>
            </w:pPr>
            <w:r>
              <w:rPr>
                <w:color w:val="000000"/>
                <w:kern w:val="0"/>
                <w:szCs w:val="21"/>
              </w:rPr>
              <w:t>畜禽养殖、</w:t>
            </w:r>
            <w:r>
              <w:rPr>
                <w:color w:val="000000" w:themeColor="text1"/>
                <w:kern w:val="0"/>
                <w:szCs w:val="21"/>
                <w14:textFill>
                  <w14:solidFill>
                    <w14:schemeClr w14:val="tx1"/>
                  </w14:solidFill>
                </w14:textFill>
              </w:rPr>
              <w:t>矿产开采、</w:t>
            </w:r>
            <w:r>
              <w:rPr>
                <w:color w:val="000000"/>
                <w:kern w:val="0"/>
                <w:szCs w:val="21"/>
              </w:rPr>
              <w:t>旅游、农业种植。</w:t>
            </w:r>
          </w:p>
        </w:tc>
        <w:tc>
          <w:tcPr>
            <w:tcW w:w="820" w:type="pct"/>
            <w:vAlign w:val="center"/>
          </w:tcPr>
          <w:p>
            <w:pPr>
              <w:widowControl/>
              <w:rPr>
                <w:color w:val="000000"/>
                <w:kern w:val="0"/>
                <w:szCs w:val="21"/>
              </w:rPr>
            </w:pPr>
            <w:r>
              <w:rPr>
                <w:b/>
                <w:color w:val="000000"/>
                <w:kern w:val="0"/>
                <w:szCs w:val="21"/>
              </w:rPr>
              <w:t>主要环境问题：</w:t>
            </w:r>
          </w:p>
          <w:p>
            <w:pPr>
              <w:widowControl/>
              <w:rPr>
                <w:kern w:val="0"/>
                <w:szCs w:val="21"/>
              </w:rPr>
            </w:pPr>
            <w:r>
              <w:rPr>
                <w:color w:val="000000"/>
                <w:kern w:val="0"/>
                <w:szCs w:val="21"/>
              </w:rPr>
              <w:t>未建设集镇污水处理厂，部分</w:t>
            </w:r>
            <w:r>
              <w:rPr>
                <w:color w:val="000000" w:themeColor="text1"/>
                <w:kern w:val="0"/>
                <w:szCs w:val="21"/>
                <w14:textFill>
                  <w14:solidFill>
                    <w14:schemeClr w14:val="tx1"/>
                  </w14:solidFill>
                </w14:textFill>
              </w:rPr>
              <w:t>生</w:t>
            </w:r>
            <w:r>
              <w:rPr>
                <w:kern w:val="0"/>
                <w:szCs w:val="21"/>
              </w:rPr>
              <w:t>活污水管网未完善；生活垃圾收集处理不规范。</w:t>
            </w:r>
          </w:p>
          <w:p>
            <w:pPr>
              <w:pStyle w:val="9"/>
              <w:ind w:left="0" w:leftChars="0" w:firstLine="0" w:firstLineChars="0"/>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widowControl/>
              <w:spacing w:line="400" w:lineRule="exact"/>
              <w:jc w:val="center"/>
              <w:rPr>
                <w:b/>
                <w:color w:val="000000"/>
                <w:kern w:val="0"/>
                <w:szCs w:val="21"/>
              </w:rPr>
            </w:pPr>
            <w:r>
              <w:rPr>
                <w:b/>
                <w:color w:val="000000"/>
                <w:kern w:val="0"/>
                <w:szCs w:val="21"/>
              </w:rPr>
              <w:t>主要属性</w:t>
            </w:r>
          </w:p>
        </w:tc>
        <w:tc>
          <w:tcPr>
            <w:tcW w:w="4392" w:type="pct"/>
            <w:gridSpan w:val="11"/>
            <w:vAlign w:val="center"/>
          </w:tcPr>
          <w:p>
            <w:pPr>
              <w:pStyle w:val="3"/>
              <w:spacing w:line="400" w:lineRule="exact"/>
              <w:rPr>
                <w:b/>
                <w:bCs/>
                <w:color w:val="000000"/>
                <w:sz w:val="22"/>
              </w:rPr>
            </w:pPr>
            <w:r>
              <w:rPr>
                <w:b/>
                <w:bCs/>
                <w:color w:val="000000"/>
                <w:sz w:val="22"/>
              </w:rPr>
              <w:t>河伯乡：</w:t>
            </w:r>
          </w:p>
          <w:p>
            <w:pPr>
              <w:pStyle w:val="3"/>
              <w:spacing w:line="400" w:lineRule="exact"/>
              <w:ind w:firstLine="442" w:firstLineChars="200"/>
              <w:rPr>
                <w:color w:val="000000"/>
                <w:szCs w:val="21"/>
              </w:rPr>
            </w:pPr>
            <w:r>
              <w:rPr>
                <w:b/>
                <w:bCs/>
                <w:color w:val="000000"/>
                <w:sz w:val="22"/>
              </w:rPr>
              <w:t>生态红线：</w:t>
            </w:r>
            <w:r>
              <w:rPr>
                <w:color w:val="000000"/>
                <w:szCs w:val="21"/>
              </w:rPr>
              <w:t>红线/一般生态空间；森林公园\三区三线生态红线\水源涵养重要区\石漠公园\水土流失敏感区\原生态红线\生物多样性保护功能重要区；</w:t>
            </w:r>
          </w:p>
          <w:p>
            <w:pPr>
              <w:pStyle w:val="3"/>
              <w:spacing w:line="400" w:lineRule="exact"/>
              <w:ind w:firstLine="422" w:firstLineChars="200"/>
            </w:pPr>
            <w:r>
              <w:rPr>
                <w:b/>
                <w:bCs/>
                <w:color w:val="000000"/>
                <w:szCs w:val="21"/>
              </w:rPr>
              <w:t>环境质量底线：</w:t>
            </w:r>
            <w:r>
              <w:rPr>
                <w:color w:val="000000"/>
                <w:szCs w:val="21"/>
              </w:rPr>
              <w:t>水环境一般管控区；大气环境优先保护区；农用地优先保护区/其他重点管控区/一般管控区；矿区；重点生态功能区/历史文化资源富集区/湖南河伯岭森林公园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widowControl/>
              <w:spacing w:line="400" w:lineRule="exact"/>
              <w:jc w:val="center"/>
              <w:rPr>
                <w:b/>
                <w:color w:val="000000"/>
                <w:szCs w:val="21"/>
              </w:rPr>
            </w:pPr>
            <w:r>
              <w:rPr>
                <w:b/>
                <w:color w:val="000000"/>
                <w:szCs w:val="21"/>
              </w:rPr>
              <w:t>管控维度</w:t>
            </w:r>
          </w:p>
        </w:tc>
        <w:tc>
          <w:tcPr>
            <w:tcW w:w="3283" w:type="pct"/>
            <w:gridSpan w:val="9"/>
            <w:vAlign w:val="center"/>
          </w:tcPr>
          <w:p>
            <w:pPr>
              <w:spacing w:line="400" w:lineRule="exact"/>
              <w:jc w:val="center"/>
              <w:rPr>
                <w:b/>
                <w:color w:val="000000"/>
                <w:szCs w:val="21"/>
              </w:rPr>
            </w:pPr>
            <w:r>
              <w:rPr>
                <w:b/>
                <w:color w:val="000000"/>
                <w:kern w:val="0"/>
                <w:szCs w:val="21"/>
              </w:rPr>
              <w:t>管控要求</w:t>
            </w:r>
          </w:p>
        </w:tc>
        <w:tc>
          <w:tcPr>
            <w:tcW w:w="1108"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pct"/>
            <w:vAlign w:val="center"/>
          </w:tcPr>
          <w:p>
            <w:pPr>
              <w:widowControl/>
              <w:spacing w:line="400" w:lineRule="exact"/>
              <w:jc w:val="center"/>
              <w:rPr>
                <w:color w:val="000000"/>
                <w:szCs w:val="21"/>
              </w:rPr>
            </w:pPr>
            <w:r>
              <w:rPr>
                <w:color w:val="000000"/>
                <w:szCs w:val="21"/>
              </w:rPr>
              <w:t>空间布局约束</w:t>
            </w:r>
          </w:p>
        </w:tc>
        <w:tc>
          <w:tcPr>
            <w:tcW w:w="3283" w:type="pct"/>
            <w:gridSpan w:val="9"/>
            <w:vAlign w:val="center"/>
          </w:tcPr>
          <w:p>
            <w:pPr>
              <w:tabs>
                <w:tab w:val="left" w:pos="1021"/>
              </w:tabs>
              <w:spacing w:line="400" w:lineRule="exact"/>
              <w:rPr>
                <w:color w:val="000000"/>
                <w:szCs w:val="21"/>
              </w:rPr>
            </w:pPr>
            <w:r>
              <w:rPr>
                <w:color w:val="000000"/>
                <w:szCs w:val="21"/>
              </w:rPr>
              <w:t>（1.1）禁止在居民住宅楼等非商用建筑、未设立配套规划专用烟道的商住综合楼、以及商住综合楼内与居住层相邻的楼层新建、改建、扩建排放油烟的饮食服务项目。</w:t>
            </w:r>
          </w:p>
          <w:p>
            <w:pPr>
              <w:tabs>
                <w:tab w:val="left" w:pos="1021"/>
              </w:tabs>
              <w:spacing w:line="400" w:lineRule="exact"/>
              <w:rPr>
                <w:color w:val="000000"/>
                <w:szCs w:val="21"/>
              </w:rPr>
            </w:pPr>
            <w:r>
              <w:rPr>
                <w:color w:val="000000"/>
                <w:szCs w:val="21"/>
              </w:rPr>
              <w:t>（1.2）严禁水资源超载地区新建扩建高耗水项目，推动依法依规淘汰落后产能。</w:t>
            </w:r>
          </w:p>
          <w:p>
            <w:pPr>
              <w:tabs>
                <w:tab w:val="left" w:pos="1021"/>
              </w:tabs>
              <w:spacing w:line="400" w:lineRule="exact"/>
              <w:rPr>
                <w:color w:val="000000"/>
                <w:szCs w:val="21"/>
              </w:rPr>
            </w:pPr>
            <w:r>
              <w:rPr>
                <w:color w:val="000000"/>
                <w:szCs w:val="21"/>
              </w:rPr>
              <w:t>（1.3）深化“厕所革命”，推进粪污废水资源化利用，加快农村户用厕所改造和公共厕所建设。</w:t>
            </w:r>
          </w:p>
          <w:p>
            <w:pPr>
              <w:tabs>
                <w:tab w:val="left" w:pos="1021"/>
              </w:tabs>
              <w:spacing w:line="400" w:lineRule="exact"/>
              <w:rPr>
                <w:color w:val="000000"/>
                <w:szCs w:val="21"/>
              </w:rPr>
            </w:pPr>
            <w:r>
              <w:rPr>
                <w:color w:val="000000"/>
                <w:szCs w:val="21"/>
              </w:rPr>
              <w:t>（1.4）加强畜禽养殖污染防治，推进养殖业禁养区、限养区、适养区分区管理，逐步退出禁养区养殖小区(场)，限制限养区养殖规模，建设污染防治设施和综合治理设施，开展有机肥、沼气等养殖业循环经济模式示范。</w:t>
            </w:r>
          </w:p>
        </w:tc>
        <w:tc>
          <w:tcPr>
            <w:tcW w:w="1108" w:type="pct"/>
            <w:gridSpan w:val="2"/>
            <w:vMerge w:val="restart"/>
            <w:vAlign w:val="top"/>
          </w:tcPr>
          <w:p>
            <w:pPr>
              <w:pStyle w:val="3"/>
              <w:spacing w:line="400" w:lineRule="exact"/>
              <w:rPr>
                <w:color w:val="000000"/>
                <w:szCs w:val="21"/>
              </w:rPr>
            </w:pPr>
            <w:r>
              <w:rPr>
                <w:color w:val="000000"/>
                <w:szCs w:val="21"/>
              </w:rPr>
              <w:t>（1.1）（1.3）（2.1.1）（2.1.2）（2.2.1）（2.2.2）（2.3.1）（2.3.2）（3.1）（4.1.2）《邵阳县“十四五”生态环境保护规划》</w:t>
            </w:r>
          </w:p>
          <w:p>
            <w:pPr>
              <w:pStyle w:val="3"/>
              <w:spacing w:line="400" w:lineRule="exact"/>
              <w:rPr>
                <w:color w:val="000000"/>
                <w:szCs w:val="21"/>
              </w:rPr>
            </w:pPr>
            <w:r>
              <w:rPr>
                <w:color w:val="000000"/>
                <w:szCs w:val="21"/>
              </w:rPr>
              <w:t>（1.2）《邵阳县“十四五”节水型社会建设规划》</w:t>
            </w:r>
          </w:p>
          <w:p>
            <w:pPr>
              <w:pStyle w:val="3"/>
              <w:spacing w:line="400" w:lineRule="exact"/>
              <w:rPr>
                <w:color w:val="000000"/>
                <w:szCs w:val="21"/>
              </w:rPr>
            </w:pPr>
            <w:r>
              <w:rPr>
                <w:color w:val="000000"/>
                <w:szCs w:val="21"/>
              </w:rPr>
              <w:t>（1.4）（4.3.1）《邵阳县国民经济和社会发展第十四个五年(2021</w:t>
            </w:r>
            <w:r>
              <w:rPr>
                <w:rFonts w:hint="eastAsia"/>
                <w:color w:val="000000"/>
                <w:szCs w:val="21"/>
              </w:rPr>
              <w:t>—</w:t>
            </w:r>
            <w:r>
              <w:rPr>
                <w:color w:val="000000"/>
                <w:szCs w:val="21"/>
              </w:rPr>
              <w:t>2025年)规划纲要草案》</w:t>
            </w:r>
          </w:p>
          <w:p>
            <w:pPr>
              <w:pStyle w:val="3"/>
              <w:spacing w:line="400" w:lineRule="exact"/>
              <w:rPr>
                <w:color w:val="000000"/>
                <w:szCs w:val="21"/>
              </w:rPr>
            </w:pPr>
            <w:r>
              <w:rPr>
                <w:color w:val="000000"/>
                <w:szCs w:val="21"/>
              </w:rPr>
              <w:t>（4.1.1）</w:t>
            </w:r>
            <w:bookmarkStart w:id="38" w:name="_Toc3449"/>
            <w:bookmarkStart w:id="39" w:name="_Toc18005"/>
            <w:bookmarkStart w:id="40" w:name="_Toc16703"/>
            <w:r>
              <w:rPr>
                <w:color w:val="000000"/>
                <w:szCs w:val="21"/>
              </w:rPr>
              <w:t>《邵阳县“十四五”能源发展规划</w:t>
            </w:r>
            <w:bookmarkEnd w:id="38"/>
            <w:bookmarkEnd w:id="39"/>
            <w:bookmarkEnd w:id="40"/>
            <w:r>
              <w:rPr>
                <w:color w:val="000000"/>
                <w:szCs w:val="21"/>
              </w:rPr>
              <w:t>（2021—2025）》</w:t>
            </w:r>
          </w:p>
          <w:p>
            <w:pPr>
              <w:pStyle w:val="3"/>
              <w:spacing w:line="400" w:lineRule="exact"/>
            </w:pPr>
            <w:r>
              <w:rPr>
                <w:color w:val="000000"/>
                <w:szCs w:val="21"/>
              </w:rPr>
              <w:t>（4.2.1）《邵阳市“十四五”用水总量和强度双控目标》</w:t>
            </w:r>
          </w:p>
          <w:p>
            <w:pPr>
              <w:pStyle w:val="3"/>
              <w:spacing w:line="400" w:lineRule="exact"/>
              <w:rPr>
                <w:strike/>
                <w:color w:val="000000"/>
                <w:szCs w:val="21"/>
              </w:rPr>
            </w:pPr>
            <w:r>
              <w:rPr>
                <w:color w:val="000000"/>
                <w:szCs w:val="21"/>
              </w:rPr>
              <w:t>（4.3.2）《邵阳县国土空间总体规划》(2021</w:t>
            </w:r>
            <w:r>
              <w:rPr>
                <w:rFonts w:hint="eastAsia"/>
                <w:color w:val="000000"/>
                <w:szCs w:val="21"/>
              </w:rPr>
              <w:t>—</w:t>
            </w:r>
            <w:r>
              <w:rPr>
                <w:color w:val="000000"/>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widowControl/>
              <w:spacing w:line="400" w:lineRule="exact"/>
              <w:jc w:val="center"/>
              <w:rPr>
                <w:color w:val="000000"/>
                <w:szCs w:val="21"/>
              </w:rPr>
            </w:pPr>
            <w:r>
              <w:rPr>
                <w:color w:val="000000"/>
                <w:szCs w:val="21"/>
              </w:rPr>
              <w:t>污染物排放管控</w:t>
            </w:r>
          </w:p>
        </w:tc>
        <w:tc>
          <w:tcPr>
            <w:tcW w:w="3283" w:type="pct"/>
            <w:gridSpan w:val="9"/>
            <w:vAlign w:val="center"/>
          </w:tcPr>
          <w:p>
            <w:pPr>
              <w:pStyle w:val="5"/>
              <w:snapToGrid/>
              <w:spacing w:line="400" w:lineRule="exact"/>
              <w:jc w:val="both"/>
              <w:rPr>
                <w:color w:val="000000"/>
                <w:sz w:val="21"/>
                <w:szCs w:val="21"/>
              </w:rPr>
            </w:pPr>
            <w:r>
              <w:rPr>
                <w:color w:val="000000"/>
                <w:sz w:val="21"/>
                <w:szCs w:val="21"/>
              </w:rPr>
              <w:t>（2.1）废水：</w:t>
            </w:r>
          </w:p>
          <w:p>
            <w:pPr>
              <w:pStyle w:val="5"/>
              <w:snapToGrid/>
              <w:spacing w:line="400" w:lineRule="exact"/>
              <w:ind w:firstLine="420" w:firstLineChars="200"/>
              <w:jc w:val="both"/>
              <w:rPr>
                <w:color w:val="000000"/>
                <w:sz w:val="21"/>
                <w:szCs w:val="21"/>
              </w:rPr>
            </w:pPr>
            <w:r>
              <w:rPr>
                <w:color w:val="000000"/>
                <w:sz w:val="21"/>
                <w:szCs w:val="21"/>
              </w:rPr>
              <w:t>（2.1.1）加快建制镇污水处理设施配套雨污分离、清污分离和截污管网的建设。</w:t>
            </w:r>
          </w:p>
          <w:p>
            <w:pPr>
              <w:pStyle w:val="5"/>
              <w:snapToGrid/>
              <w:spacing w:line="400" w:lineRule="exact"/>
              <w:ind w:firstLine="420" w:firstLineChars="200"/>
              <w:jc w:val="both"/>
              <w:rPr>
                <w:color w:val="000000"/>
                <w:sz w:val="21"/>
                <w:szCs w:val="21"/>
              </w:rPr>
            </w:pPr>
            <w:r>
              <w:rPr>
                <w:color w:val="000000"/>
                <w:sz w:val="21"/>
                <w:szCs w:val="21"/>
              </w:rPr>
              <w:t>(2.1.2</w:t>
            </w:r>
            <w:r>
              <w:rPr>
                <w:rFonts w:hint="eastAsia"/>
                <w:color w:val="000000"/>
                <w:sz w:val="21"/>
                <w:szCs w:val="21"/>
              </w:rPr>
              <w:t>)</w:t>
            </w:r>
            <w:r>
              <w:rPr>
                <w:color w:val="000000"/>
                <w:sz w:val="21"/>
                <w:szCs w:val="21"/>
              </w:rPr>
              <w:t>推进农村生活污水治理。</w:t>
            </w:r>
          </w:p>
          <w:p>
            <w:pPr>
              <w:pStyle w:val="5"/>
              <w:snapToGrid/>
              <w:spacing w:line="400" w:lineRule="exact"/>
              <w:rPr>
                <w:color w:val="000000"/>
                <w:sz w:val="21"/>
                <w:szCs w:val="21"/>
              </w:rPr>
            </w:pPr>
            <w:r>
              <w:rPr>
                <w:color w:val="000000"/>
                <w:sz w:val="21"/>
                <w:szCs w:val="21"/>
              </w:rPr>
              <w:t>（2.2）废气：</w:t>
            </w:r>
          </w:p>
          <w:p>
            <w:pPr>
              <w:pStyle w:val="5"/>
              <w:snapToGrid/>
              <w:spacing w:line="400" w:lineRule="exact"/>
              <w:ind w:firstLine="420" w:firstLineChars="200"/>
              <w:rPr>
                <w:color w:val="000000"/>
                <w:sz w:val="21"/>
                <w:szCs w:val="21"/>
              </w:rPr>
            </w:pPr>
            <w:r>
              <w:rPr>
                <w:color w:val="000000"/>
                <w:sz w:val="21"/>
                <w:szCs w:val="21"/>
              </w:rPr>
              <w:t>(2.2.1)严格落实工地扬尘防控8个100%（工地周边100%围挡、方开挖及拆迁作业100%湿作业、场区道路100%硬化、各类物料堆放100%覆盖、</w:t>
            </w:r>
            <w:r>
              <w:fldChar w:fldCharType="begin"/>
            </w:r>
            <w:r>
              <w:instrText xml:space="preserve"> HYPERLINK "https://www.zhihu.com/search?q=%E6%B8%A3%E5%9C%9F&amp;search_source=Entity&amp;hybrid_search_source=Entity&amp;hybrid_search_extra=%7b" \t "https://zhuanlan.zhihu.com/p/_blank" </w:instrText>
            </w:r>
            <w:r>
              <w:fldChar w:fldCharType="separate"/>
            </w:r>
            <w:r>
              <w:rPr>
                <w:color w:val="000000"/>
                <w:sz w:val="21"/>
                <w:szCs w:val="21"/>
              </w:rPr>
              <w:t>渣土</w:t>
            </w:r>
            <w:r>
              <w:rPr>
                <w:color w:val="000000"/>
                <w:sz w:val="21"/>
                <w:szCs w:val="21"/>
              </w:rPr>
              <w:fldChar w:fldCharType="end"/>
            </w:r>
            <w:r>
              <w:rPr>
                <w:color w:val="000000"/>
                <w:sz w:val="21"/>
                <w:szCs w:val="21"/>
              </w:rPr>
              <w:t>车辆100%密闭运输、出场车辆100%清洗，施工工地100%安装在线视频监控、工地内非道路移动机械及使用油品100%达标）。</w:t>
            </w:r>
          </w:p>
          <w:p>
            <w:pPr>
              <w:spacing w:line="400" w:lineRule="exact"/>
              <w:ind w:firstLine="420" w:firstLineChars="200"/>
            </w:pPr>
            <w:r>
              <w:rPr>
                <w:color w:val="000000"/>
                <w:szCs w:val="21"/>
              </w:rPr>
              <w:t>（2.2.2）禁止任何单位和个人露天焚烧秸秆。</w:t>
            </w:r>
          </w:p>
          <w:p>
            <w:pPr>
              <w:pStyle w:val="5"/>
              <w:snapToGrid/>
              <w:spacing w:line="400" w:lineRule="exact"/>
              <w:rPr>
                <w:color w:val="000000"/>
                <w:sz w:val="21"/>
                <w:szCs w:val="21"/>
              </w:rPr>
            </w:pPr>
            <w:r>
              <w:rPr>
                <w:color w:val="000000"/>
                <w:sz w:val="21"/>
                <w:szCs w:val="21"/>
              </w:rPr>
              <w:t>（2.3）固体废物：</w:t>
            </w:r>
          </w:p>
          <w:p>
            <w:pPr>
              <w:pStyle w:val="5"/>
              <w:snapToGrid/>
              <w:spacing w:line="400" w:lineRule="exact"/>
              <w:ind w:firstLine="420" w:firstLineChars="200"/>
              <w:rPr>
                <w:color w:val="000000"/>
                <w:sz w:val="21"/>
                <w:szCs w:val="21"/>
              </w:rPr>
            </w:pPr>
            <w:r>
              <w:rPr>
                <w:color w:val="000000"/>
                <w:sz w:val="21"/>
                <w:szCs w:val="21"/>
              </w:rPr>
              <w:t>（2.3.1）推进固体废物从乱堆乱放向分类、规范、科学处置转变，工业固体废物处置率达100%。</w:t>
            </w:r>
          </w:p>
          <w:p>
            <w:pPr>
              <w:spacing w:line="400" w:lineRule="exact"/>
              <w:ind w:firstLine="420" w:firstLineChars="200"/>
              <w:rPr>
                <w:strike/>
              </w:rPr>
            </w:pPr>
            <w:r>
              <w:rPr>
                <w:color w:val="000000"/>
                <w:szCs w:val="21"/>
              </w:rPr>
              <w:t>（2.3.2）推进农村生活垃圾分类收集处置。</w:t>
            </w:r>
          </w:p>
        </w:tc>
        <w:tc>
          <w:tcPr>
            <w:tcW w:w="1108"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widowControl/>
              <w:spacing w:line="400" w:lineRule="exact"/>
              <w:jc w:val="center"/>
              <w:rPr>
                <w:color w:val="000000"/>
                <w:szCs w:val="21"/>
              </w:rPr>
            </w:pPr>
            <w:r>
              <w:rPr>
                <w:color w:val="000000"/>
                <w:szCs w:val="21"/>
              </w:rPr>
              <w:t>环境风险防控</w:t>
            </w:r>
          </w:p>
        </w:tc>
        <w:tc>
          <w:tcPr>
            <w:tcW w:w="3283" w:type="pct"/>
            <w:gridSpan w:val="9"/>
            <w:vAlign w:val="center"/>
          </w:tcPr>
          <w:p>
            <w:pPr>
              <w:spacing w:line="400" w:lineRule="exact"/>
              <w:rPr>
                <w:color w:val="000000"/>
                <w:szCs w:val="21"/>
              </w:rPr>
            </w:pPr>
            <w:r>
              <w:rPr>
                <w:color w:val="000000"/>
                <w:szCs w:val="21"/>
              </w:rPr>
              <w:t>（3.1）针对涉重金属矿区历史遗留固体废物，制定并实施相应污染源整治方案，降低矿区废物污染灌溉用水及随洪水进入农田的风险。</w:t>
            </w:r>
          </w:p>
          <w:p>
            <w:pPr>
              <w:spacing w:line="400" w:lineRule="exact"/>
            </w:pPr>
          </w:p>
        </w:tc>
        <w:tc>
          <w:tcPr>
            <w:tcW w:w="1108"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widowControl/>
              <w:spacing w:line="400" w:lineRule="exact"/>
              <w:jc w:val="center"/>
              <w:rPr>
                <w:color w:val="000000"/>
                <w:szCs w:val="21"/>
              </w:rPr>
            </w:pPr>
            <w:r>
              <w:rPr>
                <w:color w:val="000000"/>
                <w:szCs w:val="21"/>
              </w:rPr>
              <w:t>资源开发效率要求</w:t>
            </w:r>
          </w:p>
        </w:tc>
        <w:tc>
          <w:tcPr>
            <w:tcW w:w="3283" w:type="pct"/>
            <w:gridSpan w:val="9"/>
            <w:vAlign w:val="center"/>
          </w:tcPr>
          <w:p>
            <w:pPr>
              <w:spacing w:line="400" w:lineRule="exact"/>
              <w:rPr>
                <w:color w:val="000000"/>
                <w:szCs w:val="21"/>
              </w:rPr>
            </w:pPr>
            <w:r>
              <w:rPr>
                <w:color w:val="000000"/>
                <w:szCs w:val="21"/>
              </w:rPr>
              <w:t>（4.1）能源：</w:t>
            </w:r>
          </w:p>
          <w:p>
            <w:pPr>
              <w:spacing w:line="400" w:lineRule="exact"/>
              <w:ind w:firstLine="420" w:firstLineChars="200"/>
              <w:rPr>
                <w:color w:val="000000"/>
                <w:szCs w:val="21"/>
              </w:rPr>
            </w:pPr>
            <w:r>
              <w:rPr>
                <w:color w:val="000000"/>
                <w:szCs w:val="21"/>
              </w:rPr>
              <w:t>（4.1.1）到2025年，全县煤炭消费总量控制在35万吨以内，煤炭消费占全社会能源消费的比重由2019年的47.36%降至35.21%。</w:t>
            </w:r>
          </w:p>
          <w:p>
            <w:pPr>
              <w:spacing w:line="400" w:lineRule="exact"/>
              <w:ind w:firstLine="420" w:firstLineChars="200"/>
              <w:rPr>
                <w:color w:val="000000"/>
                <w:szCs w:val="21"/>
              </w:rPr>
            </w:pPr>
            <w:r>
              <w:rPr>
                <w:color w:val="000000"/>
                <w:szCs w:val="21"/>
              </w:rPr>
              <w:t>（4.1.2）发展低碳工业，推进重点行业的低碳化改造，开展能源节约、废物循环利用和碳捕捉及回收利用。</w:t>
            </w:r>
          </w:p>
          <w:p>
            <w:pPr>
              <w:pStyle w:val="5"/>
              <w:snapToGrid/>
              <w:spacing w:line="400" w:lineRule="exact"/>
              <w:rPr>
                <w:color w:val="000000"/>
                <w:sz w:val="21"/>
                <w:szCs w:val="21"/>
              </w:rPr>
            </w:pPr>
            <w:r>
              <w:rPr>
                <w:color w:val="000000"/>
                <w:sz w:val="21"/>
                <w:szCs w:val="21"/>
              </w:rPr>
              <w:t>（4.2）水资源：</w:t>
            </w:r>
          </w:p>
          <w:p>
            <w:pPr>
              <w:pStyle w:val="5"/>
              <w:snapToGrid/>
              <w:spacing w:line="400" w:lineRule="exact"/>
              <w:ind w:firstLine="420" w:firstLineChars="200"/>
              <w:rPr>
                <w:color w:val="000000"/>
                <w:sz w:val="21"/>
                <w:szCs w:val="21"/>
              </w:rPr>
            </w:pPr>
            <w:r>
              <w:rPr>
                <w:color w:val="000000"/>
                <w:sz w:val="21"/>
                <w:szCs w:val="21"/>
              </w:rPr>
              <w:t>（4.2.1）到2025年，邵阳县用水总量控制在3.376亿立方米，万元地区生产总值用水量比2020年下降19.06%，万元工业增加值用水量比2020年下降12.06%，农田灌溉用水有效利用系数为0.558。</w:t>
            </w:r>
          </w:p>
          <w:p>
            <w:pPr>
              <w:spacing w:line="400" w:lineRule="exact"/>
              <w:rPr>
                <w:color w:val="000000"/>
                <w:szCs w:val="21"/>
              </w:rPr>
            </w:pPr>
            <w:r>
              <w:rPr>
                <w:color w:val="000000"/>
                <w:szCs w:val="21"/>
              </w:rPr>
              <w:t>（4.3）土地资源：</w:t>
            </w:r>
          </w:p>
          <w:p>
            <w:pPr>
              <w:spacing w:line="400" w:lineRule="exact"/>
              <w:ind w:firstLine="420" w:firstLineChars="200"/>
              <w:rPr>
                <w:color w:val="000000"/>
                <w:szCs w:val="21"/>
              </w:rPr>
            </w:pPr>
            <w:r>
              <w:rPr>
                <w:color w:val="000000"/>
                <w:szCs w:val="21"/>
              </w:rPr>
              <w:t>（4.3.1）严格实行耕地保护制度和土地节约制度，加强土地用途管制，控制建设用地总体规模。</w:t>
            </w:r>
          </w:p>
          <w:p>
            <w:pPr>
              <w:pStyle w:val="3"/>
              <w:spacing w:line="400" w:lineRule="exact"/>
              <w:ind w:firstLine="420" w:firstLineChars="200"/>
              <w:rPr>
                <w:color w:val="000000"/>
                <w:szCs w:val="21"/>
              </w:rPr>
            </w:pPr>
            <w:r>
              <w:rPr>
                <w:color w:val="000000"/>
                <w:szCs w:val="21"/>
              </w:rPr>
              <w:t>（4.3.2）邵阳县耕地保有量不低于78.54万亩，其中永久基本农田保护面积不低于72.16万亩，生态保护红线面积不低于150.65平方千米，城镇开发边界面积控制在31.90平方千米以内。</w:t>
            </w:r>
          </w:p>
        </w:tc>
        <w:tc>
          <w:tcPr>
            <w:tcW w:w="1108" w:type="pct"/>
            <w:gridSpan w:val="2"/>
            <w:vMerge w:val="continue"/>
            <w:vAlign w:val="center"/>
          </w:tcPr>
          <w:p>
            <w:pPr>
              <w:spacing w:line="400" w:lineRule="exact"/>
            </w:pPr>
          </w:p>
        </w:tc>
      </w:tr>
    </w:tbl>
    <w:p>
      <w:pPr>
        <w:rPr>
          <w:b/>
          <w:color w:val="000000"/>
          <w:szCs w:val="21"/>
        </w:rPr>
      </w:pPr>
    </w:p>
    <w:p>
      <w:pPr>
        <w:rPr>
          <w:b/>
          <w:color w:val="000000"/>
          <w:szCs w:val="21"/>
        </w:rPr>
      </w:pPr>
    </w:p>
    <w:p>
      <w:pPr>
        <w:widowControl/>
        <w:jc w:val="left"/>
        <w:rPr>
          <w:b/>
          <w:color w:val="000000"/>
          <w:szCs w:val="21"/>
        </w:rPr>
      </w:pPr>
      <w:r>
        <w:rPr>
          <w:b/>
          <w:color w:val="000000"/>
          <w:szCs w:val="21"/>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166"/>
        <w:gridCol w:w="481"/>
        <w:gridCol w:w="379"/>
        <w:gridCol w:w="426"/>
        <w:gridCol w:w="748"/>
        <w:gridCol w:w="848"/>
        <w:gridCol w:w="1035"/>
        <w:gridCol w:w="1316"/>
        <w:gridCol w:w="2872"/>
        <w:gridCol w:w="599"/>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restart"/>
            <w:vAlign w:val="center"/>
          </w:tcPr>
          <w:p>
            <w:pPr>
              <w:widowControl/>
              <w:jc w:val="center"/>
              <w:rPr>
                <w:b/>
                <w:color w:val="000000"/>
                <w:kern w:val="0"/>
                <w:szCs w:val="21"/>
              </w:rPr>
            </w:pPr>
            <w:r>
              <w:rPr>
                <w:b/>
                <w:color w:val="000000"/>
                <w:kern w:val="0"/>
                <w:szCs w:val="21"/>
              </w:rPr>
              <w:t>环境管控单元编码</w:t>
            </w:r>
          </w:p>
        </w:tc>
        <w:tc>
          <w:tcPr>
            <w:tcW w:w="411" w:type="pct"/>
            <w:vMerge w:val="restart"/>
            <w:vAlign w:val="center"/>
          </w:tcPr>
          <w:p>
            <w:pPr>
              <w:widowControl/>
              <w:jc w:val="center"/>
              <w:rPr>
                <w:b/>
                <w:color w:val="000000"/>
                <w:kern w:val="0"/>
                <w:szCs w:val="21"/>
              </w:rPr>
            </w:pPr>
            <w:r>
              <w:rPr>
                <w:b/>
                <w:color w:val="000000"/>
                <w:kern w:val="0"/>
                <w:szCs w:val="21"/>
              </w:rPr>
              <w:t>单元名称</w:t>
            </w:r>
          </w:p>
        </w:tc>
        <w:tc>
          <w:tcPr>
            <w:tcW w:w="453" w:type="pct"/>
            <w:gridSpan w:val="3"/>
            <w:vAlign w:val="center"/>
          </w:tcPr>
          <w:p>
            <w:pPr>
              <w:widowControl/>
              <w:jc w:val="center"/>
              <w:rPr>
                <w:b/>
                <w:color w:val="000000"/>
                <w:kern w:val="0"/>
                <w:szCs w:val="21"/>
              </w:rPr>
            </w:pPr>
            <w:r>
              <w:rPr>
                <w:b/>
                <w:color w:val="000000"/>
                <w:kern w:val="0"/>
                <w:szCs w:val="21"/>
              </w:rPr>
              <w:t>行政区划</w:t>
            </w:r>
          </w:p>
        </w:tc>
        <w:tc>
          <w:tcPr>
            <w:tcW w:w="263" w:type="pct"/>
            <w:vMerge w:val="restart"/>
            <w:vAlign w:val="center"/>
          </w:tcPr>
          <w:p>
            <w:pPr>
              <w:widowControl/>
              <w:jc w:val="center"/>
              <w:rPr>
                <w:b/>
                <w:color w:val="000000"/>
                <w:kern w:val="0"/>
                <w:szCs w:val="21"/>
              </w:rPr>
            </w:pPr>
            <w:r>
              <w:rPr>
                <w:b/>
                <w:color w:val="000000"/>
                <w:kern w:val="0"/>
                <w:szCs w:val="21"/>
              </w:rPr>
              <w:t>单元分类</w:t>
            </w:r>
          </w:p>
        </w:tc>
        <w:tc>
          <w:tcPr>
            <w:tcW w:w="299"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65" w:type="pct"/>
            <w:vMerge w:val="restart"/>
            <w:vAlign w:val="center"/>
          </w:tcPr>
          <w:p>
            <w:pPr>
              <w:jc w:val="center"/>
              <w:rPr>
                <w:b/>
                <w:color w:val="000000"/>
                <w:kern w:val="0"/>
                <w:szCs w:val="21"/>
              </w:rPr>
            </w:pPr>
            <w:r>
              <w:rPr>
                <w:b/>
                <w:color w:val="000000"/>
                <w:kern w:val="0"/>
                <w:szCs w:val="21"/>
              </w:rPr>
              <w:t>涉及乡镇(街道)</w:t>
            </w:r>
          </w:p>
        </w:tc>
        <w:tc>
          <w:tcPr>
            <w:tcW w:w="463" w:type="pct"/>
            <w:vMerge w:val="restart"/>
            <w:vAlign w:val="center"/>
          </w:tcPr>
          <w:p>
            <w:pPr>
              <w:jc w:val="center"/>
              <w:rPr>
                <w:b/>
                <w:color w:val="000000"/>
                <w:kern w:val="0"/>
                <w:szCs w:val="21"/>
              </w:rPr>
            </w:pPr>
            <w:r>
              <w:rPr>
                <w:b/>
                <w:color w:val="000000"/>
                <w:kern w:val="0"/>
                <w:szCs w:val="21"/>
              </w:rPr>
              <w:t>主体功能定位</w:t>
            </w:r>
          </w:p>
        </w:tc>
        <w:tc>
          <w:tcPr>
            <w:tcW w:w="1013" w:type="pct"/>
            <w:vMerge w:val="restart"/>
            <w:vAlign w:val="center"/>
          </w:tcPr>
          <w:p>
            <w:pPr>
              <w:jc w:val="center"/>
              <w:rPr>
                <w:b/>
                <w:color w:val="000000"/>
                <w:kern w:val="0"/>
                <w:szCs w:val="21"/>
              </w:rPr>
            </w:pPr>
            <w:r>
              <w:rPr>
                <w:b/>
                <w:color w:val="000000"/>
                <w:kern w:val="0"/>
                <w:szCs w:val="21"/>
              </w:rPr>
              <w:t>经济产业布局</w:t>
            </w:r>
          </w:p>
        </w:tc>
        <w:tc>
          <w:tcPr>
            <w:tcW w:w="1199"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1" w:type="pct"/>
            <w:vMerge w:val="continue"/>
            <w:vAlign w:val="center"/>
          </w:tcPr>
          <w:p/>
        </w:tc>
        <w:tc>
          <w:tcPr>
            <w:tcW w:w="411" w:type="pct"/>
            <w:vMerge w:val="continue"/>
            <w:vAlign w:val="center"/>
          </w:tcPr>
          <w:p/>
        </w:tc>
        <w:tc>
          <w:tcPr>
            <w:tcW w:w="169" w:type="pct"/>
            <w:vAlign w:val="center"/>
          </w:tcPr>
          <w:p>
            <w:pPr>
              <w:jc w:val="center"/>
              <w:rPr>
                <w:b/>
                <w:color w:val="000000"/>
                <w:szCs w:val="21"/>
              </w:rPr>
            </w:pPr>
            <w:r>
              <w:rPr>
                <w:b/>
                <w:color w:val="000000"/>
                <w:szCs w:val="21"/>
              </w:rPr>
              <w:t>省</w:t>
            </w:r>
          </w:p>
        </w:tc>
        <w:tc>
          <w:tcPr>
            <w:tcW w:w="134" w:type="pct"/>
            <w:vAlign w:val="center"/>
          </w:tcPr>
          <w:p>
            <w:pPr>
              <w:jc w:val="center"/>
              <w:rPr>
                <w:b/>
                <w:color w:val="000000"/>
                <w:szCs w:val="21"/>
              </w:rPr>
            </w:pPr>
            <w:r>
              <w:rPr>
                <w:b/>
                <w:color w:val="000000"/>
                <w:szCs w:val="21"/>
              </w:rPr>
              <w:t>市</w:t>
            </w:r>
          </w:p>
        </w:tc>
        <w:tc>
          <w:tcPr>
            <w:tcW w:w="149" w:type="pct"/>
            <w:vAlign w:val="center"/>
          </w:tcPr>
          <w:p>
            <w:pPr>
              <w:jc w:val="center"/>
              <w:rPr>
                <w:b/>
                <w:color w:val="000000"/>
                <w:szCs w:val="21"/>
              </w:rPr>
            </w:pPr>
            <w:r>
              <w:rPr>
                <w:b/>
                <w:color w:val="000000"/>
                <w:szCs w:val="21"/>
              </w:rPr>
              <w:t>县</w:t>
            </w:r>
          </w:p>
        </w:tc>
        <w:tc>
          <w:tcPr>
            <w:tcW w:w="263" w:type="pct"/>
            <w:vMerge w:val="continue"/>
            <w:vAlign w:val="center"/>
          </w:tcPr>
          <w:p/>
        </w:tc>
        <w:tc>
          <w:tcPr>
            <w:tcW w:w="299" w:type="pct"/>
            <w:vMerge w:val="continue"/>
            <w:vAlign w:val="center"/>
          </w:tcPr>
          <w:p/>
        </w:tc>
        <w:tc>
          <w:tcPr>
            <w:tcW w:w="365" w:type="pct"/>
            <w:vMerge w:val="continue"/>
            <w:vAlign w:val="center"/>
          </w:tcPr>
          <w:p/>
        </w:tc>
        <w:tc>
          <w:tcPr>
            <w:tcW w:w="463" w:type="pct"/>
            <w:vMerge w:val="continue"/>
            <w:vAlign w:val="center"/>
          </w:tcPr>
          <w:p/>
        </w:tc>
        <w:tc>
          <w:tcPr>
            <w:tcW w:w="1013" w:type="pct"/>
            <w:vMerge w:val="continue"/>
            <w:vAlign w:val="center"/>
          </w:tcPr>
          <w:p/>
        </w:tc>
        <w:tc>
          <w:tcPr>
            <w:tcW w:w="1199"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color w:val="000000"/>
                <w:szCs w:val="21"/>
              </w:rPr>
            </w:pPr>
            <w:r>
              <w:rPr>
                <w:color w:val="000000"/>
                <w:szCs w:val="21"/>
              </w:rPr>
              <w:t>ZH43052320002</w:t>
            </w:r>
          </w:p>
        </w:tc>
        <w:tc>
          <w:tcPr>
            <w:tcW w:w="411" w:type="pct"/>
            <w:vAlign w:val="center"/>
          </w:tcPr>
          <w:p>
            <w:pPr>
              <w:jc w:val="center"/>
              <w:rPr>
                <w:color w:val="000000"/>
                <w:szCs w:val="21"/>
              </w:rPr>
            </w:pPr>
            <w:r>
              <w:rPr>
                <w:color w:val="000000"/>
                <w:szCs w:val="21"/>
              </w:rPr>
              <w:t>蔡桥乡\黄亭市镇\金称市镇\塘渡口镇\长乐乡</w:t>
            </w:r>
          </w:p>
        </w:tc>
        <w:tc>
          <w:tcPr>
            <w:tcW w:w="169" w:type="pct"/>
            <w:vAlign w:val="center"/>
          </w:tcPr>
          <w:p>
            <w:pPr>
              <w:jc w:val="center"/>
              <w:rPr>
                <w:color w:val="000000"/>
                <w:szCs w:val="21"/>
              </w:rPr>
            </w:pPr>
            <w:r>
              <w:rPr>
                <w:color w:val="000000"/>
                <w:szCs w:val="21"/>
              </w:rPr>
              <w:t>湖南省</w:t>
            </w:r>
          </w:p>
        </w:tc>
        <w:tc>
          <w:tcPr>
            <w:tcW w:w="134" w:type="pct"/>
            <w:vAlign w:val="center"/>
          </w:tcPr>
          <w:p>
            <w:pPr>
              <w:jc w:val="center"/>
              <w:rPr>
                <w:color w:val="000000"/>
                <w:szCs w:val="21"/>
              </w:rPr>
            </w:pPr>
            <w:r>
              <w:rPr>
                <w:color w:val="000000"/>
                <w:szCs w:val="21"/>
              </w:rPr>
              <w:t>邵阳市</w:t>
            </w:r>
          </w:p>
        </w:tc>
        <w:tc>
          <w:tcPr>
            <w:tcW w:w="149" w:type="pct"/>
            <w:vAlign w:val="center"/>
          </w:tcPr>
          <w:p>
            <w:pPr>
              <w:jc w:val="center"/>
              <w:rPr>
                <w:color w:val="000000"/>
                <w:szCs w:val="21"/>
              </w:rPr>
            </w:pPr>
            <w:r>
              <w:rPr>
                <w:color w:val="000000"/>
                <w:szCs w:val="21"/>
              </w:rPr>
              <w:t>邵阳县</w:t>
            </w:r>
          </w:p>
        </w:tc>
        <w:tc>
          <w:tcPr>
            <w:tcW w:w="263" w:type="pct"/>
            <w:vAlign w:val="center"/>
          </w:tcPr>
          <w:p>
            <w:pPr>
              <w:jc w:val="center"/>
              <w:rPr>
                <w:color w:val="000000"/>
                <w:szCs w:val="21"/>
              </w:rPr>
            </w:pPr>
            <w:r>
              <w:rPr>
                <w:color w:val="000000"/>
                <w:szCs w:val="21"/>
              </w:rPr>
              <w:t>重点管控单元</w:t>
            </w:r>
          </w:p>
        </w:tc>
        <w:tc>
          <w:tcPr>
            <w:tcW w:w="299" w:type="pct"/>
            <w:vAlign w:val="center"/>
          </w:tcPr>
          <w:p>
            <w:pPr>
              <w:pStyle w:val="3"/>
            </w:pPr>
            <w:r>
              <w:rPr>
                <w:color w:val="000000"/>
                <w:szCs w:val="21"/>
              </w:rPr>
              <w:t>471.46</w:t>
            </w:r>
          </w:p>
        </w:tc>
        <w:tc>
          <w:tcPr>
            <w:tcW w:w="365" w:type="pct"/>
            <w:vAlign w:val="center"/>
          </w:tcPr>
          <w:p>
            <w:pPr>
              <w:jc w:val="center"/>
              <w:rPr>
                <w:color w:val="000000"/>
                <w:szCs w:val="21"/>
              </w:rPr>
            </w:pPr>
            <w:r>
              <w:rPr>
                <w:color w:val="000000"/>
                <w:szCs w:val="21"/>
              </w:rPr>
              <w:t>蔡桥乡\黄亭市镇\金称市</w:t>
            </w:r>
            <w:r>
              <w:rPr>
                <w:szCs w:val="21"/>
              </w:rPr>
              <w:t>镇\塘渡口镇</w:t>
            </w:r>
            <w:r>
              <w:rPr>
                <w:color w:val="000000"/>
                <w:szCs w:val="21"/>
              </w:rPr>
              <w:t>\长乐乡</w:t>
            </w:r>
          </w:p>
        </w:tc>
        <w:tc>
          <w:tcPr>
            <w:tcW w:w="463" w:type="pct"/>
            <w:vAlign w:val="center"/>
          </w:tcPr>
          <w:p>
            <w:pPr>
              <w:pStyle w:val="3"/>
              <w:jc w:val="left"/>
              <w:rPr>
                <w:color w:val="000000"/>
                <w:sz w:val="22"/>
              </w:rPr>
            </w:pPr>
            <w:r>
              <w:rPr>
                <w:b/>
                <w:bCs/>
                <w:color w:val="000000"/>
                <w:sz w:val="22"/>
              </w:rPr>
              <w:t>蔡桥乡、黄亭市镇、金称市</w:t>
            </w:r>
            <w:r>
              <w:rPr>
                <w:b/>
                <w:bCs/>
                <w:sz w:val="22"/>
              </w:rPr>
              <w:t>镇、</w:t>
            </w:r>
            <w:r>
              <w:rPr>
                <w:b/>
                <w:bCs/>
                <w:color w:val="000000"/>
                <w:sz w:val="22"/>
              </w:rPr>
              <w:t>长乐乡：</w:t>
            </w:r>
            <w:r>
              <w:rPr>
                <w:color w:val="000000"/>
                <w:sz w:val="22"/>
              </w:rPr>
              <w:t>农产品主产区；</w:t>
            </w:r>
          </w:p>
          <w:p>
            <w:pPr>
              <w:pStyle w:val="3"/>
              <w:jc w:val="left"/>
            </w:pPr>
            <w:r>
              <w:rPr>
                <w:b/>
                <w:bCs/>
                <w:sz w:val="22"/>
              </w:rPr>
              <w:t>塘渡口镇：</w:t>
            </w:r>
            <w:r>
              <w:rPr>
                <w:color w:val="000000"/>
                <w:sz w:val="22"/>
              </w:rPr>
              <w:t>城市化地区。</w:t>
            </w:r>
          </w:p>
        </w:tc>
        <w:tc>
          <w:tcPr>
            <w:tcW w:w="1013" w:type="pct"/>
            <w:vAlign w:val="center"/>
          </w:tcPr>
          <w:p>
            <w:pPr>
              <w:widowControl/>
              <w:jc w:val="left"/>
              <w:rPr>
                <w:color w:val="000000"/>
                <w:sz w:val="22"/>
              </w:rPr>
            </w:pPr>
            <w:r>
              <w:rPr>
                <w:b/>
                <w:bCs/>
                <w:color w:val="000000"/>
                <w:sz w:val="22"/>
              </w:rPr>
              <w:t>蔡桥乡：</w:t>
            </w:r>
            <w:r>
              <w:rPr>
                <w:color w:val="000000"/>
                <w:sz w:val="22"/>
              </w:rPr>
              <w:t>农业种植、农副食品加工业、其他采矿业、土砂石开采；</w:t>
            </w:r>
          </w:p>
          <w:p>
            <w:pPr>
              <w:widowControl/>
              <w:jc w:val="left"/>
              <w:rPr>
                <w:color w:val="000000"/>
                <w:sz w:val="22"/>
              </w:rPr>
            </w:pPr>
            <w:r>
              <w:rPr>
                <w:b/>
                <w:bCs/>
                <w:color w:val="000000"/>
                <w:sz w:val="22"/>
              </w:rPr>
              <w:t>黄亭市镇：</w:t>
            </w:r>
            <w:r>
              <w:rPr>
                <w:color w:val="000000"/>
                <w:sz w:val="22"/>
              </w:rPr>
              <w:t>油茶产业、农业种植、旅游业、</w:t>
            </w:r>
            <w:r>
              <w:rPr>
                <w:color w:val="000000" w:themeColor="text1"/>
                <w:kern w:val="0"/>
                <w:szCs w:val="21"/>
                <w14:textFill>
                  <w14:solidFill>
                    <w14:schemeClr w14:val="tx1"/>
                  </w14:solidFill>
                </w14:textFill>
              </w:rPr>
              <w:t>矿产开采、</w:t>
            </w:r>
            <w:r>
              <w:rPr>
                <w:color w:val="000000"/>
                <w:sz w:val="22"/>
              </w:rPr>
              <w:t>畜禽养殖；</w:t>
            </w:r>
          </w:p>
          <w:p>
            <w:pPr>
              <w:widowControl/>
              <w:jc w:val="left"/>
              <w:rPr>
                <w:color w:val="000000"/>
                <w:sz w:val="22"/>
              </w:rPr>
            </w:pPr>
            <w:r>
              <w:rPr>
                <w:b/>
                <w:bCs/>
                <w:color w:val="000000"/>
                <w:sz w:val="22"/>
              </w:rPr>
              <w:t>金称市</w:t>
            </w:r>
            <w:r>
              <w:rPr>
                <w:b/>
                <w:bCs/>
                <w:sz w:val="22"/>
              </w:rPr>
              <w:t>镇：</w:t>
            </w:r>
            <w:r>
              <w:rPr>
                <w:color w:val="000000"/>
                <w:sz w:val="22"/>
              </w:rPr>
              <w:t>农业种植、</w:t>
            </w:r>
            <w:r>
              <w:rPr>
                <w:color w:val="000000" w:themeColor="text1"/>
                <w:kern w:val="0"/>
                <w:szCs w:val="21"/>
                <w14:textFill>
                  <w14:solidFill>
                    <w14:schemeClr w14:val="tx1"/>
                  </w14:solidFill>
                </w14:textFill>
              </w:rPr>
              <w:t>矿产开采、</w:t>
            </w:r>
            <w:r>
              <w:rPr>
                <w:color w:val="000000"/>
                <w:sz w:val="22"/>
              </w:rPr>
              <w:t>交通运输业；</w:t>
            </w:r>
          </w:p>
          <w:p>
            <w:pPr>
              <w:widowControl/>
              <w:jc w:val="left"/>
              <w:rPr>
                <w:color w:val="000000"/>
                <w:sz w:val="22"/>
              </w:rPr>
            </w:pPr>
            <w:r>
              <w:rPr>
                <w:b/>
                <w:bCs/>
                <w:sz w:val="22"/>
              </w:rPr>
              <w:t>塘渡口镇：</w:t>
            </w:r>
            <w:r>
              <w:rPr>
                <w:color w:val="000000"/>
                <w:sz w:val="22"/>
              </w:rPr>
              <w:t>农业种植、畜禽养殖、旅游；</w:t>
            </w:r>
          </w:p>
          <w:p>
            <w:pPr>
              <w:widowControl/>
              <w:jc w:val="left"/>
              <w:rPr>
                <w:color w:val="000000"/>
                <w:kern w:val="0"/>
                <w:szCs w:val="21"/>
              </w:rPr>
            </w:pPr>
            <w:r>
              <w:rPr>
                <w:b/>
                <w:bCs/>
                <w:color w:val="000000"/>
                <w:sz w:val="22"/>
              </w:rPr>
              <w:t>长乐乡：</w:t>
            </w:r>
            <w:r>
              <w:rPr>
                <w:color w:val="000000"/>
                <w:sz w:val="22"/>
              </w:rPr>
              <w:t>畜禽养殖、农业种植、</w:t>
            </w:r>
            <w:r>
              <w:rPr>
                <w:color w:val="000000" w:themeColor="text1"/>
                <w:kern w:val="0"/>
                <w:szCs w:val="21"/>
                <w14:textFill>
                  <w14:solidFill>
                    <w14:schemeClr w14:val="tx1"/>
                  </w14:solidFill>
                </w14:textFill>
              </w:rPr>
              <w:t>矿产开采、</w:t>
            </w:r>
            <w:r>
              <w:rPr>
                <w:color w:val="000000"/>
                <w:sz w:val="22"/>
              </w:rPr>
              <w:t>光伏发电、旅游。</w:t>
            </w:r>
          </w:p>
        </w:tc>
        <w:tc>
          <w:tcPr>
            <w:tcW w:w="1199" w:type="pct"/>
            <w:gridSpan w:val="2"/>
            <w:vAlign w:val="center"/>
          </w:tcPr>
          <w:p>
            <w:pPr>
              <w:widowControl/>
              <w:rPr>
                <w:b/>
                <w:color w:val="000000"/>
                <w:kern w:val="0"/>
                <w:szCs w:val="21"/>
              </w:rPr>
            </w:pPr>
            <w:r>
              <w:rPr>
                <w:b/>
                <w:color w:val="000000"/>
                <w:kern w:val="0"/>
                <w:szCs w:val="21"/>
              </w:rPr>
              <w:t>主要环境问题：</w:t>
            </w:r>
          </w:p>
          <w:p>
            <w:pPr>
              <w:widowControl/>
              <w:rPr>
                <w:kern w:val="0"/>
                <w:szCs w:val="21"/>
              </w:rPr>
            </w:pPr>
            <w:r>
              <w:rPr>
                <w:b/>
                <w:bCs/>
                <w:sz w:val="22"/>
              </w:rPr>
              <w:t>塘渡口镇：</w:t>
            </w:r>
            <w:r>
              <w:rPr>
                <w:kern w:val="0"/>
                <w:szCs w:val="21"/>
              </w:rPr>
              <w:t>县城城市污水管网配套建设不够完善，雨污分流不彻底，部分村落生活污水管网未完善，导致溪流水环境质量超标；</w:t>
            </w:r>
          </w:p>
          <w:p>
            <w:pPr>
              <w:widowControl/>
              <w:rPr>
                <w:kern w:val="0"/>
                <w:szCs w:val="21"/>
              </w:rPr>
            </w:pPr>
            <w:r>
              <w:rPr>
                <w:b/>
                <w:bCs/>
                <w:color w:val="000000"/>
                <w:szCs w:val="21"/>
              </w:rPr>
              <w:t>蔡桥乡、黄亭市镇、金称市</w:t>
            </w:r>
            <w:r>
              <w:rPr>
                <w:b/>
                <w:bCs/>
                <w:szCs w:val="21"/>
              </w:rPr>
              <w:t>镇、塘渡口镇</w:t>
            </w:r>
            <w:r>
              <w:rPr>
                <w:b/>
                <w:bCs/>
                <w:color w:val="000000"/>
                <w:szCs w:val="21"/>
              </w:rPr>
              <w:t>、长乐乡：</w:t>
            </w:r>
            <w:r>
              <w:rPr>
                <w:kern w:val="0"/>
                <w:szCs w:val="21"/>
              </w:rPr>
              <w:t>建筑工地未严格执行8个100%，城区空气质量部分指标未能稳定达标；</w:t>
            </w:r>
          </w:p>
          <w:p>
            <w:pPr>
              <w:widowControl/>
              <w:rPr>
                <w:kern w:val="0"/>
                <w:szCs w:val="21"/>
              </w:rPr>
            </w:pPr>
            <w:r>
              <w:rPr>
                <w:b/>
                <w:bCs/>
                <w:color w:val="000000"/>
                <w:szCs w:val="21"/>
              </w:rPr>
              <w:t>黄亭市镇：</w:t>
            </w:r>
            <w:r>
              <w:rPr>
                <w:kern w:val="0"/>
                <w:szCs w:val="21"/>
              </w:rPr>
              <w:t>部分企业地块土壤污染。关闭煤矿矿涌水污染。</w:t>
            </w:r>
          </w:p>
          <w:p>
            <w:pPr>
              <w:pStyle w:val="9"/>
              <w:ind w:left="0" w:leftChars="0" w:firstLine="0" w:firstLineChars="0"/>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widowControl/>
              <w:spacing w:line="400" w:lineRule="exact"/>
              <w:jc w:val="center"/>
              <w:rPr>
                <w:b/>
                <w:color w:val="000000"/>
                <w:kern w:val="0"/>
                <w:szCs w:val="21"/>
              </w:rPr>
            </w:pPr>
            <w:r>
              <w:rPr>
                <w:b/>
                <w:color w:val="000000"/>
                <w:kern w:val="0"/>
                <w:szCs w:val="21"/>
              </w:rPr>
              <w:t>主要属性</w:t>
            </w:r>
          </w:p>
        </w:tc>
        <w:tc>
          <w:tcPr>
            <w:tcW w:w="4468" w:type="pct"/>
            <w:gridSpan w:val="11"/>
            <w:vAlign w:val="center"/>
          </w:tcPr>
          <w:p>
            <w:pPr>
              <w:pStyle w:val="3"/>
              <w:spacing w:line="400" w:lineRule="exact"/>
              <w:rPr>
                <w:b/>
                <w:bCs/>
                <w:color w:val="000000"/>
                <w:sz w:val="22"/>
              </w:rPr>
            </w:pPr>
            <w:r>
              <w:rPr>
                <w:b/>
                <w:bCs/>
                <w:color w:val="000000"/>
                <w:sz w:val="22"/>
              </w:rPr>
              <w:t>蔡桥乡：</w:t>
            </w:r>
          </w:p>
          <w:p>
            <w:pPr>
              <w:pStyle w:val="3"/>
              <w:spacing w:line="400" w:lineRule="exact"/>
              <w:ind w:firstLine="442" w:firstLineChars="200"/>
              <w:rPr>
                <w:color w:val="000000"/>
                <w:szCs w:val="21"/>
              </w:rPr>
            </w:pPr>
            <w:r>
              <w:rPr>
                <w:b/>
                <w:bCs/>
                <w:color w:val="000000"/>
                <w:sz w:val="22"/>
              </w:rPr>
              <w:t>生态红线：</w:t>
            </w:r>
            <w:r>
              <w:rPr>
                <w:color w:val="000000"/>
                <w:szCs w:val="21"/>
              </w:rPr>
              <w:t>红线/一般生态空间/水源涵养重要区\三区三线生态红线\生物多样性保护功能重要区\原生态红线\水土流失敏感区\水土保持功能重要区；</w:t>
            </w:r>
          </w:p>
          <w:p>
            <w:pPr>
              <w:pStyle w:val="3"/>
              <w:spacing w:line="400" w:lineRule="exact"/>
              <w:ind w:firstLine="422" w:firstLineChars="200"/>
              <w:rPr>
                <w:color w:val="000000"/>
                <w:sz w:val="22"/>
              </w:rPr>
            </w:pPr>
            <w:r>
              <w:rPr>
                <w:b/>
                <w:bCs/>
                <w:color w:val="000000"/>
                <w:szCs w:val="21"/>
              </w:rPr>
              <w:t>环境质量底线：</w:t>
            </w:r>
            <w:r>
              <w:rPr>
                <w:color w:val="000000"/>
                <w:szCs w:val="21"/>
              </w:rPr>
              <w:t>水环境一般管控区、大气环境弱扩散重点管控区/农用地优先保护区/其他重点管控区/一般管控区/矿区；农产品主产区；</w:t>
            </w:r>
          </w:p>
          <w:p>
            <w:pPr>
              <w:pStyle w:val="3"/>
              <w:spacing w:line="400" w:lineRule="exact"/>
              <w:rPr>
                <w:b/>
                <w:bCs/>
                <w:color w:val="000000"/>
                <w:sz w:val="22"/>
              </w:rPr>
            </w:pPr>
            <w:r>
              <w:rPr>
                <w:b/>
                <w:bCs/>
                <w:color w:val="000000"/>
                <w:sz w:val="22"/>
              </w:rPr>
              <w:t>黄亭市镇：</w:t>
            </w:r>
          </w:p>
          <w:p>
            <w:pPr>
              <w:pStyle w:val="3"/>
              <w:spacing w:line="400" w:lineRule="exact"/>
              <w:ind w:firstLine="442" w:firstLineChars="200"/>
              <w:rPr>
                <w:color w:val="000000"/>
                <w:sz w:val="22"/>
              </w:rPr>
            </w:pPr>
            <w:r>
              <w:rPr>
                <w:b/>
                <w:bCs/>
                <w:color w:val="000000"/>
                <w:sz w:val="22"/>
              </w:rPr>
              <w:t>生态红线：</w:t>
            </w:r>
            <w:r>
              <w:rPr>
                <w:color w:val="000000"/>
                <w:sz w:val="22"/>
              </w:rPr>
              <w:t>红线/一般生态空间/水源涵养重要区\三区三线生态红线\湿地公园\生物多样性保护功能重要区\原生态红线\水土流失敏感区\水土保持功能重要区；</w:t>
            </w:r>
          </w:p>
          <w:p>
            <w:pPr>
              <w:pStyle w:val="3"/>
              <w:spacing w:line="400" w:lineRule="exact"/>
              <w:ind w:firstLine="442" w:firstLineChars="200"/>
              <w:rPr>
                <w:color w:val="000000"/>
                <w:sz w:val="22"/>
              </w:rPr>
            </w:pPr>
            <w:r>
              <w:rPr>
                <w:b/>
                <w:bCs/>
                <w:color w:val="000000"/>
                <w:sz w:val="22"/>
              </w:rPr>
              <w:t>环境质量底线：</w:t>
            </w:r>
            <w:r>
              <w:rPr>
                <w:color w:val="000000"/>
                <w:sz w:val="22"/>
              </w:rPr>
              <w:t>水环境优先保护区/水环境一般管控区/湿地公园/湖南天子湖国家级湿地公园；大气环境优先保护区/大气环境受体敏感重点管控区/大气环境弱扩散重点管控区/湖南天子湖国家湿地公园；农用地优先保护区/建设用地重点管控区/其他重点管控区/一般管控区；矿区/中高风险企业用地；农产品主产区；</w:t>
            </w:r>
          </w:p>
          <w:p>
            <w:pPr>
              <w:pStyle w:val="3"/>
              <w:spacing w:line="400" w:lineRule="exact"/>
              <w:rPr>
                <w:b/>
                <w:bCs/>
                <w:color w:val="000000"/>
                <w:sz w:val="22"/>
              </w:rPr>
            </w:pPr>
            <w:r>
              <w:rPr>
                <w:b/>
                <w:bCs/>
                <w:color w:val="000000"/>
                <w:sz w:val="22"/>
              </w:rPr>
              <w:t>金称市镇：</w:t>
            </w:r>
          </w:p>
          <w:p>
            <w:pPr>
              <w:pStyle w:val="3"/>
              <w:spacing w:line="400" w:lineRule="exact"/>
              <w:ind w:firstLine="442" w:firstLineChars="200"/>
              <w:rPr>
                <w:color w:val="000000"/>
                <w:sz w:val="22"/>
              </w:rPr>
            </w:pPr>
            <w:r>
              <w:rPr>
                <w:b/>
                <w:bCs/>
                <w:color w:val="000000"/>
                <w:sz w:val="22"/>
              </w:rPr>
              <w:t>生态红线：</w:t>
            </w:r>
            <w:r>
              <w:rPr>
                <w:color w:val="000000"/>
                <w:sz w:val="22"/>
              </w:rPr>
              <w:t>红线/一般生态空间；水源涵养重要区\三区三线生态红线\原生态红线\水土流失敏感区\生物多样性保护功能重要区</w:t>
            </w:r>
          </w:p>
          <w:p>
            <w:pPr>
              <w:pStyle w:val="3"/>
              <w:spacing w:line="400" w:lineRule="exact"/>
              <w:ind w:firstLine="442" w:firstLineChars="200"/>
              <w:rPr>
                <w:color w:val="000000"/>
                <w:sz w:val="22"/>
              </w:rPr>
            </w:pPr>
            <w:r>
              <w:rPr>
                <w:b/>
                <w:bCs/>
                <w:color w:val="000000"/>
                <w:sz w:val="22"/>
              </w:rPr>
              <w:t>环境质量底线：</w:t>
            </w:r>
            <w:r>
              <w:rPr>
                <w:color w:val="000000"/>
                <w:sz w:val="22"/>
              </w:rPr>
              <w:t>水环境一般管控区、大气环境受体敏感重点管控区/大气环境弱扩散重点管控区；农用地优先保护区/其他重点管控区/一般管控区；农产品主产区；</w:t>
            </w:r>
          </w:p>
          <w:p>
            <w:pPr>
              <w:pStyle w:val="3"/>
              <w:spacing w:line="400" w:lineRule="exact"/>
              <w:rPr>
                <w:b/>
                <w:bCs/>
                <w:sz w:val="22"/>
              </w:rPr>
            </w:pPr>
            <w:r>
              <w:rPr>
                <w:b/>
                <w:bCs/>
                <w:sz w:val="22"/>
              </w:rPr>
              <w:t>塘渡口镇：</w:t>
            </w:r>
          </w:p>
          <w:p>
            <w:pPr>
              <w:pStyle w:val="3"/>
              <w:spacing w:line="400" w:lineRule="exact"/>
              <w:ind w:firstLine="442" w:firstLineChars="200"/>
              <w:rPr>
                <w:color w:val="000000"/>
                <w:sz w:val="22"/>
              </w:rPr>
            </w:pPr>
            <w:r>
              <w:rPr>
                <w:b/>
                <w:bCs/>
                <w:sz w:val="22"/>
              </w:rPr>
              <w:t>生态红线：</w:t>
            </w:r>
            <w:r>
              <w:rPr>
                <w:color w:val="000000"/>
                <w:sz w:val="22"/>
              </w:rPr>
              <w:t>红线/一般生态空间/水源涵养重要区\三区三线生态红线\湿地公园\水土流失敏感区\生物多样性保护功能重要区\原生态红线\水土保持功能重要区；</w:t>
            </w:r>
          </w:p>
          <w:p>
            <w:pPr>
              <w:pStyle w:val="3"/>
              <w:spacing w:line="400" w:lineRule="exact"/>
              <w:ind w:firstLine="442" w:firstLineChars="200"/>
              <w:rPr>
                <w:color w:val="000000"/>
                <w:sz w:val="22"/>
              </w:rPr>
            </w:pPr>
            <w:r>
              <w:rPr>
                <w:b/>
                <w:bCs/>
                <w:color w:val="000000"/>
                <w:sz w:val="22"/>
              </w:rPr>
              <w:t>环境质量底线：</w:t>
            </w:r>
            <w:r>
              <w:rPr>
                <w:color w:val="000000"/>
                <w:sz w:val="22"/>
              </w:rPr>
              <w:t>水环境优先保护区/水环境工业园重点管控区/水环境城镇生活污染重点管控区/水环境一般管控区；湿地公园/水源地（县级及以上）/工业园区/污水处理厂；湖南天子湖国家级湿地公园/邵阳市邵阳县夫夷水饮用水水源保护区/邵阳县高新技术产业开发区/邵阳县塘渡口污水处理厂；大气环境优先保护区/大气环境高排放重点管控区/大气环境受体敏感重点管控区/大气环境弱扩散重点管控区；湖南天子湖国家湿地公园/邵阳工业集中区/邵阳县高新技术产业开发区；农用地优先保护区/建设用地重点管控区/其他重点管控区/一般管控区；矿区/中高风险企业用地；邵阳县高新技术产业开发区；城市化地区；</w:t>
            </w:r>
          </w:p>
          <w:p>
            <w:pPr>
              <w:pStyle w:val="3"/>
              <w:spacing w:line="400" w:lineRule="exact"/>
              <w:rPr>
                <w:b/>
                <w:bCs/>
                <w:color w:val="000000"/>
                <w:sz w:val="22"/>
              </w:rPr>
            </w:pPr>
            <w:r>
              <w:rPr>
                <w:b/>
                <w:bCs/>
                <w:color w:val="000000"/>
                <w:sz w:val="22"/>
              </w:rPr>
              <w:t>长乐乡：</w:t>
            </w:r>
          </w:p>
          <w:p>
            <w:pPr>
              <w:pStyle w:val="3"/>
              <w:spacing w:line="400" w:lineRule="exact"/>
              <w:ind w:firstLine="442" w:firstLineChars="200"/>
              <w:rPr>
                <w:color w:val="000000"/>
                <w:sz w:val="22"/>
              </w:rPr>
            </w:pPr>
            <w:r>
              <w:rPr>
                <w:b/>
                <w:bCs/>
                <w:color w:val="000000"/>
                <w:sz w:val="22"/>
              </w:rPr>
              <w:t>生态红线：</w:t>
            </w:r>
            <w:r>
              <w:rPr>
                <w:color w:val="000000"/>
                <w:sz w:val="22"/>
              </w:rPr>
              <w:t>红线/一般生态空间/水源涵养重要区\三区三线生态红线\原生态红线\水土流失敏感区\生物多样性保护功能重要区；</w:t>
            </w:r>
          </w:p>
          <w:p>
            <w:pPr>
              <w:pStyle w:val="3"/>
              <w:spacing w:line="400" w:lineRule="exact"/>
              <w:ind w:firstLine="442" w:firstLineChars="200"/>
              <w:rPr>
                <w:color w:val="000000"/>
                <w:sz w:val="22"/>
              </w:rPr>
            </w:pPr>
            <w:r>
              <w:rPr>
                <w:b/>
                <w:bCs/>
                <w:color w:val="000000"/>
                <w:sz w:val="22"/>
              </w:rPr>
              <w:t>环境质量底线：</w:t>
            </w:r>
            <w:r>
              <w:rPr>
                <w:color w:val="000000"/>
                <w:sz w:val="22"/>
              </w:rPr>
              <w:t>水环境一般管控区、大气环境优先保护区/大气环境弱扩散重点管控区、农用地优先保护区/其他重点管控区/一般管控区；矿区；农产品主产区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widowControl/>
              <w:spacing w:line="400" w:lineRule="exact"/>
              <w:jc w:val="center"/>
              <w:rPr>
                <w:b/>
                <w:color w:val="000000"/>
                <w:szCs w:val="21"/>
              </w:rPr>
            </w:pPr>
            <w:r>
              <w:rPr>
                <w:b/>
                <w:color w:val="000000"/>
                <w:szCs w:val="21"/>
              </w:rPr>
              <w:t>管控维度</w:t>
            </w:r>
          </w:p>
        </w:tc>
        <w:tc>
          <w:tcPr>
            <w:tcW w:w="3481" w:type="pct"/>
            <w:gridSpan w:val="10"/>
            <w:vAlign w:val="center"/>
          </w:tcPr>
          <w:p>
            <w:pPr>
              <w:spacing w:line="400" w:lineRule="exact"/>
              <w:jc w:val="center"/>
              <w:rPr>
                <w:b/>
                <w:color w:val="000000"/>
                <w:szCs w:val="21"/>
              </w:rPr>
            </w:pPr>
            <w:r>
              <w:rPr>
                <w:b/>
                <w:color w:val="000000"/>
                <w:kern w:val="0"/>
                <w:szCs w:val="21"/>
              </w:rPr>
              <w:t>管控要求</w:t>
            </w:r>
          </w:p>
        </w:tc>
        <w:tc>
          <w:tcPr>
            <w:tcW w:w="987" w:type="pct"/>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widowControl/>
              <w:spacing w:line="400" w:lineRule="exact"/>
              <w:jc w:val="center"/>
              <w:rPr>
                <w:color w:val="000000"/>
                <w:szCs w:val="21"/>
              </w:rPr>
            </w:pPr>
            <w:r>
              <w:rPr>
                <w:color w:val="000000"/>
                <w:szCs w:val="21"/>
              </w:rPr>
              <w:t>空间布局约束</w:t>
            </w:r>
          </w:p>
        </w:tc>
        <w:tc>
          <w:tcPr>
            <w:tcW w:w="3481" w:type="pct"/>
            <w:gridSpan w:val="10"/>
            <w:vAlign w:val="center"/>
          </w:tcPr>
          <w:p>
            <w:pPr>
              <w:tabs>
                <w:tab w:val="left" w:pos="1021"/>
              </w:tabs>
              <w:spacing w:line="400" w:lineRule="exact"/>
              <w:rPr>
                <w:color w:val="000000"/>
                <w:szCs w:val="21"/>
              </w:rPr>
            </w:pPr>
            <w:r>
              <w:rPr>
                <w:color w:val="000000"/>
                <w:szCs w:val="21"/>
              </w:rPr>
              <w:t>（1.1）禁止在居民住宅楼等非商用建筑、未设立配套规划专用烟道的商住综合楼、以及商住综合楼内与居住层相邻的楼层新建、改建、扩建排放油烟的饮食服务项目。</w:t>
            </w:r>
          </w:p>
          <w:p>
            <w:pPr>
              <w:tabs>
                <w:tab w:val="left" w:pos="1021"/>
              </w:tabs>
              <w:spacing w:line="400" w:lineRule="exact"/>
              <w:rPr>
                <w:color w:val="000000"/>
                <w:szCs w:val="21"/>
              </w:rPr>
            </w:pPr>
            <w:r>
              <w:rPr>
                <w:color w:val="000000"/>
                <w:szCs w:val="21"/>
              </w:rPr>
              <w:t>（1.2）严禁水资源超载地区新建扩建高耗水项目，推动依法依规淘汰落后产能。</w:t>
            </w:r>
          </w:p>
          <w:p>
            <w:pPr>
              <w:tabs>
                <w:tab w:val="left" w:pos="1021"/>
              </w:tabs>
              <w:spacing w:line="400" w:lineRule="exact"/>
              <w:rPr>
                <w:color w:val="000000"/>
                <w:szCs w:val="21"/>
              </w:rPr>
            </w:pPr>
            <w:r>
              <w:rPr>
                <w:color w:val="000000"/>
                <w:szCs w:val="21"/>
              </w:rPr>
              <w:t>（1.3）深化“厕所革命”，推进粪污废水资源化利用，加快农村户用厕所改造和公共厕所建设。</w:t>
            </w:r>
          </w:p>
          <w:p>
            <w:pPr>
              <w:tabs>
                <w:tab w:val="left" w:pos="1021"/>
              </w:tabs>
              <w:spacing w:line="400" w:lineRule="exact"/>
              <w:rPr>
                <w:color w:val="000000"/>
                <w:szCs w:val="21"/>
              </w:rPr>
            </w:pPr>
            <w:r>
              <w:rPr>
                <w:color w:val="000000"/>
                <w:szCs w:val="21"/>
              </w:rPr>
              <w:t>（1.4）加强畜禽养殖污染防治，推进养殖业禁养区、限养区、适养区分区管理，逐步退出禁养区养殖小区(场)，限制限养区养殖规模，建设污染防治设施和综合治理设施，开展有机肥、沼气等养殖业循环经济模式示范。</w:t>
            </w:r>
          </w:p>
        </w:tc>
        <w:tc>
          <w:tcPr>
            <w:tcW w:w="987" w:type="pct"/>
            <w:vMerge w:val="restart"/>
          </w:tcPr>
          <w:p>
            <w:pPr>
              <w:pStyle w:val="3"/>
              <w:spacing w:line="400" w:lineRule="exact"/>
              <w:rPr>
                <w:color w:val="000000"/>
                <w:szCs w:val="21"/>
              </w:rPr>
            </w:pPr>
            <w:r>
              <w:rPr>
                <w:color w:val="000000"/>
                <w:szCs w:val="21"/>
              </w:rPr>
              <w:t>（1.1）（1.3）（2.1.1）（2.1.2）（2.2.1）（2.2.2）（2.3.1）（2.3.2）（3.1）（4.1.2）《邵阳县“十四五”生态环境保护规划》</w:t>
            </w:r>
          </w:p>
          <w:p>
            <w:pPr>
              <w:pStyle w:val="3"/>
              <w:spacing w:line="400" w:lineRule="exact"/>
              <w:rPr>
                <w:color w:val="000000"/>
                <w:szCs w:val="21"/>
              </w:rPr>
            </w:pPr>
            <w:r>
              <w:rPr>
                <w:color w:val="000000"/>
                <w:szCs w:val="21"/>
              </w:rPr>
              <w:t>（1.2）《邵阳县“十四五”节水型社会建设规划》</w:t>
            </w:r>
          </w:p>
          <w:p>
            <w:pPr>
              <w:pStyle w:val="3"/>
              <w:spacing w:line="400" w:lineRule="exact"/>
              <w:rPr>
                <w:color w:val="000000"/>
                <w:szCs w:val="21"/>
              </w:rPr>
            </w:pPr>
            <w:r>
              <w:rPr>
                <w:color w:val="000000"/>
                <w:szCs w:val="21"/>
              </w:rPr>
              <w:t>（1.4）（4.3.1）《邵阳县国民经济和社会发展第十四个五年(2021</w:t>
            </w:r>
            <w:r>
              <w:rPr>
                <w:rFonts w:hint="eastAsia"/>
                <w:color w:val="000000"/>
                <w:szCs w:val="21"/>
              </w:rPr>
              <w:t>—</w:t>
            </w:r>
            <w:r>
              <w:rPr>
                <w:color w:val="000000"/>
                <w:szCs w:val="21"/>
              </w:rPr>
              <w:t>2025年)规划纲要草案》</w:t>
            </w:r>
          </w:p>
          <w:p>
            <w:pPr>
              <w:pStyle w:val="3"/>
              <w:spacing w:line="400" w:lineRule="exact"/>
              <w:rPr>
                <w:color w:val="000000"/>
                <w:szCs w:val="21"/>
              </w:rPr>
            </w:pPr>
            <w:r>
              <w:rPr>
                <w:color w:val="000000"/>
                <w:szCs w:val="21"/>
              </w:rPr>
              <w:t>（4.1.1）《邵阳县“十四五”能源发展规划（2021—2025）》</w:t>
            </w:r>
          </w:p>
          <w:p>
            <w:pPr>
              <w:pStyle w:val="3"/>
              <w:spacing w:line="400" w:lineRule="exact"/>
            </w:pPr>
            <w:r>
              <w:rPr>
                <w:color w:val="000000"/>
                <w:szCs w:val="21"/>
              </w:rPr>
              <w:t>（4.2.1）《邵阳市“十四五”用水总量和强度双控目标》</w:t>
            </w:r>
          </w:p>
          <w:p>
            <w:pPr>
              <w:pStyle w:val="3"/>
              <w:spacing w:line="400" w:lineRule="exact"/>
              <w:rPr>
                <w:color w:val="000000"/>
                <w:szCs w:val="21"/>
              </w:rPr>
            </w:pPr>
            <w:r>
              <w:rPr>
                <w:color w:val="000000"/>
                <w:szCs w:val="21"/>
              </w:rPr>
              <w:t>（4.3.2）《邵阳县国土空间总体规划》(2021</w:t>
            </w:r>
            <w:r>
              <w:rPr>
                <w:rFonts w:hint="eastAsia"/>
                <w:color w:val="000000"/>
                <w:szCs w:val="21"/>
              </w:rPr>
              <w:t>—</w:t>
            </w:r>
            <w:r>
              <w:rPr>
                <w:color w:val="000000"/>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widowControl/>
              <w:spacing w:line="400" w:lineRule="exact"/>
              <w:jc w:val="center"/>
              <w:rPr>
                <w:color w:val="000000"/>
                <w:szCs w:val="21"/>
              </w:rPr>
            </w:pPr>
            <w:r>
              <w:rPr>
                <w:color w:val="000000"/>
                <w:szCs w:val="21"/>
              </w:rPr>
              <w:t>污染物排放管控</w:t>
            </w:r>
          </w:p>
        </w:tc>
        <w:tc>
          <w:tcPr>
            <w:tcW w:w="3481" w:type="pct"/>
            <w:gridSpan w:val="10"/>
            <w:vAlign w:val="center"/>
          </w:tcPr>
          <w:p>
            <w:pPr>
              <w:pStyle w:val="5"/>
              <w:snapToGrid/>
              <w:spacing w:line="400" w:lineRule="exact"/>
              <w:jc w:val="both"/>
              <w:rPr>
                <w:color w:val="000000"/>
                <w:sz w:val="21"/>
                <w:szCs w:val="21"/>
              </w:rPr>
            </w:pPr>
            <w:r>
              <w:rPr>
                <w:color w:val="000000"/>
                <w:sz w:val="21"/>
                <w:szCs w:val="21"/>
              </w:rPr>
              <w:t>（2.1）废水：</w:t>
            </w:r>
          </w:p>
          <w:p>
            <w:pPr>
              <w:pStyle w:val="5"/>
              <w:snapToGrid/>
              <w:spacing w:line="400" w:lineRule="exact"/>
              <w:ind w:firstLine="420" w:firstLineChars="200"/>
              <w:jc w:val="both"/>
              <w:rPr>
                <w:color w:val="000000"/>
                <w:sz w:val="21"/>
                <w:szCs w:val="21"/>
              </w:rPr>
            </w:pPr>
            <w:r>
              <w:rPr>
                <w:color w:val="000000"/>
                <w:sz w:val="21"/>
                <w:szCs w:val="21"/>
              </w:rPr>
              <w:t>（2.1.1）加快建制镇污水处理设施配套雨污分离、清污分离和截污管网的建设。</w:t>
            </w:r>
          </w:p>
          <w:p>
            <w:pPr>
              <w:pStyle w:val="5"/>
              <w:snapToGrid/>
              <w:spacing w:line="400" w:lineRule="exact"/>
              <w:ind w:firstLine="420" w:firstLineChars="200"/>
              <w:jc w:val="both"/>
              <w:rPr>
                <w:color w:val="000000"/>
                <w:sz w:val="21"/>
                <w:szCs w:val="21"/>
              </w:rPr>
            </w:pPr>
            <w:r>
              <w:rPr>
                <w:color w:val="000000"/>
                <w:sz w:val="21"/>
                <w:szCs w:val="21"/>
              </w:rPr>
              <w:t>（2.1.2）推进农村生活污水治理。</w:t>
            </w:r>
          </w:p>
          <w:p>
            <w:pPr>
              <w:pStyle w:val="5"/>
              <w:snapToGrid/>
              <w:spacing w:line="400" w:lineRule="exact"/>
              <w:rPr>
                <w:color w:val="000000"/>
                <w:sz w:val="21"/>
                <w:szCs w:val="21"/>
              </w:rPr>
            </w:pPr>
            <w:r>
              <w:rPr>
                <w:color w:val="000000"/>
                <w:sz w:val="21"/>
                <w:szCs w:val="21"/>
              </w:rPr>
              <w:t>（2.2）废气：</w:t>
            </w:r>
          </w:p>
          <w:p>
            <w:pPr>
              <w:pStyle w:val="5"/>
              <w:snapToGrid/>
              <w:spacing w:line="400" w:lineRule="exact"/>
              <w:ind w:firstLine="420" w:firstLineChars="200"/>
              <w:rPr>
                <w:color w:val="000000"/>
                <w:sz w:val="21"/>
                <w:szCs w:val="21"/>
              </w:rPr>
            </w:pPr>
            <w:r>
              <w:rPr>
                <w:color w:val="000000"/>
                <w:sz w:val="21"/>
                <w:szCs w:val="21"/>
              </w:rPr>
              <w:t>(2.2.1)严格落实工地扬尘防控8个100%（工地周边100%围挡、方开挖及拆迁作业100%湿作业、场区道路100%硬化、各类物料堆放100%覆盖、</w:t>
            </w:r>
            <w:r>
              <w:fldChar w:fldCharType="begin"/>
            </w:r>
            <w:r>
              <w:instrText xml:space="preserve"> HYPERLINK "https://www.zhihu.com/search?q=%E6%B8%A3%E5%9C%9F&amp;search_source=Entity&amp;hybrid_search_source=Entity&amp;hybrid_search_extra=%7b" \t "https://zhuanlan.zhihu.com/p/_blank" </w:instrText>
            </w:r>
            <w:r>
              <w:fldChar w:fldCharType="separate"/>
            </w:r>
            <w:r>
              <w:rPr>
                <w:color w:val="000000"/>
                <w:sz w:val="21"/>
                <w:szCs w:val="21"/>
              </w:rPr>
              <w:t>渣土</w:t>
            </w:r>
            <w:r>
              <w:rPr>
                <w:color w:val="000000"/>
                <w:sz w:val="21"/>
                <w:szCs w:val="21"/>
              </w:rPr>
              <w:fldChar w:fldCharType="end"/>
            </w:r>
            <w:r>
              <w:rPr>
                <w:color w:val="000000"/>
                <w:sz w:val="21"/>
                <w:szCs w:val="21"/>
              </w:rPr>
              <w:t>车辆100%密闭运输、出场车辆100%清洗，施工工地100%安装在线视频监控、工地内非道路移动机械及使用油品100%达标）。</w:t>
            </w:r>
          </w:p>
          <w:p>
            <w:pPr>
              <w:spacing w:line="400" w:lineRule="exact"/>
              <w:ind w:firstLine="420" w:firstLineChars="200"/>
            </w:pPr>
            <w:r>
              <w:rPr>
                <w:color w:val="000000"/>
                <w:szCs w:val="21"/>
              </w:rPr>
              <w:t>（2.2.2）全乡范围内禁止任何单位和个人露天焚烧秸秆。</w:t>
            </w:r>
          </w:p>
          <w:p>
            <w:pPr>
              <w:pStyle w:val="5"/>
              <w:snapToGrid/>
              <w:spacing w:line="400" w:lineRule="exact"/>
              <w:rPr>
                <w:color w:val="000000"/>
                <w:sz w:val="21"/>
                <w:szCs w:val="21"/>
              </w:rPr>
            </w:pPr>
            <w:r>
              <w:rPr>
                <w:color w:val="000000"/>
                <w:sz w:val="21"/>
                <w:szCs w:val="21"/>
              </w:rPr>
              <w:t>（2.3）固体废物：</w:t>
            </w:r>
          </w:p>
          <w:p>
            <w:pPr>
              <w:pStyle w:val="5"/>
              <w:snapToGrid/>
              <w:spacing w:line="400" w:lineRule="exact"/>
              <w:ind w:firstLine="420" w:firstLineChars="200"/>
              <w:rPr>
                <w:color w:val="000000"/>
                <w:sz w:val="21"/>
                <w:szCs w:val="21"/>
              </w:rPr>
            </w:pPr>
            <w:r>
              <w:rPr>
                <w:color w:val="000000"/>
                <w:sz w:val="21"/>
                <w:szCs w:val="21"/>
              </w:rPr>
              <w:t>（2.3.1）推进固体废物从乱堆乱放向分类、规范、科学处置转变，工业固体废物处置率达100%。</w:t>
            </w:r>
          </w:p>
          <w:p>
            <w:pPr>
              <w:pStyle w:val="5"/>
              <w:snapToGrid/>
              <w:spacing w:line="400" w:lineRule="exact"/>
              <w:ind w:firstLine="420" w:firstLineChars="200"/>
              <w:rPr>
                <w:color w:val="000000"/>
                <w:sz w:val="21"/>
                <w:szCs w:val="21"/>
              </w:rPr>
            </w:pPr>
            <w:r>
              <w:rPr>
                <w:color w:val="000000"/>
                <w:sz w:val="21"/>
                <w:szCs w:val="21"/>
              </w:rPr>
              <w:t>（2.3.2）加强固体废物和新污染物治理。推进强化危险废物监管和利用处置能力改革，逐步建立“源头严防、过程严管、后果严惩”危险废物监管体系。</w:t>
            </w:r>
          </w:p>
          <w:p>
            <w:pPr>
              <w:spacing w:line="400" w:lineRule="exact"/>
              <w:ind w:firstLine="420" w:firstLineChars="200"/>
            </w:pPr>
            <w:r>
              <w:rPr>
                <w:color w:val="000000"/>
                <w:szCs w:val="21"/>
              </w:rPr>
              <w:t>（2.3.3）推进农村生活垃圾分类收集，加快推进农村生活垃圾源头分类减量，减少垃圾出村量。</w:t>
            </w:r>
          </w:p>
        </w:tc>
        <w:tc>
          <w:tcPr>
            <w:tcW w:w="987"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widowControl/>
              <w:spacing w:line="400" w:lineRule="exact"/>
              <w:jc w:val="center"/>
              <w:rPr>
                <w:color w:val="000000"/>
                <w:szCs w:val="21"/>
              </w:rPr>
            </w:pPr>
            <w:r>
              <w:rPr>
                <w:color w:val="000000"/>
                <w:szCs w:val="21"/>
              </w:rPr>
              <w:t>环境风险防控</w:t>
            </w:r>
          </w:p>
        </w:tc>
        <w:tc>
          <w:tcPr>
            <w:tcW w:w="3481" w:type="pct"/>
            <w:gridSpan w:val="10"/>
            <w:vAlign w:val="center"/>
          </w:tcPr>
          <w:p>
            <w:pPr>
              <w:spacing w:line="400" w:lineRule="exact"/>
              <w:rPr>
                <w:color w:val="000000"/>
                <w:szCs w:val="21"/>
              </w:rPr>
            </w:pPr>
            <w:r>
              <w:rPr>
                <w:color w:val="000000"/>
                <w:szCs w:val="21"/>
              </w:rPr>
              <w:t>（3.1）针对涉重金属矿区历史遗留固体废物，制定并实施相应污染源整治方案，降低矿区废物污染灌溉用水及随洪水进入农田的风险。</w:t>
            </w:r>
          </w:p>
        </w:tc>
        <w:tc>
          <w:tcPr>
            <w:tcW w:w="987"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pct"/>
            <w:vAlign w:val="center"/>
          </w:tcPr>
          <w:p>
            <w:pPr>
              <w:widowControl/>
              <w:spacing w:line="400" w:lineRule="exact"/>
              <w:jc w:val="center"/>
              <w:rPr>
                <w:color w:val="000000"/>
                <w:szCs w:val="21"/>
              </w:rPr>
            </w:pPr>
            <w:r>
              <w:rPr>
                <w:color w:val="000000"/>
                <w:szCs w:val="21"/>
              </w:rPr>
              <w:t>资源开发效率要求</w:t>
            </w:r>
          </w:p>
        </w:tc>
        <w:tc>
          <w:tcPr>
            <w:tcW w:w="3481" w:type="pct"/>
            <w:gridSpan w:val="10"/>
            <w:vAlign w:val="center"/>
          </w:tcPr>
          <w:p>
            <w:pPr>
              <w:spacing w:line="400" w:lineRule="exact"/>
              <w:rPr>
                <w:color w:val="000000"/>
                <w:szCs w:val="21"/>
              </w:rPr>
            </w:pPr>
            <w:r>
              <w:rPr>
                <w:color w:val="000000"/>
                <w:szCs w:val="21"/>
              </w:rPr>
              <w:t>（4.1）能源：</w:t>
            </w:r>
          </w:p>
          <w:p>
            <w:pPr>
              <w:spacing w:line="400" w:lineRule="exact"/>
              <w:ind w:firstLine="420" w:firstLineChars="200"/>
              <w:rPr>
                <w:color w:val="000000"/>
                <w:szCs w:val="21"/>
              </w:rPr>
            </w:pPr>
            <w:r>
              <w:rPr>
                <w:color w:val="000000"/>
                <w:szCs w:val="21"/>
              </w:rPr>
              <w:t>（4.1.1）到2025年，全县煤炭消费总量控制在35万吨以内，煤炭消费占全社会能源消费的比重由2019年的47.36%降至35.21%。</w:t>
            </w:r>
          </w:p>
          <w:p>
            <w:pPr>
              <w:spacing w:line="400" w:lineRule="exact"/>
              <w:ind w:firstLine="420" w:firstLineChars="200"/>
              <w:rPr>
                <w:color w:val="000000"/>
                <w:szCs w:val="21"/>
              </w:rPr>
            </w:pPr>
            <w:r>
              <w:rPr>
                <w:color w:val="000000"/>
                <w:szCs w:val="21"/>
              </w:rPr>
              <w:t>（4.1.2）发展低碳工业，推进重点行业的低碳化改造，开展能源节约、废物循环利用和碳捕捉及回收利用。</w:t>
            </w:r>
          </w:p>
          <w:p>
            <w:pPr>
              <w:pStyle w:val="5"/>
              <w:snapToGrid/>
              <w:spacing w:line="400" w:lineRule="exact"/>
              <w:rPr>
                <w:color w:val="000000"/>
                <w:sz w:val="21"/>
                <w:szCs w:val="21"/>
              </w:rPr>
            </w:pPr>
            <w:r>
              <w:rPr>
                <w:color w:val="000000"/>
                <w:sz w:val="21"/>
                <w:szCs w:val="21"/>
              </w:rPr>
              <w:t>（4.2）水资源：</w:t>
            </w:r>
          </w:p>
          <w:p>
            <w:pPr>
              <w:pStyle w:val="5"/>
              <w:snapToGrid/>
              <w:spacing w:line="400" w:lineRule="exact"/>
              <w:ind w:firstLine="420" w:firstLineChars="200"/>
              <w:rPr>
                <w:color w:val="000000"/>
                <w:sz w:val="21"/>
                <w:szCs w:val="21"/>
              </w:rPr>
            </w:pPr>
            <w:r>
              <w:rPr>
                <w:color w:val="000000"/>
                <w:sz w:val="21"/>
                <w:szCs w:val="21"/>
              </w:rPr>
              <w:t>（4.2.1）到2025年，邵阳县用水总量控制在3.376亿立方米，万元地区生产总值用水量比2020年下降19.06%，万元工业增加值用水量比2020年下降12.06%，农田灌溉用水有效利用系数为0.558。</w:t>
            </w:r>
          </w:p>
          <w:p>
            <w:pPr>
              <w:spacing w:line="400" w:lineRule="exact"/>
              <w:rPr>
                <w:color w:val="000000"/>
                <w:szCs w:val="21"/>
              </w:rPr>
            </w:pPr>
            <w:r>
              <w:rPr>
                <w:color w:val="000000"/>
                <w:szCs w:val="21"/>
              </w:rPr>
              <w:t>（4.3）土地资源：</w:t>
            </w:r>
          </w:p>
          <w:p>
            <w:pPr>
              <w:spacing w:line="400" w:lineRule="exact"/>
              <w:ind w:firstLine="420" w:firstLineChars="200"/>
              <w:rPr>
                <w:color w:val="000000"/>
                <w:szCs w:val="21"/>
              </w:rPr>
            </w:pPr>
            <w:r>
              <w:rPr>
                <w:color w:val="000000"/>
                <w:szCs w:val="21"/>
              </w:rPr>
              <w:t>（4.3.1）严格实行耕地保护制度和土地节约制度，加强土地用途管制，控制建设用地总体规模。</w:t>
            </w:r>
          </w:p>
          <w:p>
            <w:pPr>
              <w:pStyle w:val="3"/>
              <w:spacing w:line="400" w:lineRule="exact"/>
              <w:ind w:firstLine="420" w:firstLineChars="200"/>
              <w:rPr>
                <w:color w:val="000000"/>
                <w:szCs w:val="21"/>
              </w:rPr>
            </w:pPr>
            <w:r>
              <w:rPr>
                <w:color w:val="000000"/>
                <w:szCs w:val="21"/>
              </w:rPr>
              <w:t>（4.3.2）邵阳县耕地保有量不低于78.54万亩，其中永久基本农田保护面积不低于72.16万亩，生态保护红线面积不低于150.65平方千米，城镇开发边界面积控制在31.90平方千米以内。</w:t>
            </w:r>
          </w:p>
        </w:tc>
        <w:tc>
          <w:tcPr>
            <w:tcW w:w="987" w:type="pct"/>
            <w:vMerge w:val="continue"/>
            <w:vAlign w:val="center"/>
          </w:tcPr>
          <w:p>
            <w:pPr>
              <w:spacing w:line="400" w:lineRule="exact"/>
            </w:pPr>
          </w:p>
        </w:tc>
      </w:tr>
    </w:tbl>
    <w:p>
      <w:pPr>
        <w:rPr>
          <w:color w:val="000000"/>
          <w:szCs w:val="21"/>
        </w:rPr>
        <w:sectPr>
          <w:pgSz w:w="16838" w:h="11906" w:orient="landscape"/>
          <w:pgMar w:top="1800" w:right="1440" w:bottom="1800" w:left="1440" w:header="851" w:footer="992" w:gutter="0"/>
          <w:pgNumType w:fmt="decimal"/>
          <w:cols w:space="425" w:num="1"/>
          <w:docGrid w:type="lines" w:linePitch="312" w:charSpace="0"/>
        </w:sect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694"/>
        <w:gridCol w:w="427"/>
        <w:gridCol w:w="427"/>
        <w:gridCol w:w="430"/>
        <w:gridCol w:w="753"/>
        <w:gridCol w:w="983"/>
        <w:gridCol w:w="937"/>
        <w:gridCol w:w="1425"/>
        <w:gridCol w:w="1568"/>
        <w:gridCol w:w="250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widowControl/>
              <w:jc w:val="center"/>
              <w:rPr>
                <w:b/>
                <w:color w:val="000000"/>
                <w:kern w:val="0"/>
                <w:szCs w:val="21"/>
              </w:rPr>
            </w:pPr>
            <w:r>
              <w:rPr>
                <w:b/>
                <w:color w:val="000000"/>
                <w:kern w:val="0"/>
                <w:szCs w:val="21"/>
              </w:rPr>
              <w:t>环境管控单元编码</w:t>
            </w:r>
          </w:p>
        </w:tc>
        <w:tc>
          <w:tcPr>
            <w:tcW w:w="245" w:type="pct"/>
            <w:vMerge w:val="restart"/>
            <w:vAlign w:val="center"/>
          </w:tcPr>
          <w:p>
            <w:pPr>
              <w:widowControl/>
              <w:jc w:val="center"/>
              <w:rPr>
                <w:b/>
                <w:color w:val="000000"/>
                <w:kern w:val="0"/>
                <w:szCs w:val="21"/>
              </w:rPr>
            </w:pPr>
            <w:r>
              <w:rPr>
                <w:b/>
                <w:color w:val="000000"/>
                <w:kern w:val="0"/>
                <w:szCs w:val="21"/>
              </w:rPr>
              <w:t>单元名称</w:t>
            </w:r>
          </w:p>
        </w:tc>
        <w:tc>
          <w:tcPr>
            <w:tcW w:w="452" w:type="pct"/>
            <w:gridSpan w:val="3"/>
            <w:vAlign w:val="center"/>
          </w:tcPr>
          <w:p>
            <w:pPr>
              <w:widowControl/>
              <w:jc w:val="center"/>
              <w:rPr>
                <w:b/>
                <w:color w:val="000000"/>
                <w:kern w:val="0"/>
                <w:szCs w:val="21"/>
              </w:rPr>
            </w:pPr>
            <w:r>
              <w:rPr>
                <w:b/>
                <w:color w:val="000000"/>
                <w:kern w:val="0"/>
                <w:szCs w:val="21"/>
              </w:rPr>
              <w:t>行政区划</w:t>
            </w:r>
          </w:p>
        </w:tc>
        <w:tc>
          <w:tcPr>
            <w:tcW w:w="266" w:type="pct"/>
            <w:vMerge w:val="restart"/>
            <w:vAlign w:val="center"/>
          </w:tcPr>
          <w:p>
            <w:pPr>
              <w:widowControl/>
              <w:jc w:val="center"/>
              <w:rPr>
                <w:b/>
                <w:color w:val="000000"/>
                <w:kern w:val="0"/>
                <w:szCs w:val="21"/>
              </w:rPr>
            </w:pPr>
            <w:r>
              <w:rPr>
                <w:b/>
                <w:color w:val="000000"/>
                <w:kern w:val="0"/>
                <w:szCs w:val="21"/>
              </w:rPr>
              <w:t>单元分类</w:t>
            </w:r>
          </w:p>
        </w:tc>
        <w:tc>
          <w:tcPr>
            <w:tcW w:w="347"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31" w:type="pct"/>
            <w:vMerge w:val="restart"/>
            <w:vAlign w:val="center"/>
          </w:tcPr>
          <w:p>
            <w:pPr>
              <w:jc w:val="center"/>
              <w:rPr>
                <w:b/>
                <w:color w:val="000000"/>
                <w:kern w:val="0"/>
                <w:szCs w:val="21"/>
              </w:rPr>
            </w:pPr>
            <w:r>
              <w:rPr>
                <w:b/>
                <w:color w:val="000000"/>
                <w:kern w:val="0"/>
                <w:szCs w:val="21"/>
              </w:rPr>
              <w:t>涉及乡镇(街道)</w:t>
            </w:r>
          </w:p>
        </w:tc>
        <w:tc>
          <w:tcPr>
            <w:tcW w:w="503" w:type="pct"/>
            <w:vMerge w:val="restart"/>
            <w:vAlign w:val="center"/>
          </w:tcPr>
          <w:p>
            <w:pPr>
              <w:jc w:val="center"/>
              <w:rPr>
                <w:b/>
                <w:color w:val="000000"/>
                <w:kern w:val="0"/>
                <w:szCs w:val="21"/>
              </w:rPr>
            </w:pPr>
            <w:r>
              <w:rPr>
                <w:b/>
                <w:color w:val="000000"/>
                <w:kern w:val="0"/>
                <w:szCs w:val="21"/>
              </w:rPr>
              <w:t>主体功能定位</w:t>
            </w:r>
          </w:p>
        </w:tc>
        <w:tc>
          <w:tcPr>
            <w:tcW w:w="553" w:type="pct"/>
            <w:vMerge w:val="restart"/>
            <w:vAlign w:val="center"/>
          </w:tcPr>
          <w:p>
            <w:pPr>
              <w:jc w:val="center"/>
              <w:rPr>
                <w:b/>
                <w:color w:val="000000"/>
                <w:kern w:val="0"/>
                <w:szCs w:val="21"/>
              </w:rPr>
            </w:pPr>
            <w:r>
              <w:rPr>
                <w:b/>
                <w:color w:val="000000"/>
                <w:kern w:val="0"/>
                <w:szCs w:val="21"/>
              </w:rPr>
              <w:t>经济产业布局</w:t>
            </w:r>
          </w:p>
        </w:tc>
        <w:tc>
          <w:tcPr>
            <w:tcW w:w="1716" w:type="pct"/>
            <w:gridSpan w:val="2"/>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pct"/>
            <w:vMerge w:val="continue"/>
            <w:vAlign w:val="center"/>
          </w:tcPr>
          <w:p/>
        </w:tc>
        <w:tc>
          <w:tcPr>
            <w:tcW w:w="245" w:type="pct"/>
            <w:vMerge w:val="continue"/>
            <w:vAlign w:val="center"/>
          </w:tcPr>
          <w:p/>
        </w:tc>
        <w:tc>
          <w:tcPr>
            <w:tcW w:w="150" w:type="pct"/>
            <w:vAlign w:val="center"/>
          </w:tcPr>
          <w:p>
            <w:pPr>
              <w:jc w:val="center"/>
              <w:rPr>
                <w:b/>
                <w:color w:val="000000"/>
                <w:szCs w:val="21"/>
              </w:rPr>
            </w:pPr>
            <w:r>
              <w:rPr>
                <w:b/>
                <w:color w:val="000000"/>
                <w:szCs w:val="21"/>
              </w:rPr>
              <w:t>省</w:t>
            </w:r>
          </w:p>
        </w:tc>
        <w:tc>
          <w:tcPr>
            <w:tcW w:w="150" w:type="pct"/>
            <w:vAlign w:val="center"/>
          </w:tcPr>
          <w:p>
            <w:pPr>
              <w:jc w:val="center"/>
              <w:rPr>
                <w:b/>
                <w:color w:val="000000"/>
                <w:szCs w:val="21"/>
              </w:rPr>
            </w:pPr>
            <w:r>
              <w:rPr>
                <w:b/>
                <w:color w:val="000000"/>
                <w:szCs w:val="21"/>
              </w:rPr>
              <w:t>市</w:t>
            </w:r>
          </w:p>
        </w:tc>
        <w:tc>
          <w:tcPr>
            <w:tcW w:w="151" w:type="pct"/>
            <w:vAlign w:val="center"/>
          </w:tcPr>
          <w:p>
            <w:pPr>
              <w:jc w:val="center"/>
              <w:rPr>
                <w:b/>
                <w:color w:val="000000"/>
                <w:szCs w:val="21"/>
              </w:rPr>
            </w:pPr>
            <w:r>
              <w:rPr>
                <w:b/>
                <w:color w:val="000000"/>
                <w:szCs w:val="21"/>
              </w:rPr>
              <w:t>县</w:t>
            </w:r>
          </w:p>
        </w:tc>
        <w:tc>
          <w:tcPr>
            <w:tcW w:w="266" w:type="pct"/>
            <w:vMerge w:val="continue"/>
            <w:vAlign w:val="center"/>
          </w:tcPr>
          <w:p/>
        </w:tc>
        <w:tc>
          <w:tcPr>
            <w:tcW w:w="347" w:type="pct"/>
            <w:vMerge w:val="continue"/>
            <w:vAlign w:val="center"/>
          </w:tcPr>
          <w:p/>
        </w:tc>
        <w:tc>
          <w:tcPr>
            <w:tcW w:w="331" w:type="pct"/>
            <w:vMerge w:val="continue"/>
            <w:vAlign w:val="center"/>
          </w:tcPr>
          <w:p/>
        </w:tc>
        <w:tc>
          <w:tcPr>
            <w:tcW w:w="503" w:type="pct"/>
            <w:vMerge w:val="continue"/>
            <w:vAlign w:val="center"/>
          </w:tcPr>
          <w:p/>
        </w:tc>
        <w:tc>
          <w:tcPr>
            <w:tcW w:w="553" w:type="pct"/>
            <w:vMerge w:val="continue"/>
            <w:vAlign w:val="center"/>
          </w:tcPr>
          <w:p/>
        </w:tc>
        <w:tc>
          <w:tcPr>
            <w:tcW w:w="1716" w:type="pct"/>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jc w:val="center"/>
              <w:rPr>
                <w:color w:val="000000"/>
                <w:szCs w:val="21"/>
              </w:rPr>
            </w:pPr>
            <w:r>
              <w:rPr>
                <w:color w:val="000000"/>
                <w:szCs w:val="21"/>
              </w:rPr>
              <w:t>ZH43052320001</w:t>
            </w:r>
          </w:p>
        </w:tc>
        <w:tc>
          <w:tcPr>
            <w:tcW w:w="245" w:type="pct"/>
            <w:vAlign w:val="center"/>
          </w:tcPr>
          <w:p>
            <w:pPr>
              <w:jc w:val="center"/>
              <w:rPr>
                <w:color w:val="000000"/>
                <w:szCs w:val="21"/>
              </w:rPr>
            </w:pPr>
            <w:r>
              <w:rPr>
                <w:color w:val="000000"/>
                <w:sz w:val="20"/>
                <w:szCs w:val="20"/>
              </w:rPr>
              <w:t>小溪市镇\岩口铺镇\长阳铺镇</w:t>
            </w:r>
          </w:p>
        </w:tc>
        <w:tc>
          <w:tcPr>
            <w:tcW w:w="150" w:type="pct"/>
            <w:vAlign w:val="center"/>
          </w:tcPr>
          <w:p>
            <w:pPr>
              <w:jc w:val="center"/>
              <w:rPr>
                <w:color w:val="000000"/>
                <w:szCs w:val="21"/>
              </w:rPr>
            </w:pPr>
            <w:r>
              <w:rPr>
                <w:color w:val="000000"/>
                <w:szCs w:val="21"/>
              </w:rPr>
              <w:t>湖南省</w:t>
            </w:r>
          </w:p>
        </w:tc>
        <w:tc>
          <w:tcPr>
            <w:tcW w:w="150" w:type="pct"/>
            <w:vAlign w:val="center"/>
          </w:tcPr>
          <w:p>
            <w:pPr>
              <w:jc w:val="center"/>
              <w:rPr>
                <w:color w:val="000000"/>
                <w:szCs w:val="21"/>
              </w:rPr>
            </w:pPr>
            <w:r>
              <w:rPr>
                <w:color w:val="000000"/>
                <w:szCs w:val="21"/>
              </w:rPr>
              <w:t>邵阳市</w:t>
            </w:r>
          </w:p>
        </w:tc>
        <w:tc>
          <w:tcPr>
            <w:tcW w:w="151" w:type="pct"/>
            <w:vAlign w:val="center"/>
          </w:tcPr>
          <w:p>
            <w:pPr>
              <w:jc w:val="center"/>
              <w:rPr>
                <w:color w:val="000000"/>
                <w:szCs w:val="21"/>
              </w:rPr>
            </w:pPr>
            <w:r>
              <w:rPr>
                <w:color w:val="000000"/>
                <w:szCs w:val="21"/>
              </w:rPr>
              <w:t>邵阳县</w:t>
            </w:r>
          </w:p>
        </w:tc>
        <w:tc>
          <w:tcPr>
            <w:tcW w:w="266" w:type="pct"/>
            <w:vAlign w:val="center"/>
          </w:tcPr>
          <w:p>
            <w:pPr>
              <w:jc w:val="center"/>
              <w:rPr>
                <w:color w:val="000000"/>
                <w:szCs w:val="21"/>
              </w:rPr>
            </w:pPr>
            <w:r>
              <w:rPr>
                <w:color w:val="000000"/>
                <w:szCs w:val="21"/>
              </w:rPr>
              <w:t>重点管控单元</w:t>
            </w:r>
          </w:p>
        </w:tc>
        <w:tc>
          <w:tcPr>
            <w:tcW w:w="347" w:type="pct"/>
            <w:vAlign w:val="center"/>
          </w:tcPr>
          <w:p>
            <w:pPr>
              <w:pStyle w:val="3"/>
              <w:jc w:val="center"/>
            </w:pPr>
            <w:r>
              <w:rPr>
                <w:color w:val="000000"/>
                <w:szCs w:val="21"/>
              </w:rPr>
              <w:t>272.09</w:t>
            </w:r>
          </w:p>
        </w:tc>
        <w:tc>
          <w:tcPr>
            <w:tcW w:w="331" w:type="pct"/>
            <w:vAlign w:val="center"/>
          </w:tcPr>
          <w:p>
            <w:pPr>
              <w:jc w:val="center"/>
              <w:rPr>
                <w:color w:val="000000"/>
                <w:szCs w:val="21"/>
              </w:rPr>
            </w:pPr>
            <w:r>
              <w:rPr>
                <w:color w:val="000000"/>
                <w:sz w:val="20"/>
                <w:szCs w:val="20"/>
              </w:rPr>
              <w:t>小溪市镇\岩口铺镇\长阳铺镇</w:t>
            </w:r>
          </w:p>
        </w:tc>
        <w:tc>
          <w:tcPr>
            <w:tcW w:w="503" w:type="pct"/>
            <w:vAlign w:val="center"/>
          </w:tcPr>
          <w:p>
            <w:pPr>
              <w:pStyle w:val="3"/>
            </w:pPr>
            <w:r>
              <w:rPr>
                <w:b/>
                <w:bCs/>
                <w:color w:val="000000"/>
                <w:sz w:val="22"/>
              </w:rPr>
              <w:t>小溪市镇：</w:t>
            </w:r>
            <w:r>
              <w:t>农产品主产区；</w:t>
            </w:r>
            <w:r>
              <w:rPr>
                <w:b/>
                <w:bCs/>
                <w:color w:val="000000"/>
                <w:sz w:val="22"/>
              </w:rPr>
              <w:t>岩口铺镇：</w:t>
            </w:r>
            <w:r>
              <w:t>农产品主产区；</w:t>
            </w:r>
            <w:r>
              <w:rPr>
                <w:b/>
                <w:bCs/>
                <w:color w:val="000000"/>
                <w:sz w:val="22"/>
              </w:rPr>
              <w:t>长阳铺镇：</w:t>
            </w:r>
            <w:r>
              <w:t>城市化地区。</w:t>
            </w:r>
          </w:p>
        </w:tc>
        <w:tc>
          <w:tcPr>
            <w:tcW w:w="553" w:type="pct"/>
            <w:vAlign w:val="center"/>
          </w:tcPr>
          <w:p>
            <w:pPr>
              <w:widowControl/>
              <w:jc w:val="left"/>
              <w:rPr>
                <w:color w:val="000000" w:themeColor="text1"/>
                <w:kern w:val="0"/>
                <w:szCs w:val="21"/>
                <w14:textFill>
                  <w14:solidFill>
                    <w14:schemeClr w14:val="tx1"/>
                  </w14:solidFill>
                </w14:textFill>
              </w:rPr>
            </w:pPr>
            <w:r>
              <w:rPr>
                <w:b/>
                <w:bCs/>
                <w:color w:val="000000"/>
                <w:sz w:val="22"/>
              </w:rPr>
              <w:t>小溪市镇：</w:t>
            </w:r>
            <w:r>
              <w:rPr>
                <w:color w:val="000000" w:themeColor="text1"/>
                <w:kern w:val="0"/>
                <w:szCs w:val="21"/>
                <w14:textFill>
                  <w14:solidFill>
                    <w14:schemeClr w14:val="tx1"/>
                  </w14:solidFill>
                </w14:textFill>
              </w:rPr>
              <w:t>农业种植、交通运输业、矿产开采等；</w:t>
            </w:r>
          </w:p>
          <w:p>
            <w:pPr>
              <w:widowControl/>
              <w:jc w:val="left"/>
              <w:rPr>
                <w:color w:val="000000" w:themeColor="text1"/>
                <w:kern w:val="0"/>
                <w:szCs w:val="21"/>
                <w14:textFill>
                  <w14:solidFill>
                    <w14:schemeClr w14:val="tx1"/>
                  </w14:solidFill>
                </w14:textFill>
              </w:rPr>
            </w:pPr>
            <w:r>
              <w:rPr>
                <w:b/>
                <w:bCs/>
                <w:color w:val="000000"/>
                <w:sz w:val="22"/>
              </w:rPr>
              <w:t>岩口铺镇：</w:t>
            </w:r>
            <w:r>
              <w:rPr>
                <w:color w:val="000000" w:themeColor="text1"/>
                <w:kern w:val="0"/>
                <w:szCs w:val="21"/>
                <w14:textFill>
                  <w14:solidFill>
                    <w14:schemeClr w14:val="tx1"/>
                  </w14:solidFill>
                </w14:textFill>
              </w:rPr>
              <w:t>农业种植、畜牧养殖、食品加工建材、矿产开采、燃气供应业、木材加工、化工等；</w:t>
            </w:r>
          </w:p>
          <w:p>
            <w:pPr>
              <w:widowControl/>
              <w:jc w:val="left"/>
              <w:rPr>
                <w:color w:val="000000" w:themeColor="text1"/>
                <w:kern w:val="0"/>
                <w:szCs w:val="21"/>
                <w14:textFill>
                  <w14:solidFill>
                    <w14:schemeClr w14:val="tx1"/>
                  </w14:solidFill>
                </w14:textFill>
              </w:rPr>
            </w:pPr>
            <w:r>
              <w:rPr>
                <w:b/>
                <w:bCs/>
                <w:color w:val="000000"/>
                <w:sz w:val="22"/>
              </w:rPr>
              <w:t>长阳铺镇：</w:t>
            </w:r>
            <w:r>
              <w:rPr>
                <w:color w:val="000000" w:themeColor="text1"/>
                <w:kern w:val="0"/>
                <w:szCs w:val="21"/>
                <w14:textFill>
                  <w14:solidFill>
                    <w14:schemeClr w14:val="tx1"/>
                  </w14:solidFill>
                </w14:textFill>
              </w:rPr>
              <w:t>农业种植、化工、新能源生产、矿产开采。</w:t>
            </w:r>
          </w:p>
        </w:tc>
        <w:tc>
          <w:tcPr>
            <w:tcW w:w="1716" w:type="pct"/>
            <w:gridSpan w:val="2"/>
            <w:vAlign w:val="center"/>
          </w:tcPr>
          <w:p>
            <w:pPr>
              <w:widowControl/>
              <w:rPr>
                <w:b/>
                <w:bCs/>
                <w:color w:val="000000" w:themeColor="text1"/>
                <w:kern w:val="0"/>
                <w:szCs w:val="21"/>
                <w14:textFill>
                  <w14:solidFill>
                    <w14:schemeClr w14:val="tx1"/>
                  </w14:solidFill>
                </w14:textFill>
              </w:rPr>
            </w:pPr>
            <w:r>
              <w:rPr>
                <w:b/>
                <w:color w:val="000000"/>
                <w:kern w:val="0"/>
                <w:szCs w:val="21"/>
              </w:rPr>
              <w:t>主要环境问题：</w:t>
            </w:r>
          </w:p>
          <w:p>
            <w:pPr>
              <w:widowControl/>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小溪市镇</w:t>
            </w:r>
            <w:r>
              <w:rPr>
                <w:color w:val="000000" w:themeColor="text1"/>
                <w:kern w:val="0"/>
                <w:szCs w:val="21"/>
                <w14:textFill>
                  <w14:solidFill>
                    <w14:schemeClr w14:val="tx1"/>
                  </w14:solidFill>
                </w14:textFill>
              </w:rPr>
              <w:t>：部分村落生活污水管网未完善，建筑工地未严格执行8个100%，城区空气质量部分指标未能稳定达标。</w:t>
            </w:r>
          </w:p>
          <w:p>
            <w:pPr>
              <w:widowControl/>
              <w:rPr>
                <w:color w:val="000000" w:themeColor="text1"/>
                <w:kern w:val="0"/>
                <w:szCs w:val="21"/>
                <w14:textFill>
                  <w14:solidFill>
                    <w14:schemeClr w14:val="tx1"/>
                  </w14:solidFill>
                </w14:textFill>
              </w:rPr>
            </w:pPr>
            <w:r>
              <w:rPr>
                <w:b/>
                <w:bCs/>
                <w:color w:val="000000"/>
                <w:sz w:val="22"/>
              </w:rPr>
              <w:t>岩口铺镇：</w:t>
            </w:r>
            <w:r>
              <w:rPr>
                <w:color w:val="000000" w:themeColor="text1"/>
                <w:kern w:val="0"/>
                <w:szCs w:val="21"/>
                <w14:textFill>
                  <w14:solidFill>
                    <w14:schemeClr w14:val="tx1"/>
                  </w14:solidFill>
                </w14:textFill>
              </w:rPr>
              <w:t>部分村落生活污水管网未完善，导致溪流水环境质量超标，建筑工地未严格执行8个100%，城区空气质量部分指标未能稳定达标。</w:t>
            </w:r>
          </w:p>
          <w:p>
            <w:pPr>
              <w:pStyle w:val="9"/>
              <w:ind w:left="0" w:leftChars="0" w:firstLine="0" w:firstLineChars="0"/>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b/>
                <w:color w:val="000000"/>
                <w:kern w:val="0"/>
                <w:szCs w:val="21"/>
              </w:rPr>
            </w:pPr>
            <w:r>
              <w:rPr>
                <w:b/>
                <w:color w:val="000000"/>
                <w:kern w:val="0"/>
                <w:szCs w:val="21"/>
              </w:rPr>
              <w:t>主要属性</w:t>
            </w:r>
          </w:p>
        </w:tc>
        <w:tc>
          <w:tcPr>
            <w:tcW w:w="4417" w:type="pct"/>
            <w:gridSpan w:val="11"/>
            <w:vAlign w:val="center"/>
          </w:tcPr>
          <w:p>
            <w:pPr>
              <w:pStyle w:val="3"/>
              <w:spacing w:line="400" w:lineRule="exact"/>
              <w:rPr>
                <w:b/>
                <w:bCs/>
                <w:color w:val="000000"/>
                <w:sz w:val="22"/>
              </w:rPr>
            </w:pPr>
            <w:r>
              <w:rPr>
                <w:b/>
                <w:bCs/>
                <w:color w:val="000000"/>
                <w:sz w:val="22"/>
              </w:rPr>
              <w:t>小溪市镇：</w:t>
            </w:r>
          </w:p>
          <w:p>
            <w:pPr>
              <w:pStyle w:val="3"/>
              <w:spacing w:line="400" w:lineRule="exact"/>
              <w:ind w:firstLine="422" w:firstLineChars="200"/>
            </w:pPr>
            <w:r>
              <w:rPr>
                <w:b/>
                <w:bCs/>
              </w:rPr>
              <w:t>生态红线：</w:t>
            </w:r>
            <w:r>
              <w:t>红线/一般生态空间/水源涵养重要区\三区三线生态红线\水土流失敏感区\原生态红线\生物多样性保护功能重要区；</w:t>
            </w:r>
          </w:p>
          <w:p>
            <w:pPr>
              <w:pStyle w:val="3"/>
              <w:spacing w:line="400" w:lineRule="exact"/>
              <w:ind w:firstLine="422" w:firstLineChars="200"/>
            </w:pPr>
            <w:r>
              <w:rPr>
                <w:b/>
                <w:bCs/>
              </w:rPr>
              <w:t>环境质量底线：</w:t>
            </w:r>
            <w:r>
              <w:t>水环境一般管控区、大气环境弱扩散重点管控区/其他区域、农用地优先保护区/建设用地重点管控区/其他重点管控区/一般管控区/矿区；农产品主产区</w:t>
            </w:r>
          </w:p>
          <w:p>
            <w:pPr>
              <w:pStyle w:val="3"/>
              <w:spacing w:line="400" w:lineRule="exact"/>
              <w:rPr>
                <w:b/>
                <w:bCs/>
                <w:color w:val="000000"/>
                <w:sz w:val="22"/>
              </w:rPr>
            </w:pPr>
            <w:r>
              <w:rPr>
                <w:b/>
                <w:bCs/>
                <w:color w:val="000000"/>
                <w:sz w:val="22"/>
              </w:rPr>
              <w:t>岩口铺镇：</w:t>
            </w:r>
          </w:p>
          <w:p>
            <w:pPr>
              <w:pStyle w:val="3"/>
              <w:spacing w:line="400" w:lineRule="exact"/>
              <w:ind w:firstLine="422" w:firstLineChars="200"/>
            </w:pPr>
            <w:r>
              <w:rPr>
                <w:b/>
                <w:bCs/>
              </w:rPr>
              <w:t>生态红线：</w:t>
            </w:r>
            <w:r>
              <w:t>红线/一般生态空间/三区三线生态红线\水源涵养重要区\生物多样性保护功能重要区\水土流失敏感区\原生态红线；</w:t>
            </w:r>
          </w:p>
          <w:p>
            <w:pPr>
              <w:pStyle w:val="3"/>
              <w:spacing w:line="400" w:lineRule="exact"/>
              <w:ind w:firstLine="422" w:firstLineChars="200"/>
            </w:pPr>
            <w:r>
              <w:rPr>
                <w:b/>
                <w:bCs/>
              </w:rPr>
              <w:t>环境质量底线：</w:t>
            </w:r>
            <w:r>
              <w:t>水环境一般管控区、大气环境高排放重点管控区/大气环境受体敏感重点管控区/大气环境弱扩散重点管控区/其他区域、农用地优先保护区/建设用地重点管控区/其他重点管控区/一般管控区/矿区；农产品主产区</w:t>
            </w:r>
          </w:p>
          <w:p>
            <w:pPr>
              <w:pStyle w:val="3"/>
              <w:spacing w:line="400" w:lineRule="exact"/>
              <w:rPr>
                <w:b/>
                <w:bCs/>
                <w:color w:val="000000"/>
                <w:sz w:val="22"/>
              </w:rPr>
            </w:pPr>
            <w:r>
              <w:rPr>
                <w:b/>
                <w:bCs/>
                <w:color w:val="000000"/>
                <w:sz w:val="22"/>
              </w:rPr>
              <w:t>长阳铺镇：</w:t>
            </w:r>
          </w:p>
          <w:p>
            <w:pPr>
              <w:pStyle w:val="3"/>
              <w:spacing w:line="400" w:lineRule="exact"/>
              <w:ind w:firstLine="422" w:firstLineChars="200"/>
            </w:pPr>
            <w:r>
              <w:rPr>
                <w:b/>
                <w:bCs/>
              </w:rPr>
              <w:t>生态红线：</w:t>
            </w:r>
            <w:r>
              <w:t>红线/一般生态空间/水源涵养重要区\三区三线生态红线\生物多样性保护功能重要区\水土流失敏感区\原生态红线\森林公园；</w:t>
            </w:r>
          </w:p>
          <w:p>
            <w:pPr>
              <w:pStyle w:val="3"/>
              <w:spacing w:line="400" w:lineRule="exact"/>
              <w:ind w:firstLine="422" w:firstLineChars="200"/>
            </w:pPr>
            <w:r>
              <w:rPr>
                <w:b/>
                <w:bCs/>
              </w:rPr>
              <w:t>环境质量底线：</w:t>
            </w:r>
            <w:r>
              <w:t>水环境工业园重点管控区/水环境一般管控区/工业园区/邵阳县高新技术产业开发区、大气环境优先保护区/大气环境高排放重点管控区/大气环境受体敏感重点管控区/大气环境弱扩散重点管控区/湖南邵阳宝庆省级森林公园、农用地优先保护区/其他重点管控区/一般管控区；矿区；邵阳县高新技术产业开发区；城市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b/>
                <w:color w:val="000000"/>
                <w:szCs w:val="21"/>
              </w:rPr>
            </w:pPr>
            <w:r>
              <w:rPr>
                <w:b/>
                <w:color w:val="000000"/>
                <w:szCs w:val="21"/>
              </w:rPr>
              <w:t>管控维度</w:t>
            </w:r>
          </w:p>
        </w:tc>
        <w:tc>
          <w:tcPr>
            <w:tcW w:w="3581" w:type="pct"/>
            <w:gridSpan w:val="10"/>
            <w:vAlign w:val="center"/>
          </w:tcPr>
          <w:p>
            <w:pPr>
              <w:spacing w:line="4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管控要求</w:t>
            </w:r>
          </w:p>
        </w:tc>
        <w:tc>
          <w:tcPr>
            <w:tcW w:w="836" w:type="pct"/>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空间布局约束</w:t>
            </w:r>
          </w:p>
        </w:tc>
        <w:tc>
          <w:tcPr>
            <w:tcW w:w="3581" w:type="pct"/>
            <w:gridSpan w:val="10"/>
            <w:vAlign w:val="center"/>
          </w:tcPr>
          <w:p>
            <w:pPr>
              <w:tabs>
                <w:tab w:val="left" w:pos="1021"/>
              </w:tabs>
              <w:spacing w:line="400" w:lineRule="exact"/>
              <w:rPr>
                <w:color w:val="000000"/>
                <w:szCs w:val="21"/>
              </w:rPr>
            </w:pPr>
            <w:r>
              <w:rPr>
                <w:color w:val="000000"/>
                <w:szCs w:val="21"/>
              </w:rPr>
              <w:t>（1.1）禁止在居民住宅楼等非商用建筑、未设立配套规划专用烟道的商住综合楼、以及商住综合楼内与居住层相邻的楼层新建、改建、扩建排放油烟的饮食服务项目。</w:t>
            </w:r>
          </w:p>
          <w:p>
            <w:pPr>
              <w:tabs>
                <w:tab w:val="left" w:pos="1021"/>
              </w:tabs>
              <w:spacing w:line="400" w:lineRule="exact"/>
              <w:rPr>
                <w:color w:val="000000"/>
                <w:szCs w:val="21"/>
              </w:rPr>
            </w:pPr>
            <w:r>
              <w:rPr>
                <w:color w:val="000000"/>
                <w:szCs w:val="21"/>
              </w:rPr>
              <w:t>（1.2）严禁水资源超载地区新建扩建高耗水项目，推动依法依规淘汰落后产能。</w:t>
            </w:r>
          </w:p>
          <w:p>
            <w:pPr>
              <w:tabs>
                <w:tab w:val="left" w:pos="1021"/>
              </w:tabs>
              <w:spacing w:line="400" w:lineRule="exact"/>
              <w:rPr>
                <w:color w:val="000000"/>
                <w:szCs w:val="21"/>
              </w:rPr>
            </w:pPr>
            <w:r>
              <w:rPr>
                <w:color w:val="000000"/>
                <w:szCs w:val="21"/>
              </w:rPr>
              <w:t>（1.3）深化“厕所革命”，推进粪污废水资源化利用，加快农村户用厕所改造和公共厕所建设。</w:t>
            </w:r>
          </w:p>
          <w:p>
            <w:pPr>
              <w:tabs>
                <w:tab w:val="left" w:pos="1021"/>
              </w:tabs>
              <w:spacing w:line="400" w:lineRule="exact"/>
              <w:rPr>
                <w:color w:val="000000"/>
                <w:szCs w:val="21"/>
              </w:rPr>
            </w:pPr>
            <w:r>
              <w:rPr>
                <w:color w:val="000000"/>
                <w:szCs w:val="21"/>
              </w:rPr>
              <w:t>（1.4）加强畜禽养殖污染防治，推进养殖业禁养区、限养区、适养区分区管理，逐步退出禁养区养殖小区(场)，限制限养区养殖规模，建设污染防治设施和综合治理设施，开展有机肥、沼气等养殖业循环经济模式示范。</w:t>
            </w:r>
          </w:p>
        </w:tc>
        <w:tc>
          <w:tcPr>
            <w:tcW w:w="836" w:type="pct"/>
            <w:vMerge w:val="restart"/>
          </w:tcPr>
          <w:p>
            <w:pPr>
              <w:pStyle w:val="3"/>
              <w:spacing w:line="400" w:lineRule="exact"/>
              <w:rPr>
                <w:color w:val="000000"/>
                <w:szCs w:val="21"/>
              </w:rPr>
            </w:pPr>
            <w:r>
              <w:rPr>
                <w:color w:val="000000"/>
                <w:szCs w:val="21"/>
              </w:rPr>
              <w:t>（1.1）（1.3）（2.1.1）（2.1.2）（2.2.1）（2.2.2）（2.3.1）（2.3.2）（3.1）（4.1.2）《邵阳县“十四五”生态环境保护规划》</w:t>
            </w:r>
          </w:p>
          <w:p>
            <w:pPr>
              <w:pStyle w:val="3"/>
              <w:spacing w:line="400" w:lineRule="exact"/>
              <w:rPr>
                <w:color w:val="000000"/>
                <w:szCs w:val="21"/>
              </w:rPr>
            </w:pPr>
            <w:r>
              <w:rPr>
                <w:color w:val="000000"/>
                <w:szCs w:val="21"/>
              </w:rPr>
              <w:t>（1.2）《邵阳县“十四五”节水型社会建设规划》</w:t>
            </w:r>
          </w:p>
          <w:p>
            <w:pPr>
              <w:pStyle w:val="3"/>
              <w:spacing w:line="400" w:lineRule="exact"/>
              <w:rPr>
                <w:color w:val="000000"/>
                <w:szCs w:val="21"/>
              </w:rPr>
            </w:pPr>
            <w:r>
              <w:rPr>
                <w:color w:val="000000"/>
                <w:szCs w:val="21"/>
              </w:rPr>
              <w:t>（1.4）（4.3.1）《邵阳县国民经济和社会发展第十四个五年(2021</w:t>
            </w:r>
            <w:r>
              <w:rPr>
                <w:rFonts w:hint="eastAsia"/>
                <w:color w:val="000000"/>
                <w:szCs w:val="21"/>
              </w:rPr>
              <w:t>—</w:t>
            </w:r>
            <w:r>
              <w:rPr>
                <w:color w:val="000000"/>
                <w:szCs w:val="21"/>
              </w:rPr>
              <w:t>2025年)规划纲要草案》</w:t>
            </w:r>
          </w:p>
          <w:p>
            <w:pPr>
              <w:pStyle w:val="3"/>
              <w:spacing w:line="400" w:lineRule="exact"/>
              <w:rPr>
                <w:color w:val="000000"/>
                <w:szCs w:val="21"/>
              </w:rPr>
            </w:pPr>
            <w:r>
              <w:rPr>
                <w:color w:val="000000"/>
                <w:szCs w:val="21"/>
              </w:rPr>
              <w:t>（4.1.1）《邵阳县“十四五”能源发展规划（2021—2025）》</w:t>
            </w:r>
          </w:p>
          <w:p>
            <w:pPr>
              <w:pStyle w:val="3"/>
              <w:spacing w:line="400" w:lineRule="exact"/>
            </w:pPr>
            <w:r>
              <w:rPr>
                <w:color w:val="000000"/>
                <w:szCs w:val="21"/>
              </w:rPr>
              <w:t>（4.2.1）《邵阳市“十四五”用水总量和强度双控目标》</w:t>
            </w:r>
          </w:p>
          <w:p>
            <w:pPr>
              <w:spacing w:line="400" w:lineRule="exact"/>
              <w:rPr>
                <w:color w:val="000000"/>
                <w:szCs w:val="21"/>
              </w:rPr>
            </w:pPr>
            <w:r>
              <w:rPr>
                <w:color w:val="000000"/>
                <w:szCs w:val="21"/>
              </w:rPr>
              <w:t>（4.3.2）《邵阳县国土空间总体规划》(2021</w:t>
            </w:r>
            <w:r>
              <w:rPr>
                <w:rFonts w:hint="eastAsia"/>
                <w:color w:val="000000"/>
                <w:szCs w:val="21"/>
              </w:rPr>
              <w:t>—</w:t>
            </w:r>
            <w:r>
              <w:rPr>
                <w:color w:val="000000"/>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污染物排放管控</w:t>
            </w:r>
          </w:p>
        </w:tc>
        <w:tc>
          <w:tcPr>
            <w:tcW w:w="3581" w:type="pct"/>
            <w:gridSpan w:val="10"/>
            <w:vAlign w:val="center"/>
          </w:tcPr>
          <w:p>
            <w:pPr>
              <w:pStyle w:val="5"/>
              <w:snapToGrid/>
              <w:spacing w:line="400" w:lineRule="exact"/>
              <w:jc w:val="both"/>
              <w:rPr>
                <w:color w:val="000000"/>
                <w:sz w:val="21"/>
                <w:szCs w:val="21"/>
              </w:rPr>
            </w:pPr>
            <w:r>
              <w:rPr>
                <w:color w:val="000000"/>
                <w:sz w:val="21"/>
                <w:szCs w:val="21"/>
              </w:rPr>
              <w:t>（2.1）废水：</w:t>
            </w:r>
          </w:p>
          <w:p>
            <w:pPr>
              <w:pStyle w:val="5"/>
              <w:snapToGrid/>
              <w:spacing w:line="400" w:lineRule="exact"/>
              <w:ind w:firstLine="420" w:firstLineChars="200"/>
              <w:jc w:val="both"/>
              <w:rPr>
                <w:color w:val="000000"/>
                <w:sz w:val="21"/>
                <w:szCs w:val="21"/>
              </w:rPr>
            </w:pPr>
            <w:r>
              <w:rPr>
                <w:color w:val="000000"/>
                <w:sz w:val="21"/>
                <w:szCs w:val="21"/>
              </w:rPr>
              <w:t>（2.1.1）加快建制镇污水处理设施配套雨污分离、清污分离和截污管网的建设。</w:t>
            </w:r>
          </w:p>
          <w:p>
            <w:pPr>
              <w:pStyle w:val="5"/>
              <w:snapToGrid/>
              <w:spacing w:line="400" w:lineRule="exact"/>
              <w:ind w:firstLine="420" w:firstLineChars="200"/>
              <w:jc w:val="both"/>
              <w:rPr>
                <w:color w:val="000000"/>
                <w:sz w:val="21"/>
                <w:szCs w:val="21"/>
              </w:rPr>
            </w:pPr>
            <w:r>
              <w:rPr>
                <w:color w:val="000000"/>
                <w:sz w:val="21"/>
                <w:szCs w:val="21"/>
              </w:rPr>
              <w:t>（2.1.2）推进农村生活污水治理。</w:t>
            </w:r>
          </w:p>
          <w:p>
            <w:pPr>
              <w:pStyle w:val="5"/>
              <w:snapToGrid/>
              <w:spacing w:line="400" w:lineRule="exact"/>
              <w:rPr>
                <w:color w:val="000000"/>
                <w:sz w:val="21"/>
                <w:szCs w:val="21"/>
              </w:rPr>
            </w:pPr>
            <w:r>
              <w:rPr>
                <w:color w:val="000000"/>
                <w:sz w:val="21"/>
                <w:szCs w:val="21"/>
              </w:rPr>
              <w:t>（2.2）废气：</w:t>
            </w:r>
          </w:p>
          <w:p>
            <w:pPr>
              <w:pStyle w:val="5"/>
              <w:snapToGrid/>
              <w:spacing w:line="400" w:lineRule="exact"/>
              <w:ind w:firstLine="420" w:firstLineChars="200"/>
              <w:rPr>
                <w:color w:val="000000"/>
                <w:sz w:val="21"/>
                <w:szCs w:val="21"/>
              </w:rPr>
            </w:pPr>
            <w:r>
              <w:rPr>
                <w:color w:val="000000"/>
                <w:sz w:val="21"/>
                <w:szCs w:val="21"/>
              </w:rPr>
              <w:t>(2.2.1)严格落实工地扬尘防控8个100%（工地周边100%围挡、方开挖及拆迁作业100%湿作业、场区道路100%硬化、各类物料堆放100%覆盖、</w:t>
            </w:r>
            <w:r>
              <w:fldChar w:fldCharType="begin"/>
            </w:r>
            <w:r>
              <w:instrText xml:space="preserve"> HYPERLINK "https://www.zhihu.com/search?q=%E6%B8%A3%E5%9C%9F&amp;search_source=Entity&amp;hybrid_search_source=Entity&amp;hybrid_search_extra=%7b" \t "https://zhuanlan.zhihu.com/p/_blank" </w:instrText>
            </w:r>
            <w:r>
              <w:fldChar w:fldCharType="separate"/>
            </w:r>
            <w:r>
              <w:rPr>
                <w:color w:val="000000"/>
                <w:sz w:val="21"/>
                <w:szCs w:val="21"/>
              </w:rPr>
              <w:t>渣土</w:t>
            </w:r>
            <w:r>
              <w:rPr>
                <w:color w:val="000000"/>
                <w:sz w:val="21"/>
                <w:szCs w:val="21"/>
              </w:rPr>
              <w:fldChar w:fldCharType="end"/>
            </w:r>
            <w:r>
              <w:rPr>
                <w:color w:val="000000"/>
                <w:sz w:val="21"/>
                <w:szCs w:val="21"/>
              </w:rPr>
              <w:t>车辆100%密闭运输、出场车辆100%清洗，施工工地100%安装在线视频监控、工地内非道路移动机械及使用油品100%达标）。</w:t>
            </w:r>
          </w:p>
          <w:p>
            <w:pPr>
              <w:spacing w:line="400" w:lineRule="exact"/>
              <w:ind w:firstLine="420" w:firstLineChars="200"/>
            </w:pPr>
            <w:r>
              <w:rPr>
                <w:color w:val="000000"/>
                <w:szCs w:val="21"/>
              </w:rPr>
              <w:t>（2.2.2）禁止任何单位和个人露天焚烧秸秆。</w:t>
            </w:r>
          </w:p>
          <w:p>
            <w:pPr>
              <w:pStyle w:val="5"/>
              <w:snapToGrid/>
              <w:spacing w:line="400" w:lineRule="exact"/>
              <w:rPr>
                <w:color w:val="000000"/>
                <w:sz w:val="21"/>
                <w:szCs w:val="21"/>
              </w:rPr>
            </w:pPr>
            <w:r>
              <w:rPr>
                <w:color w:val="000000"/>
                <w:sz w:val="21"/>
                <w:szCs w:val="21"/>
              </w:rPr>
              <w:t>（2.3）固体废物：</w:t>
            </w:r>
          </w:p>
          <w:p>
            <w:pPr>
              <w:pStyle w:val="5"/>
              <w:snapToGrid/>
              <w:spacing w:line="400" w:lineRule="exact"/>
              <w:ind w:firstLine="420" w:firstLineChars="200"/>
              <w:rPr>
                <w:color w:val="000000"/>
                <w:sz w:val="21"/>
                <w:szCs w:val="21"/>
              </w:rPr>
            </w:pPr>
            <w:r>
              <w:rPr>
                <w:color w:val="000000"/>
                <w:sz w:val="21"/>
                <w:szCs w:val="21"/>
              </w:rPr>
              <w:t>（2.3.1）推进固体废物从乱堆乱放向分类、规范、科学处置转变，工业固体废物处置率达100%。</w:t>
            </w:r>
          </w:p>
          <w:p>
            <w:pPr>
              <w:spacing w:line="400" w:lineRule="exact"/>
              <w:ind w:firstLine="420" w:firstLineChars="200"/>
            </w:pPr>
            <w:r>
              <w:rPr>
                <w:color w:val="000000"/>
                <w:szCs w:val="21"/>
              </w:rPr>
              <w:t>（2.3.2）推进农村生活垃圾分类收集处置。</w:t>
            </w:r>
          </w:p>
        </w:tc>
        <w:tc>
          <w:tcPr>
            <w:tcW w:w="836"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环境风险防控</w:t>
            </w:r>
          </w:p>
        </w:tc>
        <w:tc>
          <w:tcPr>
            <w:tcW w:w="3581" w:type="pct"/>
            <w:gridSpan w:val="10"/>
            <w:vAlign w:val="center"/>
          </w:tcPr>
          <w:p>
            <w:pPr>
              <w:spacing w:line="400" w:lineRule="exact"/>
              <w:rPr>
                <w:color w:val="000000"/>
                <w:szCs w:val="21"/>
              </w:rPr>
            </w:pPr>
            <w:r>
              <w:rPr>
                <w:color w:val="000000"/>
                <w:szCs w:val="21"/>
              </w:rPr>
              <w:t>（3.1）针对涉重金属矿区历史遗留固体废物，制定并实施相应污染源整治方案，降低矿区废物污染灌溉用水及随洪水进入农田的风险。</w:t>
            </w:r>
          </w:p>
        </w:tc>
        <w:tc>
          <w:tcPr>
            <w:tcW w:w="836" w:type="pct"/>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spacing w:line="400" w:lineRule="exact"/>
              <w:jc w:val="center"/>
              <w:rPr>
                <w:color w:val="000000"/>
                <w:szCs w:val="21"/>
              </w:rPr>
            </w:pPr>
            <w:r>
              <w:rPr>
                <w:color w:val="000000"/>
                <w:szCs w:val="21"/>
              </w:rPr>
              <w:t>资源开发效率要求</w:t>
            </w:r>
          </w:p>
        </w:tc>
        <w:tc>
          <w:tcPr>
            <w:tcW w:w="3581" w:type="pct"/>
            <w:gridSpan w:val="10"/>
            <w:vAlign w:val="center"/>
          </w:tcPr>
          <w:p>
            <w:pPr>
              <w:spacing w:line="400" w:lineRule="exact"/>
              <w:rPr>
                <w:color w:val="000000"/>
                <w:szCs w:val="21"/>
              </w:rPr>
            </w:pPr>
            <w:r>
              <w:rPr>
                <w:color w:val="000000"/>
                <w:szCs w:val="21"/>
              </w:rPr>
              <w:t>（4.1）能源：</w:t>
            </w:r>
          </w:p>
          <w:p>
            <w:pPr>
              <w:spacing w:line="400" w:lineRule="exact"/>
              <w:ind w:firstLine="420" w:firstLineChars="200"/>
              <w:rPr>
                <w:color w:val="000000"/>
                <w:szCs w:val="21"/>
              </w:rPr>
            </w:pPr>
            <w:r>
              <w:rPr>
                <w:color w:val="000000"/>
                <w:szCs w:val="21"/>
              </w:rPr>
              <w:t>（4.1.1）到2025年，全县煤炭消费总量控制在35万吨以内，煤炭消费占全社会能源消费的比重由2019年的47.36%降至35.21%。</w:t>
            </w:r>
          </w:p>
          <w:p>
            <w:pPr>
              <w:spacing w:line="400" w:lineRule="exact"/>
              <w:ind w:firstLine="420" w:firstLineChars="200"/>
              <w:rPr>
                <w:color w:val="000000"/>
                <w:szCs w:val="21"/>
              </w:rPr>
            </w:pPr>
            <w:r>
              <w:rPr>
                <w:color w:val="000000"/>
                <w:szCs w:val="21"/>
              </w:rPr>
              <w:t>（4.1.2）发展低碳工业，推进重点行业的低碳化改造，开展能源节约、废物循环利用和碳捕捉及回收利用。</w:t>
            </w:r>
          </w:p>
          <w:p>
            <w:pPr>
              <w:pStyle w:val="5"/>
              <w:snapToGrid/>
              <w:spacing w:line="400" w:lineRule="exact"/>
              <w:rPr>
                <w:color w:val="000000"/>
                <w:sz w:val="21"/>
                <w:szCs w:val="21"/>
              </w:rPr>
            </w:pPr>
            <w:r>
              <w:rPr>
                <w:color w:val="000000"/>
                <w:sz w:val="21"/>
                <w:szCs w:val="21"/>
              </w:rPr>
              <w:t>（4.2）水资源：</w:t>
            </w:r>
          </w:p>
          <w:p>
            <w:pPr>
              <w:pStyle w:val="5"/>
              <w:snapToGrid/>
              <w:spacing w:line="400" w:lineRule="exact"/>
              <w:ind w:firstLine="420" w:firstLineChars="200"/>
              <w:rPr>
                <w:color w:val="000000"/>
                <w:sz w:val="21"/>
                <w:szCs w:val="21"/>
              </w:rPr>
            </w:pPr>
            <w:r>
              <w:rPr>
                <w:color w:val="000000"/>
                <w:sz w:val="21"/>
                <w:szCs w:val="21"/>
              </w:rPr>
              <w:t>（4.2.1）到2025年，邵阳县用水总量控制在3.376亿立方米，万元地区生产总值用水量比2020年下降19.06%，万元工业增加值用水量比2020年下降12.06%，农田灌溉用水有效利用系数为0.558。</w:t>
            </w:r>
          </w:p>
          <w:p>
            <w:pPr>
              <w:spacing w:line="400" w:lineRule="exact"/>
              <w:rPr>
                <w:color w:val="000000"/>
                <w:szCs w:val="21"/>
              </w:rPr>
            </w:pPr>
            <w:r>
              <w:rPr>
                <w:color w:val="000000"/>
                <w:szCs w:val="21"/>
              </w:rPr>
              <w:t>（4.3）土地资源：</w:t>
            </w:r>
          </w:p>
          <w:p>
            <w:pPr>
              <w:spacing w:line="400" w:lineRule="exact"/>
              <w:ind w:firstLine="420" w:firstLineChars="200"/>
              <w:rPr>
                <w:color w:val="000000"/>
                <w:szCs w:val="21"/>
              </w:rPr>
            </w:pPr>
            <w:r>
              <w:rPr>
                <w:color w:val="000000"/>
                <w:szCs w:val="21"/>
              </w:rPr>
              <w:t>（4.3.1）严格实行耕地保护制度和土地节约制度，加强土地用途管制，控制建设用地总体规模。</w:t>
            </w:r>
          </w:p>
          <w:p>
            <w:pPr>
              <w:pStyle w:val="3"/>
              <w:spacing w:line="400" w:lineRule="exact"/>
              <w:ind w:firstLine="420" w:firstLineChars="200"/>
              <w:rPr>
                <w:color w:val="000000"/>
                <w:szCs w:val="21"/>
              </w:rPr>
            </w:pPr>
            <w:r>
              <w:rPr>
                <w:color w:val="000000"/>
                <w:szCs w:val="21"/>
              </w:rPr>
              <w:t>（4.3.2）邵阳县耕地保有量不低于78.54万亩，其中永久基本农田保护面积不低于72.16万亩，生态保护红线面积不低于150.65平方千米，城镇开发边界面积控制在31.90平方千米以内。</w:t>
            </w:r>
          </w:p>
        </w:tc>
        <w:tc>
          <w:tcPr>
            <w:tcW w:w="836" w:type="pct"/>
            <w:vMerge w:val="continue"/>
            <w:vAlign w:val="center"/>
          </w:tcPr>
          <w:p>
            <w:pPr>
              <w:spacing w:line="400" w:lineRule="exact"/>
            </w:pPr>
          </w:p>
        </w:tc>
      </w:tr>
    </w:tbl>
    <w:p>
      <w:pPr>
        <w:rPr>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509"/>
        <w:gridCol w:w="507"/>
        <w:gridCol w:w="431"/>
        <w:gridCol w:w="431"/>
        <w:gridCol w:w="1005"/>
        <w:gridCol w:w="1006"/>
        <w:gridCol w:w="1515"/>
        <w:gridCol w:w="2184"/>
        <w:gridCol w:w="1382"/>
        <w:gridCol w:w="76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Merge w:val="restart"/>
            <w:vAlign w:val="center"/>
          </w:tcPr>
          <w:p>
            <w:pPr>
              <w:widowControl/>
              <w:jc w:val="center"/>
              <w:rPr>
                <w:b/>
                <w:color w:val="000000"/>
                <w:kern w:val="0"/>
                <w:szCs w:val="21"/>
              </w:rPr>
            </w:pPr>
            <w:r>
              <w:rPr>
                <w:b/>
                <w:color w:val="000000"/>
                <w:kern w:val="0"/>
                <w:szCs w:val="21"/>
              </w:rPr>
              <w:t>环境管控单元编码</w:t>
            </w:r>
          </w:p>
        </w:tc>
        <w:tc>
          <w:tcPr>
            <w:tcW w:w="532" w:type="pct"/>
            <w:vMerge w:val="restart"/>
            <w:vAlign w:val="center"/>
          </w:tcPr>
          <w:p>
            <w:pPr>
              <w:widowControl/>
              <w:jc w:val="center"/>
              <w:rPr>
                <w:b/>
                <w:color w:val="000000"/>
                <w:kern w:val="0"/>
                <w:szCs w:val="21"/>
              </w:rPr>
            </w:pPr>
            <w:r>
              <w:rPr>
                <w:b/>
                <w:color w:val="000000"/>
                <w:kern w:val="0"/>
                <w:szCs w:val="21"/>
              </w:rPr>
              <w:t>单元名称</w:t>
            </w:r>
          </w:p>
        </w:tc>
        <w:tc>
          <w:tcPr>
            <w:tcW w:w="483" w:type="pct"/>
            <w:gridSpan w:val="3"/>
            <w:vAlign w:val="center"/>
          </w:tcPr>
          <w:p>
            <w:pPr>
              <w:widowControl/>
              <w:jc w:val="center"/>
              <w:rPr>
                <w:b/>
                <w:color w:val="000000"/>
                <w:kern w:val="0"/>
                <w:szCs w:val="21"/>
              </w:rPr>
            </w:pPr>
            <w:r>
              <w:rPr>
                <w:b/>
                <w:color w:val="000000"/>
                <w:kern w:val="0"/>
                <w:szCs w:val="21"/>
              </w:rPr>
              <w:t>行政区划</w:t>
            </w:r>
          </w:p>
        </w:tc>
        <w:tc>
          <w:tcPr>
            <w:tcW w:w="354" w:type="pct"/>
            <w:vMerge w:val="restart"/>
            <w:vAlign w:val="center"/>
          </w:tcPr>
          <w:p>
            <w:pPr>
              <w:widowControl/>
              <w:jc w:val="center"/>
              <w:rPr>
                <w:b/>
                <w:color w:val="000000"/>
                <w:kern w:val="0"/>
                <w:szCs w:val="21"/>
              </w:rPr>
            </w:pPr>
            <w:r>
              <w:rPr>
                <w:b/>
                <w:color w:val="000000"/>
                <w:kern w:val="0"/>
                <w:szCs w:val="21"/>
              </w:rPr>
              <w:t>单元分类</w:t>
            </w:r>
          </w:p>
        </w:tc>
        <w:tc>
          <w:tcPr>
            <w:tcW w:w="354"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534" w:type="pct"/>
            <w:vMerge w:val="restart"/>
            <w:vAlign w:val="center"/>
          </w:tcPr>
          <w:p>
            <w:pPr>
              <w:jc w:val="center"/>
              <w:rPr>
                <w:b/>
                <w:color w:val="000000"/>
                <w:kern w:val="0"/>
                <w:szCs w:val="21"/>
              </w:rPr>
            </w:pPr>
            <w:r>
              <w:rPr>
                <w:b/>
                <w:color w:val="000000"/>
                <w:kern w:val="0"/>
                <w:szCs w:val="21"/>
              </w:rPr>
              <w:t>涉及乡镇(街道)</w:t>
            </w:r>
          </w:p>
        </w:tc>
        <w:tc>
          <w:tcPr>
            <w:tcW w:w="770" w:type="pct"/>
            <w:vMerge w:val="restart"/>
            <w:vAlign w:val="center"/>
          </w:tcPr>
          <w:p>
            <w:pPr>
              <w:jc w:val="center"/>
              <w:rPr>
                <w:b/>
                <w:color w:val="000000"/>
                <w:kern w:val="0"/>
                <w:szCs w:val="21"/>
              </w:rPr>
            </w:pPr>
            <w:r>
              <w:rPr>
                <w:b/>
                <w:color w:val="000000"/>
                <w:kern w:val="0"/>
                <w:szCs w:val="21"/>
              </w:rPr>
              <w:t>主体功能定位</w:t>
            </w:r>
          </w:p>
        </w:tc>
        <w:tc>
          <w:tcPr>
            <w:tcW w:w="758" w:type="pct"/>
            <w:gridSpan w:val="2"/>
            <w:vMerge w:val="restart"/>
            <w:vAlign w:val="center"/>
          </w:tcPr>
          <w:p>
            <w:pPr>
              <w:jc w:val="center"/>
              <w:rPr>
                <w:b/>
                <w:color w:val="000000"/>
                <w:kern w:val="0"/>
                <w:szCs w:val="21"/>
              </w:rPr>
            </w:pPr>
            <w:r>
              <w:rPr>
                <w:b/>
                <w:color w:val="000000"/>
                <w:kern w:val="0"/>
                <w:szCs w:val="21"/>
              </w:rPr>
              <w:t>经济产业布局</w:t>
            </w:r>
          </w:p>
        </w:tc>
        <w:tc>
          <w:tcPr>
            <w:tcW w:w="603"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8" w:type="pct"/>
            <w:vMerge w:val="continue"/>
            <w:vAlign w:val="center"/>
          </w:tcPr>
          <w:p/>
        </w:tc>
        <w:tc>
          <w:tcPr>
            <w:tcW w:w="532" w:type="pct"/>
            <w:vMerge w:val="continue"/>
            <w:vAlign w:val="center"/>
          </w:tcPr>
          <w:p/>
        </w:tc>
        <w:tc>
          <w:tcPr>
            <w:tcW w:w="179" w:type="pct"/>
            <w:vAlign w:val="center"/>
          </w:tcPr>
          <w:p>
            <w:pPr>
              <w:jc w:val="center"/>
              <w:rPr>
                <w:b/>
                <w:color w:val="000000"/>
                <w:szCs w:val="21"/>
              </w:rPr>
            </w:pPr>
            <w:r>
              <w:rPr>
                <w:b/>
                <w:color w:val="000000"/>
                <w:szCs w:val="21"/>
              </w:rPr>
              <w:t>省</w:t>
            </w:r>
          </w:p>
        </w:tc>
        <w:tc>
          <w:tcPr>
            <w:tcW w:w="152" w:type="pct"/>
            <w:vAlign w:val="center"/>
          </w:tcPr>
          <w:p>
            <w:pPr>
              <w:jc w:val="center"/>
              <w:rPr>
                <w:b/>
                <w:color w:val="000000"/>
                <w:szCs w:val="21"/>
              </w:rPr>
            </w:pPr>
            <w:r>
              <w:rPr>
                <w:b/>
                <w:color w:val="000000"/>
                <w:szCs w:val="21"/>
              </w:rPr>
              <w:t>市</w:t>
            </w:r>
          </w:p>
        </w:tc>
        <w:tc>
          <w:tcPr>
            <w:tcW w:w="152" w:type="pct"/>
            <w:vAlign w:val="center"/>
          </w:tcPr>
          <w:p>
            <w:pPr>
              <w:jc w:val="center"/>
              <w:rPr>
                <w:b/>
                <w:color w:val="000000"/>
                <w:szCs w:val="21"/>
              </w:rPr>
            </w:pPr>
            <w:r>
              <w:rPr>
                <w:b/>
                <w:color w:val="000000"/>
                <w:szCs w:val="21"/>
              </w:rPr>
              <w:t>县</w:t>
            </w:r>
          </w:p>
        </w:tc>
        <w:tc>
          <w:tcPr>
            <w:tcW w:w="354" w:type="pct"/>
            <w:vMerge w:val="continue"/>
            <w:vAlign w:val="center"/>
          </w:tcPr>
          <w:p/>
        </w:tc>
        <w:tc>
          <w:tcPr>
            <w:tcW w:w="354" w:type="pct"/>
            <w:vMerge w:val="continue"/>
            <w:vAlign w:val="center"/>
          </w:tcPr>
          <w:p/>
        </w:tc>
        <w:tc>
          <w:tcPr>
            <w:tcW w:w="534" w:type="pct"/>
            <w:vMerge w:val="continue"/>
            <w:vAlign w:val="center"/>
          </w:tcPr>
          <w:p/>
        </w:tc>
        <w:tc>
          <w:tcPr>
            <w:tcW w:w="770" w:type="pct"/>
            <w:vMerge w:val="continue"/>
            <w:vAlign w:val="center"/>
          </w:tcPr>
          <w:p/>
        </w:tc>
        <w:tc>
          <w:tcPr>
            <w:tcW w:w="758" w:type="pct"/>
            <w:gridSpan w:val="2"/>
            <w:vMerge w:val="continue"/>
            <w:vAlign w:val="center"/>
          </w:tcPr>
          <w:p/>
        </w:tc>
        <w:tc>
          <w:tcPr>
            <w:tcW w:w="60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pPr>
              <w:jc w:val="center"/>
              <w:rPr>
                <w:color w:val="000000"/>
                <w:szCs w:val="21"/>
              </w:rPr>
            </w:pPr>
            <w:r>
              <w:rPr>
                <w:color w:val="000000"/>
                <w:szCs w:val="21"/>
              </w:rPr>
              <w:t>ZH43052330001</w:t>
            </w:r>
          </w:p>
        </w:tc>
        <w:tc>
          <w:tcPr>
            <w:tcW w:w="532" w:type="pct"/>
            <w:vAlign w:val="center"/>
          </w:tcPr>
          <w:p>
            <w:pPr>
              <w:jc w:val="center"/>
              <w:rPr>
                <w:color w:val="000000"/>
                <w:szCs w:val="21"/>
              </w:rPr>
            </w:pPr>
            <w:r>
              <w:rPr>
                <w:color w:val="000000"/>
                <w:szCs w:val="21"/>
              </w:rPr>
              <w:t>白仓镇\黄荆乡\九公桥镇\塘渡口镇\塘田市镇</w:t>
            </w:r>
          </w:p>
        </w:tc>
        <w:tc>
          <w:tcPr>
            <w:tcW w:w="179" w:type="pct"/>
            <w:vAlign w:val="center"/>
          </w:tcPr>
          <w:p>
            <w:pPr>
              <w:jc w:val="center"/>
              <w:rPr>
                <w:color w:val="000000"/>
                <w:szCs w:val="21"/>
              </w:rPr>
            </w:pPr>
            <w:r>
              <w:rPr>
                <w:color w:val="000000"/>
                <w:szCs w:val="21"/>
              </w:rPr>
              <w:t>湖南省</w:t>
            </w:r>
          </w:p>
        </w:tc>
        <w:tc>
          <w:tcPr>
            <w:tcW w:w="152" w:type="pct"/>
            <w:vAlign w:val="center"/>
          </w:tcPr>
          <w:p>
            <w:pPr>
              <w:jc w:val="center"/>
              <w:rPr>
                <w:color w:val="000000"/>
                <w:szCs w:val="21"/>
              </w:rPr>
            </w:pPr>
            <w:r>
              <w:rPr>
                <w:color w:val="000000"/>
                <w:szCs w:val="21"/>
              </w:rPr>
              <w:t>邵阳市</w:t>
            </w:r>
          </w:p>
        </w:tc>
        <w:tc>
          <w:tcPr>
            <w:tcW w:w="152" w:type="pct"/>
            <w:vAlign w:val="center"/>
          </w:tcPr>
          <w:p>
            <w:pPr>
              <w:jc w:val="center"/>
              <w:rPr>
                <w:color w:val="000000"/>
                <w:szCs w:val="21"/>
              </w:rPr>
            </w:pPr>
            <w:r>
              <w:rPr>
                <w:color w:val="000000"/>
                <w:szCs w:val="21"/>
              </w:rPr>
              <w:t>邵阳县</w:t>
            </w:r>
          </w:p>
        </w:tc>
        <w:tc>
          <w:tcPr>
            <w:tcW w:w="354" w:type="pct"/>
            <w:vAlign w:val="center"/>
          </w:tcPr>
          <w:p>
            <w:pPr>
              <w:jc w:val="center"/>
              <w:rPr>
                <w:color w:val="000000"/>
                <w:szCs w:val="21"/>
              </w:rPr>
            </w:pPr>
            <w:r>
              <w:rPr>
                <w:color w:val="000000"/>
                <w:szCs w:val="21"/>
              </w:rPr>
              <w:t>一般管控单元</w:t>
            </w:r>
          </w:p>
        </w:tc>
        <w:tc>
          <w:tcPr>
            <w:tcW w:w="354" w:type="pct"/>
            <w:vAlign w:val="center"/>
          </w:tcPr>
          <w:p>
            <w:pPr>
              <w:pStyle w:val="3"/>
            </w:pPr>
            <w:r>
              <w:rPr>
                <w:color w:val="000000"/>
                <w:sz w:val="22"/>
              </w:rPr>
              <w:t>583.19</w:t>
            </w:r>
          </w:p>
        </w:tc>
        <w:tc>
          <w:tcPr>
            <w:tcW w:w="534" w:type="pct"/>
            <w:vAlign w:val="center"/>
          </w:tcPr>
          <w:p>
            <w:pPr>
              <w:jc w:val="center"/>
              <w:rPr>
                <w:color w:val="000000"/>
                <w:szCs w:val="21"/>
              </w:rPr>
            </w:pPr>
            <w:r>
              <w:rPr>
                <w:color w:val="000000"/>
                <w:szCs w:val="21"/>
              </w:rPr>
              <w:t>白仓镇\黄荆乡\九公桥镇</w:t>
            </w:r>
            <w:r>
              <w:rPr>
                <w:szCs w:val="21"/>
              </w:rPr>
              <w:t>\塘渡口镇\塘</w:t>
            </w:r>
            <w:r>
              <w:rPr>
                <w:color w:val="000000"/>
                <w:szCs w:val="21"/>
              </w:rPr>
              <w:t>田市镇\</w:t>
            </w:r>
          </w:p>
        </w:tc>
        <w:tc>
          <w:tcPr>
            <w:tcW w:w="770" w:type="pct"/>
            <w:vAlign w:val="center"/>
          </w:tcPr>
          <w:p>
            <w:pPr>
              <w:jc w:val="left"/>
            </w:pPr>
            <w:r>
              <w:rPr>
                <w:b/>
                <w:bCs/>
                <w:color w:val="000000"/>
                <w:sz w:val="22"/>
              </w:rPr>
              <w:t>白仓镇、黄荆乡、九公桥镇：</w:t>
            </w:r>
            <w:r>
              <w:t>农产品主产区；</w:t>
            </w:r>
          </w:p>
          <w:p>
            <w:pPr>
              <w:jc w:val="left"/>
              <w:rPr>
                <w:color w:val="000000"/>
                <w:sz w:val="22"/>
              </w:rPr>
            </w:pPr>
            <w:r>
              <w:rPr>
                <w:b/>
                <w:bCs/>
                <w:sz w:val="22"/>
              </w:rPr>
              <w:t>塘渡口镇：</w:t>
            </w:r>
            <w:r>
              <w:rPr>
                <w:color w:val="000000"/>
                <w:sz w:val="22"/>
              </w:rPr>
              <w:t>城市化地区；</w:t>
            </w:r>
          </w:p>
          <w:p>
            <w:pPr>
              <w:jc w:val="left"/>
            </w:pPr>
            <w:r>
              <w:rPr>
                <w:b/>
                <w:bCs/>
                <w:sz w:val="22"/>
              </w:rPr>
              <w:t>塘</w:t>
            </w:r>
            <w:r>
              <w:rPr>
                <w:b/>
                <w:bCs/>
                <w:color w:val="000000"/>
                <w:sz w:val="22"/>
              </w:rPr>
              <w:t>田市镇：</w:t>
            </w:r>
            <w:r>
              <w:rPr>
                <w:color w:val="000000"/>
                <w:sz w:val="22"/>
              </w:rPr>
              <w:t>城市化地区/历史文化资源富集区。</w:t>
            </w:r>
          </w:p>
        </w:tc>
        <w:tc>
          <w:tcPr>
            <w:tcW w:w="758" w:type="pct"/>
            <w:gridSpan w:val="2"/>
            <w:vAlign w:val="center"/>
          </w:tcPr>
          <w:p>
            <w:pPr>
              <w:widowControl/>
              <w:rPr>
                <w:color w:val="000000" w:themeColor="text1"/>
                <w:kern w:val="0"/>
                <w:szCs w:val="21"/>
                <w14:textFill>
                  <w14:solidFill>
                    <w14:schemeClr w14:val="tx1"/>
                  </w14:solidFill>
                </w14:textFill>
              </w:rPr>
            </w:pPr>
            <w:r>
              <w:rPr>
                <w:b/>
                <w:bCs/>
                <w:color w:val="000000"/>
                <w:sz w:val="22"/>
              </w:rPr>
              <w:t>白仓镇：</w:t>
            </w:r>
            <w:r>
              <w:rPr>
                <w:color w:val="000000" w:themeColor="text1"/>
                <w:kern w:val="0"/>
                <w:szCs w:val="21"/>
                <w14:textFill>
                  <w14:solidFill>
                    <w14:schemeClr w14:val="tx1"/>
                  </w14:solidFill>
                </w14:textFill>
              </w:rPr>
              <w:t>物流业、农业种植、旅游、矿产开采。</w:t>
            </w:r>
            <w:r>
              <w:rPr>
                <w:b/>
                <w:bCs/>
                <w:color w:val="000000"/>
                <w:sz w:val="22"/>
              </w:rPr>
              <w:t>黄荆乡：</w:t>
            </w:r>
            <w:r>
              <w:rPr>
                <w:color w:val="000000" w:themeColor="text1"/>
                <w:kern w:val="0"/>
                <w:szCs w:val="21"/>
                <w14:textFill>
                  <w14:solidFill>
                    <w14:schemeClr w14:val="tx1"/>
                  </w14:solidFill>
                </w14:textFill>
              </w:rPr>
              <w:t>农业种植。</w:t>
            </w:r>
            <w:r>
              <w:rPr>
                <w:b/>
                <w:bCs/>
                <w:color w:val="000000"/>
                <w:sz w:val="22"/>
              </w:rPr>
              <w:t>九公桥镇：</w:t>
            </w:r>
            <w:r>
              <w:rPr>
                <w:color w:val="000000" w:themeColor="text1"/>
                <w:kern w:val="0"/>
                <w:szCs w:val="21"/>
                <w14:textFill>
                  <w14:solidFill>
                    <w14:schemeClr w14:val="tx1"/>
                  </w14:solidFill>
                </w14:textFill>
              </w:rPr>
              <w:t>农业种植、旅游、生物质加工、矿产开采。</w:t>
            </w:r>
            <w:r>
              <w:rPr>
                <w:b/>
                <w:bCs/>
                <w:sz w:val="22"/>
              </w:rPr>
              <w:t>塘渡口镇：</w:t>
            </w:r>
            <w:r>
              <w:rPr>
                <w:color w:val="000000" w:themeColor="text1"/>
                <w:kern w:val="0"/>
                <w:szCs w:val="21"/>
                <w14:textFill>
                  <w14:solidFill>
                    <w14:schemeClr w14:val="tx1"/>
                  </w14:solidFill>
                </w14:textFill>
              </w:rPr>
              <w:t>农业种植、畜禽养殖、旅游。</w:t>
            </w:r>
            <w:r>
              <w:rPr>
                <w:b/>
                <w:bCs/>
                <w:sz w:val="22"/>
              </w:rPr>
              <w:t>塘</w:t>
            </w:r>
            <w:r>
              <w:rPr>
                <w:b/>
                <w:bCs/>
                <w:color w:val="000000"/>
                <w:sz w:val="22"/>
              </w:rPr>
              <w:t>田市镇：</w:t>
            </w:r>
            <w:r>
              <w:rPr>
                <w:color w:val="000000" w:themeColor="text1"/>
                <w:kern w:val="0"/>
                <w:szCs w:val="21"/>
                <w14:textFill>
                  <w14:solidFill>
                    <w14:schemeClr w14:val="tx1"/>
                  </w14:solidFill>
                </w14:textFill>
              </w:rPr>
              <w:t>农业种植、畜禽养殖、矿产开采、旅游。</w:t>
            </w:r>
          </w:p>
        </w:tc>
        <w:tc>
          <w:tcPr>
            <w:tcW w:w="603" w:type="pct"/>
            <w:vAlign w:val="center"/>
          </w:tcPr>
          <w:p>
            <w:pPr>
              <w:widowControl/>
              <w:rPr>
                <w:color w:val="000000" w:themeColor="text1"/>
                <w:kern w:val="0"/>
                <w:szCs w:val="21"/>
                <w14:textFill>
                  <w14:solidFill>
                    <w14:schemeClr w14:val="tx1"/>
                  </w14:solidFill>
                </w14:textFill>
              </w:rPr>
            </w:pPr>
            <w:r>
              <w:rPr>
                <w:b/>
                <w:bCs/>
                <w:color w:val="000000"/>
                <w:szCs w:val="21"/>
              </w:rPr>
              <w:t>白仓镇、黄荆乡、九公桥镇、塘渡口镇、塘田市镇</w:t>
            </w:r>
            <w:r>
              <w:rPr>
                <w:color w:val="000000"/>
                <w:szCs w:val="21"/>
              </w:rPr>
              <w:t>：</w:t>
            </w:r>
            <w:r>
              <w:rPr>
                <w:color w:val="000000" w:themeColor="text1"/>
                <w:kern w:val="0"/>
                <w:szCs w:val="21"/>
                <w14:textFill>
                  <w14:solidFill>
                    <w14:schemeClr w14:val="tx1"/>
                  </w14:solidFill>
                </w14:textFill>
              </w:rPr>
              <w:t>生活垃圾收集处理不规范。</w:t>
            </w:r>
          </w:p>
          <w:p>
            <w:pPr>
              <w:pStyle w:val="9"/>
              <w:ind w:left="0" w:leftChars="0" w:firstLine="0" w:firstLineChars="0"/>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pPr>
              <w:widowControl/>
              <w:spacing w:line="340" w:lineRule="exact"/>
              <w:jc w:val="center"/>
              <w:rPr>
                <w:b/>
                <w:color w:val="000000"/>
                <w:kern w:val="0"/>
                <w:szCs w:val="21"/>
              </w:rPr>
            </w:pPr>
            <w:r>
              <w:rPr>
                <w:b/>
                <w:color w:val="000000"/>
                <w:kern w:val="0"/>
                <w:szCs w:val="21"/>
              </w:rPr>
              <w:t>主要属性</w:t>
            </w:r>
          </w:p>
        </w:tc>
        <w:tc>
          <w:tcPr>
            <w:tcW w:w="4391" w:type="pct"/>
            <w:gridSpan w:val="11"/>
            <w:vAlign w:val="center"/>
          </w:tcPr>
          <w:p>
            <w:pPr>
              <w:pStyle w:val="3"/>
              <w:spacing w:line="340" w:lineRule="exact"/>
              <w:rPr>
                <w:b/>
                <w:bCs/>
                <w:color w:val="000000"/>
                <w:sz w:val="22"/>
              </w:rPr>
            </w:pPr>
            <w:r>
              <w:rPr>
                <w:b/>
                <w:bCs/>
                <w:color w:val="000000"/>
                <w:sz w:val="22"/>
              </w:rPr>
              <w:t>白仓镇：</w:t>
            </w:r>
          </w:p>
          <w:p>
            <w:pPr>
              <w:pStyle w:val="3"/>
              <w:spacing w:line="340" w:lineRule="exact"/>
              <w:ind w:firstLine="442" w:firstLineChars="200"/>
            </w:pPr>
            <w:r>
              <w:rPr>
                <w:b/>
                <w:bCs/>
                <w:color w:val="000000"/>
                <w:sz w:val="22"/>
              </w:rPr>
              <w:t>生态红线：</w:t>
            </w:r>
            <w:r>
              <w:rPr>
                <w:sz w:val="22"/>
              </w:rPr>
              <w:t>红线</w:t>
            </w:r>
            <w:r>
              <w:t>/一般生态空间/三区三线生态红线\水源涵养重要区\生物多样性保护功能重要区\原生态红线\水土流失敏感区\森林公园；</w:t>
            </w:r>
          </w:p>
          <w:p>
            <w:pPr>
              <w:pStyle w:val="3"/>
              <w:spacing w:line="340" w:lineRule="exact"/>
              <w:ind w:firstLine="422" w:firstLineChars="200"/>
            </w:pPr>
            <w:r>
              <w:rPr>
                <w:b/>
                <w:bCs/>
              </w:rPr>
              <w:t>环境质量底线：</w:t>
            </w:r>
            <w:r>
              <w:t>水环境一般管控区、大气环境优先保护区/大气环境受体敏感重点管控区/大气环境弱扩散重点管控区；农用地优先保护区/建设用地重点管控区/其他重点管控区/一般管控区；矿区/中高风险企业用地；农产品主产区</w:t>
            </w:r>
          </w:p>
          <w:p>
            <w:pPr>
              <w:pStyle w:val="3"/>
              <w:spacing w:line="340" w:lineRule="exact"/>
              <w:rPr>
                <w:b/>
                <w:bCs/>
                <w:color w:val="000000"/>
                <w:sz w:val="22"/>
              </w:rPr>
            </w:pPr>
            <w:r>
              <w:rPr>
                <w:b/>
                <w:bCs/>
                <w:color w:val="000000"/>
                <w:sz w:val="22"/>
              </w:rPr>
              <w:t>黄荆乡：</w:t>
            </w:r>
          </w:p>
          <w:p>
            <w:pPr>
              <w:pStyle w:val="3"/>
              <w:spacing w:line="340" w:lineRule="exact"/>
              <w:ind w:firstLine="442" w:firstLineChars="200"/>
            </w:pPr>
            <w:r>
              <w:rPr>
                <w:b/>
                <w:bCs/>
                <w:color w:val="000000"/>
                <w:sz w:val="22"/>
              </w:rPr>
              <w:t>生态红线：</w:t>
            </w:r>
            <w:r>
              <w:t>红线/一般生态空间/水源涵养重要区\水土流失敏感区\三区三线生态红线\原生态红线\生物多样性保护功能重要区；</w:t>
            </w:r>
          </w:p>
          <w:p>
            <w:pPr>
              <w:pStyle w:val="3"/>
              <w:spacing w:line="340" w:lineRule="exact"/>
              <w:ind w:firstLine="422" w:firstLineChars="200"/>
            </w:pPr>
            <w:r>
              <w:rPr>
                <w:b/>
                <w:bCs/>
              </w:rPr>
              <w:t>环境质量底线：</w:t>
            </w:r>
            <w:r>
              <w:t>水环境一般管控区、农用地优先保护区/其他重点管控区/一般管控区/矿区；农产品主产区</w:t>
            </w:r>
          </w:p>
          <w:p>
            <w:pPr>
              <w:pStyle w:val="3"/>
              <w:spacing w:line="340" w:lineRule="exact"/>
              <w:rPr>
                <w:b/>
                <w:bCs/>
                <w:color w:val="000000"/>
                <w:sz w:val="22"/>
              </w:rPr>
            </w:pPr>
            <w:r>
              <w:rPr>
                <w:b/>
                <w:bCs/>
                <w:color w:val="000000"/>
                <w:sz w:val="22"/>
              </w:rPr>
              <w:t>九公桥镇：</w:t>
            </w:r>
          </w:p>
          <w:p>
            <w:pPr>
              <w:pStyle w:val="3"/>
              <w:spacing w:line="340" w:lineRule="exact"/>
              <w:ind w:firstLine="442" w:firstLineChars="200"/>
            </w:pPr>
            <w:r>
              <w:rPr>
                <w:b/>
                <w:bCs/>
                <w:color w:val="000000"/>
                <w:sz w:val="22"/>
              </w:rPr>
              <w:t>生态红线：</w:t>
            </w:r>
            <w:r>
              <w:t>红线/一般生态空间/水源涵养重要区\森林公园\三区三线生态红线\水土流失敏感区\生物多样性保护功能重要区\原生态红线\石漠化敏感区；</w:t>
            </w:r>
          </w:p>
          <w:p>
            <w:pPr>
              <w:pStyle w:val="3"/>
              <w:spacing w:line="340" w:lineRule="exact"/>
              <w:ind w:firstLine="422" w:firstLineChars="200"/>
            </w:pPr>
            <w:r>
              <w:rPr>
                <w:b/>
                <w:bCs/>
              </w:rPr>
              <w:t>环境质量底线：</w:t>
            </w:r>
            <w:r>
              <w:t>水环境一般管控区、大气环境优先保护区/大气环境受体敏感重点管控区/大气环境弱扩散重点管控区；湖南邵阳宝庆省级森林公园；农用地优先保护区/建设用地重点管控区/其他重点管控区/一般管控区；矿区/中高风险企业用地；农产品主产区；高污染燃料禁燃区</w:t>
            </w:r>
          </w:p>
          <w:p>
            <w:pPr>
              <w:pStyle w:val="3"/>
              <w:spacing w:line="340" w:lineRule="exact"/>
              <w:rPr>
                <w:b/>
                <w:bCs/>
                <w:sz w:val="22"/>
              </w:rPr>
            </w:pPr>
            <w:r>
              <w:rPr>
                <w:b/>
                <w:bCs/>
                <w:sz w:val="22"/>
              </w:rPr>
              <w:t>塘渡口镇：</w:t>
            </w:r>
          </w:p>
          <w:p>
            <w:pPr>
              <w:pStyle w:val="3"/>
              <w:spacing w:line="340" w:lineRule="exact"/>
              <w:ind w:firstLine="442" w:firstLineChars="200"/>
              <w:rPr>
                <w:color w:val="000000"/>
                <w:sz w:val="22"/>
              </w:rPr>
            </w:pPr>
            <w:r>
              <w:rPr>
                <w:b/>
                <w:bCs/>
                <w:color w:val="000000"/>
                <w:sz w:val="22"/>
              </w:rPr>
              <w:t>生态红线：</w:t>
            </w:r>
            <w:r>
              <w:rPr>
                <w:color w:val="000000"/>
                <w:sz w:val="22"/>
              </w:rPr>
              <w:t>红线/一般生态空间/水源涵养重要区\三区三线生态红线\湿地公园\水土流失敏感区\生物多样性保护功能重要区\原生态红线\水土保持功能重要区；</w:t>
            </w:r>
          </w:p>
          <w:p>
            <w:pPr>
              <w:pStyle w:val="3"/>
              <w:spacing w:line="340" w:lineRule="exact"/>
              <w:rPr>
                <w:color w:val="000000"/>
                <w:sz w:val="22"/>
              </w:rPr>
            </w:pPr>
            <w:r>
              <w:rPr>
                <w:b/>
                <w:bCs/>
              </w:rPr>
              <w:t>环境质量底线：</w:t>
            </w:r>
            <w:r>
              <w:rPr>
                <w:color w:val="000000"/>
                <w:sz w:val="22"/>
              </w:rPr>
              <w:t>水环境优先保护区/水环境工业园重点管控区/水环境城镇生活污染重点管控区/水环境一般管控区；湿地公园/水源地（县级及以上）/工业园区/污水处理厂；湖南天子湖国家级湿地公园/邵阳市邵阳县夫夷水饮用水水源保护区/邵阳县高新技术产业开发区/邵阳县塘渡口污水处理厂；大气环境优先保护区/大气环境高排放重点管控区/大气环境受体敏感重点管控区/大气环境弱扩散重点管控区；湖南天子湖国家湿地公园/邵阳工业集中区/邵阳县高新技术产业开发区；农用地优先保护区/建设用地重点管控区/其他重点管控区/一般管控区；矿区/中高风险企业用地；邵阳县高新技术产业开发区；城市化地区</w:t>
            </w:r>
          </w:p>
          <w:p>
            <w:pPr>
              <w:pStyle w:val="3"/>
              <w:spacing w:line="340" w:lineRule="exact"/>
              <w:rPr>
                <w:b/>
                <w:bCs/>
                <w:color w:val="000000"/>
                <w:sz w:val="22"/>
              </w:rPr>
            </w:pPr>
            <w:r>
              <w:rPr>
                <w:b/>
                <w:bCs/>
                <w:sz w:val="22"/>
              </w:rPr>
              <w:t>塘</w:t>
            </w:r>
            <w:r>
              <w:rPr>
                <w:b/>
                <w:bCs/>
                <w:color w:val="000000"/>
                <w:sz w:val="22"/>
              </w:rPr>
              <w:t>田市镇：</w:t>
            </w:r>
          </w:p>
          <w:p>
            <w:pPr>
              <w:pStyle w:val="3"/>
              <w:spacing w:line="340" w:lineRule="exact"/>
              <w:ind w:firstLine="442" w:firstLineChars="200"/>
              <w:rPr>
                <w:color w:val="000000"/>
                <w:sz w:val="22"/>
              </w:rPr>
            </w:pPr>
            <w:r>
              <w:rPr>
                <w:b/>
                <w:bCs/>
                <w:color w:val="000000"/>
                <w:sz w:val="22"/>
              </w:rPr>
              <w:t>生态红线：</w:t>
            </w:r>
            <w:r>
              <w:rPr>
                <w:color w:val="000000"/>
                <w:sz w:val="22"/>
              </w:rPr>
              <w:t>红线/一般生态空间/水源涵养重要区\三区三线生态红线\原生态红线\水土流失敏感区\森林公园\生物多样性保护功能重要区；</w:t>
            </w:r>
          </w:p>
          <w:p>
            <w:pPr>
              <w:pStyle w:val="3"/>
              <w:spacing w:line="340" w:lineRule="exact"/>
              <w:ind w:firstLine="422" w:firstLineChars="200"/>
              <w:rPr>
                <w:color w:val="000000"/>
                <w:sz w:val="22"/>
              </w:rPr>
            </w:pPr>
            <w:r>
              <w:rPr>
                <w:b/>
                <w:bCs/>
              </w:rPr>
              <w:t>环境质量底线：</w:t>
            </w:r>
            <w:r>
              <w:rPr>
                <w:color w:val="000000"/>
                <w:sz w:val="22"/>
              </w:rPr>
              <w:t>水环境一般管控区、大气环境优先保护区/大气环境受体敏感重点管控区/大气环境弱扩散重点管控区；湖南河伯岭省级森林公园、</w:t>
            </w:r>
            <w:r>
              <w:t>湖南邵阳宝庆省级森林公园；农</w:t>
            </w:r>
            <w:r>
              <w:rPr>
                <w:color w:val="000000"/>
                <w:sz w:val="22"/>
              </w:rPr>
              <w:t>用地优先保护区/其他重点管控区/一般管控区；矿区；城市化地区/历史文化资源富集区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pPr>
              <w:widowControl/>
              <w:spacing w:line="340" w:lineRule="exact"/>
              <w:jc w:val="center"/>
              <w:rPr>
                <w:b/>
                <w:color w:val="000000"/>
                <w:szCs w:val="21"/>
              </w:rPr>
            </w:pPr>
            <w:r>
              <w:rPr>
                <w:b/>
                <w:color w:val="000000"/>
                <w:szCs w:val="21"/>
              </w:rPr>
              <w:t>管控维度</w:t>
            </w:r>
          </w:p>
        </w:tc>
        <w:tc>
          <w:tcPr>
            <w:tcW w:w="3517" w:type="pct"/>
            <w:gridSpan w:val="9"/>
            <w:vAlign w:val="center"/>
          </w:tcPr>
          <w:p>
            <w:pPr>
              <w:spacing w:line="340" w:lineRule="exact"/>
              <w:jc w:val="center"/>
              <w:rPr>
                <w:b/>
                <w:color w:val="000000"/>
                <w:szCs w:val="21"/>
              </w:rPr>
            </w:pPr>
            <w:r>
              <w:rPr>
                <w:b/>
                <w:color w:val="000000"/>
                <w:kern w:val="0"/>
                <w:szCs w:val="21"/>
              </w:rPr>
              <w:t>管控要求</w:t>
            </w:r>
          </w:p>
        </w:tc>
        <w:tc>
          <w:tcPr>
            <w:tcW w:w="874" w:type="pct"/>
            <w:gridSpan w:val="2"/>
            <w:vAlign w:val="center"/>
          </w:tcPr>
          <w:p>
            <w:pPr>
              <w:spacing w:line="34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pPr>
              <w:widowControl/>
              <w:spacing w:line="340" w:lineRule="exact"/>
              <w:jc w:val="center"/>
              <w:rPr>
                <w:color w:val="000000"/>
                <w:szCs w:val="21"/>
              </w:rPr>
            </w:pPr>
            <w:r>
              <w:rPr>
                <w:color w:val="000000"/>
                <w:szCs w:val="21"/>
              </w:rPr>
              <w:t>空间布局约束</w:t>
            </w:r>
          </w:p>
        </w:tc>
        <w:tc>
          <w:tcPr>
            <w:tcW w:w="3517" w:type="pct"/>
            <w:gridSpan w:val="9"/>
            <w:vAlign w:val="center"/>
          </w:tcPr>
          <w:p>
            <w:pPr>
              <w:tabs>
                <w:tab w:val="left" w:pos="1021"/>
              </w:tabs>
              <w:spacing w:line="340" w:lineRule="exact"/>
              <w:rPr>
                <w:color w:val="000000"/>
                <w:szCs w:val="21"/>
              </w:rPr>
            </w:pPr>
            <w:r>
              <w:rPr>
                <w:color w:val="000000"/>
                <w:szCs w:val="21"/>
              </w:rPr>
              <w:t>（1.1）禁止在居民住宅楼等非商用建筑、未设立配套规划专用烟道的商住综合楼、以及商住综合楼内与居住层相邻的楼层新建、改建、扩建排放油烟的饮食服务项目。</w:t>
            </w:r>
          </w:p>
          <w:p>
            <w:pPr>
              <w:tabs>
                <w:tab w:val="left" w:pos="1021"/>
              </w:tabs>
              <w:spacing w:line="340" w:lineRule="exact"/>
              <w:rPr>
                <w:color w:val="000000"/>
                <w:szCs w:val="21"/>
              </w:rPr>
            </w:pPr>
            <w:r>
              <w:rPr>
                <w:color w:val="000000"/>
                <w:szCs w:val="21"/>
              </w:rPr>
              <w:t>（1.2）严禁水资源超载地区新建扩建高耗水项目，推动依法依规淘汰落后产能。</w:t>
            </w:r>
          </w:p>
          <w:p>
            <w:pPr>
              <w:tabs>
                <w:tab w:val="left" w:pos="1021"/>
              </w:tabs>
              <w:spacing w:line="340" w:lineRule="exact"/>
              <w:rPr>
                <w:color w:val="000000"/>
                <w:szCs w:val="21"/>
              </w:rPr>
            </w:pPr>
            <w:r>
              <w:rPr>
                <w:color w:val="000000"/>
                <w:szCs w:val="21"/>
              </w:rPr>
              <w:t>（1.3）深化“厕所革命”，推进粪污废水资源化利用，加快农村户用厕所改造和公共厕所建设。</w:t>
            </w:r>
          </w:p>
        </w:tc>
        <w:tc>
          <w:tcPr>
            <w:tcW w:w="874" w:type="pct"/>
            <w:gridSpan w:val="2"/>
            <w:vMerge w:val="restart"/>
          </w:tcPr>
          <w:p>
            <w:pPr>
              <w:pStyle w:val="3"/>
              <w:spacing w:line="400" w:lineRule="exact"/>
              <w:rPr>
                <w:color w:val="000000"/>
                <w:szCs w:val="21"/>
              </w:rPr>
            </w:pPr>
            <w:r>
              <w:rPr>
                <w:color w:val="000000"/>
                <w:szCs w:val="21"/>
              </w:rPr>
              <w:t>（1.1）（1.3）（2.1.1）（2.1.2）（2.2.1）（2.2.2）（2.3.1）（2.3.2）（3.1）（4.1.2）《邵阳县“十四五”生态环境保护规划》</w:t>
            </w:r>
          </w:p>
          <w:p>
            <w:pPr>
              <w:pStyle w:val="3"/>
              <w:spacing w:line="400" w:lineRule="exact"/>
              <w:rPr>
                <w:color w:val="000000"/>
                <w:szCs w:val="21"/>
              </w:rPr>
            </w:pPr>
            <w:r>
              <w:rPr>
                <w:color w:val="000000"/>
                <w:szCs w:val="21"/>
              </w:rPr>
              <w:t>（1.2）《邵阳县“十四五”节水型社会建设规划》</w:t>
            </w:r>
          </w:p>
          <w:p>
            <w:pPr>
              <w:pStyle w:val="3"/>
              <w:spacing w:line="400" w:lineRule="exact"/>
              <w:rPr>
                <w:color w:val="000000"/>
                <w:szCs w:val="21"/>
              </w:rPr>
            </w:pPr>
            <w:r>
              <w:rPr>
                <w:color w:val="000000"/>
                <w:szCs w:val="21"/>
              </w:rPr>
              <w:t>（4.1.1）《邵阳县“十四五”能源发展规划（2021—2025）》</w:t>
            </w:r>
          </w:p>
          <w:p>
            <w:pPr>
              <w:pStyle w:val="3"/>
              <w:spacing w:line="400" w:lineRule="exact"/>
              <w:rPr>
                <w:color w:val="000000"/>
                <w:szCs w:val="21"/>
              </w:rPr>
            </w:pPr>
            <w:r>
              <w:rPr>
                <w:color w:val="000000"/>
                <w:szCs w:val="21"/>
              </w:rPr>
              <w:t>（4.2.1）《邵阳市“十四五”用水总量和强度双控目标》</w:t>
            </w:r>
          </w:p>
          <w:p>
            <w:pPr>
              <w:pStyle w:val="3"/>
              <w:spacing w:line="400" w:lineRule="exact"/>
            </w:pPr>
            <w:r>
              <w:rPr>
                <w:color w:val="000000"/>
                <w:szCs w:val="21"/>
              </w:rPr>
              <w:t>（4.3.1）《邵阳县国民经济和社会发展第十四个五年(2021</w:t>
            </w:r>
            <w:r>
              <w:rPr>
                <w:rFonts w:hint="eastAsia"/>
                <w:color w:val="000000"/>
                <w:szCs w:val="21"/>
              </w:rPr>
              <w:t>—</w:t>
            </w:r>
            <w:r>
              <w:rPr>
                <w:color w:val="000000"/>
                <w:szCs w:val="21"/>
              </w:rPr>
              <w:t>2025年)规划纲要草案》</w:t>
            </w:r>
          </w:p>
          <w:p>
            <w:pPr>
              <w:pStyle w:val="3"/>
              <w:spacing w:line="340" w:lineRule="exact"/>
              <w:rPr>
                <w:color w:val="000000"/>
                <w:szCs w:val="21"/>
              </w:rPr>
            </w:pPr>
            <w:r>
              <w:rPr>
                <w:color w:val="000000"/>
                <w:szCs w:val="21"/>
              </w:rPr>
              <w:t>（4.3.2）《邵阳县国土空间总体规划》(2021</w:t>
            </w:r>
            <w:r>
              <w:rPr>
                <w:rFonts w:hint="eastAsia"/>
                <w:color w:val="000000"/>
                <w:szCs w:val="21"/>
              </w:rPr>
              <w:t>—</w:t>
            </w:r>
            <w:r>
              <w:rPr>
                <w:color w:val="000000"/>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pPr>
              <w:widowControl/>
              <w:spacing w:line="360" w:lineRule="exact"/>
              <w:jc w:val="center"/>
              <w:rPr>
                <w:color w:val="000000"/>
                <w:szCs w:val="21"/>
              </w:rPr>
            </w:pPr>
            <w:r>
              <w:rPr>
                <w:color w:val="000000"/>
                <w:szCs w:val="21"/>
              </w:rPr>
              <w:t>污染物排放管控</w:t>
            </w:r>
          </w:p>
        </w:tc>
        <w:tc>
          <w:tcPr>
            <w:tcW w:w="3517" w:type="pct"/>
            <w:gridSpan w:val="9"/>
            <w:vAlign w:val="center"/>
          </w:tcPr>
          <w:p>
            <w:pPr>
              <w:pStyle w:val="5"/>
              <w:snapToGrid/>
              <w:spacing w:line="360" w:lineRule="exact"/>
              <w:jc w:val="both"/>
              <w:rPr>
                <w:color w:val="000000"/>
                <w:sz w:val="21"/>
                <w:szCs w:val="21"/>
              </w:rPr>
            </w:pPr>
            <w:r>
              <w:rPr>
                <w:color w:val="000000"/>
                <w:sz w:val="21"/>
                <w:szCs w:val="21"/>
              </w:rPr>
              <w:t>（2.1）废水：</w:t>
            </w:r>
          </w:p>
          <w:p>
            <w:pPr>
              <w:pStyle w:val="5"/>
              <w:snapToGrid/>
              <w:spacing w:line="360" w:lineRule="exact"/>
              <w:ind w:firstLine="420" w:firstLineChars="200"/>
              <w:jc w:val="both"/>
              <w:rPr>
                <w:color w:val="000000"/>
                <w:sz w:val="21"/>
                <w:szCs w:val="21"/>
              </w:rPr>
            </w:pPr>
            <w:r>
              <w:rPr>
                <w:color w:val="000000"/>
                <w:sz w:val="21"/>
                <w:szCs w:val="21"/>
              </w:rPr>
              <w:t>（2.1.1）加快建制镇污水处理设施配套雨污分离、清污分离和截污管网的建设。</w:t>
            </w:r>
          </w:p>
          <w:p>
            <w:pPr>
              <w:pStyle w:val="5"/>
              <w:snapToGrid/>
              <w:spacing w:line="360" w:lineRule="exact"/>
              <w:ind w:firstLine="420" w:firstLineChars="200"/>
              <w:jc w:val="both"/>
              <w:rPr>
                <w:color w:val="000000"/>
                <w:sz w:val="21"/>
                <w:szCs w:val="21"/>
              </w:rPr>
            </w:pPr>
            <w:r>
              <w:rPr>
                <w:color w:val="000000"/>
                <w:sz w:val="21"/>
                <w:szCs w:val="21"/>
              </w:rPr>
              <w:t>（2.1.2）推进农村生活污水治理。</w:t>
            </w:r>
          </w:p>
          <w:p>
            <w:pPr>
              <w:pStyle w:val="5"/>
              <w:snapToGrid/>
              <w:spacing w:line="360" w:lineRule="exact"/>
              <w:rPr>
                <w:color w:val="000000"/>
                <w:sz w:val="21"/>
                <w:szCs w:val="21"/>
              </w:rPr>
            </w:pPr>
            <w:r>
              <w:rPr>
                <w:color w:val="000000"/>
                <w:sz w:val="21"/>
                <w:szCs w:val="21"/>
              </w:rPr>
              <w:t>（2.2）废气：</w:t>
            </w:r>
          </w:p>
          <w:p>
            <w:pPr>
              <w:pStyle w:val="5"/>
              <w:snapToGrid/>
              <w:spacing w:line="360" w:lineRule="exact"/>
              <w:ind w:firstLine="420" w:firstLineChars="200"/>
              <w:rPr>
                <w:color w:val="000000"/>
                <w:sz w:val="21"/>
                <w:szCs w:val="21"/>
              </w:rPr>
            </w:pPr>
            <w:r>
              <w:rPr>
                <w:color w:val="000000"/>
                <w:sz w:val="21"/>
                <w:szCs w:val="21"/>
              </w:rPr>
              <w:t>(2.2.1)严格落实工地扬尘防控8个100%（工地周边100%围挡、方开挖及拆迁作业100%湿作业、场区道路100%硬化、各类物料堆放100%覆盖、</w:t>
            </w:r>
            <w:r>
              <w:fldChar w:fldCharType="begin"/>
            </w:r>
            <w:r>
              <w:instrText xml:space="preserve"> HYPERLINK "https://www.zhihu.com/search?q=%E6%B8%A3%E5%9C%9F&amp;search_source=Entity&amp;hybrid_search_source=Entity&amp;hybrid_search_extra=%7b" \t "https://zhuanlan.zhihu.com/p/_blank" </w:instrText>
            </w:r>
            <w:r>
              <w:fldChar w:fldCharType="separate"/>
            </w:r>
            <w:r>
              <w:rPr>
                <w:color w:val="000000"/>
                <w:sz w:val="21"/>
                <w:szCs w:val="21"/>
              </w:rPr>
              <w:t>渣土</w:t>
            </w:r>
            <w:r>
              <w:rPr>
                <w:color w:val="000000"/>
                <w:sz w:val="21"/>
                <w:szCs w:val="21"/>
              </w:rPr>
              <w:fldChar w:fldCharType="end"/>
            </w:r>
            <w:r>
              <w:rPr>
                <w:color w:val="000000"/>
                <w:sz w:val="21"/>
                <w:szCs w:val="21"/>
              </w:rPr>
              <w:t>车辆100%密闭运输、出场车辆100%清洗，施工工地100%安装在线视频监控、工地内非道路移动机械及使用油品100%达标）。</w:t>
            </w:r>
          </w:p>
          <w:p>
            <w:pPr>
              <w:spacing w:line="360" w:lineRule="exact"/>
              <w:ind w:firstLine="420" w:firstLineChars="200"/>
            </w:pPr>
            <w:r>
              <w:rPr>
                <w:color w:val="000000"/>
                <w:szCs w:val="21"/>
              </w:rPr>
              <w:t>（2.2.2）禁止任何单位和个人露天焚烧秸秆。</w:t>
            </w:r>
          </w:p>
          <w:p>
            <w:pPr>
              <w:pStyle w:val="5"/>
              <w:snapToGrid/>
              <w:spacing w:line="360" w:lineRule="exact"/>
              <w:rPr>
                <w:color w:val="000000"/>
                <w:sz w:val="21"/>
                <w:szCs w:val="21"/>
              </w:rPr>
            </w:pPr>
            <w:r>
              <w:rPr>
                <w:color w:val="000000"/>
                <w:sz w:val="21"/>
                <w:szCs w:val="21"/>
              </w:rPr>
              <w:t>（2.3）固体废物：</w:t>
            </w:r>
          </w:p>
          <w:p>
            <w:pPr>
              <w:pStyle w:val="5"/>
              <w:snapToGrid/>
              <w:spacing w:line="360" w:lineRule="exact"/>
              <w:ind w:firstLine="420" w:firstLineChars="200"/>
              <w:rPr>
                <w:color w:val="000000"/>
                <w:sz w:val="21"/>
                <w:szCs w:val="21"/>
              </w:rPr>
            </w:pPr>
            <w:r>
              <w:rPr>
                <w:color w:val="000000"/>
                <w:sz w:val="21"/>
                <w:szCs w:val="21"/>
              </w:rPr>
              <w:t>（2.3.1）推进固体废物从乱堆乱放向分类、规范、科学处置转变，工业固体废物处置率达100%。</w:t>
            </w:r>
          </w:p>
          <w:p>
            <w:pPr>
              <w:spacing w:line="360" w:lineRule="exact"/>
              <w:ind w:firstLine="420" w:firstLineChars="200"/>
              <w:rPr>
                <w:color w:val="000000"/>
                <w:szCs w:val="21"/>
              </w:rPr>
            </w:pPr>
            <w:r>
              <w:rPr>
                <w:color w:val="000000"/>
                <w:szCs w:val="21"/>
              </w:rPr>
              <w:t>（2.3.2）推进农村生活垃圾分类收集处置。</w:t>
            </w:r>
          </w:p>
        </w:tc>
        <w:tc>
          <w:tcPr>
            <w:tcW w:w="874" w:type="pct"/>
            <w:gridSpan w:val="2"/>
            <w:vMerge w:val="continue"/>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pPr>
              <w:widowControl/>
              <w:spacing w:line="360" w:lineRule="exact"/>
              <w:jc w:val="center"/>
              <w:rPr>
                <w:color w:val="000000"/>
                <w:szCs w:val="21"/>
              </w:rPr>
            </w:pPr>
            <w:r>
              <w:rPr>
                <w:color w:val="000000"/>
                <w:szCs w:val="21"/>
              </w:rPr>
              <w:t>环境风险防控</w:t>
            </w:r>
          </w:p>
        </w:tc>
        <w:tc>
          <w:tcPr>
            <w:tcW w:w="3517" w:type="pct"/>
            <w:gridSpan w:val="9"/>
            <w:vAlign w:val="center"/>
          </w:tcPr>
          <w:p>
            <w:pPr>
              <w:spacing w:line="360" w:lineRule="exact"/>
              <w:rPr>
                <w:color w:val="000000"/>
                <w:szCs w:val="21"/>
              </w:rPr>
            </w:pPr>
            <w:r>
              <w:rPr>
                <w:color w:val="000000"/>
                <w:szCs w:val="21"/>
              </w:rPr>
              <w:t>（3.1）针对涉重金属矿区历史遗留固体废物，制定并实施相应污染源整治方案，降低矿区废物污染灌溉用水及随洪水进入农田的风险。</w:t>
            </w:r>
          </w:p>
        </w:tc>
        <w:tc>
          <w:tcPr>
            <w:tcW w:w="874" w:type="pct"/>
            <w:gridSpan w:val="2"/>
            <w:vMerge w:val="continue"/>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8" w:type="pct"/>
            <w:vAlign w:val="center"/>
          </w:tcPr>
          <w:p>
            <w:pPr>
              <w:widowControl/>
              <w:spacing w:line="360" w:lineRule="exact"/>
              <w:jc w:val="center"/>
              <w:rPr>
                <w:color w:val="000000"/>
                <w:szCs w:val="21"/>
              </w:rPr>
            </w:pPr>
            <w:r>
              <w:rPr>
                <w:color w:val="000000"/>
                <w:szCs w:val="21"/>
              </w:rPr>
              <w:t>资源开发效率要求</w:t>
            </w:r>
          </w:p>
        </w:tc>
        <w:tc>
          <w:tcPr>
            <w:tcW w:w="3517" w:type="pct"/>
            <w:gridSpan w:val="9"/>
            <w:vAlign w:val="center"/>
          </w:tcPr>
          <w:p>
            <w:pPr>
              <w:spacing w:line="360" w:lineRule="exact"/>
              <w:rPr>
                <w:color w:val="000000"/>
                <w:szCs w:val="21"/>
              </w:rPr>
            </w:pPr>
            <w:r>
              <w:rPr>
                <w:color w:val="000000"/>
                <w:szCs w:val="21"/>
              </w:rPr>
              <w:t>（4.1）能源：</w:t>
            </w:r>
          </w:p>
          <w:p>
            <w:pPr>
              <w:spacing w:line="360" w:lineRule="exact"/>
              <w:ind w:firstLine="420" w:firstLineChars="200"/>
              <w:rPr>
                <w:color w:val="000000"/>
                <w:szCs w:val="21"/>
              </w:rPr>
            </w:pPr>
            <w:r>
              <w:rPr>
                <w:color w:val="000000"/>
                <w:szCs w:val="21"/>
              </w:rPr>
              <w:t>（4.1.1）到2025年，全县煤炭消费总量控制在35万吨以内，煤炭消费占全社会能源消费的比重由2019年的47.36%降至35.21%。</w:t>
            </w:r>
          </w:p>
          <w:p>
            <w:pPr>
              <w:spacing w:line="360" w:lineRule="exact"/>
              <w:ind w:firstLine="420" w:firstLineChars="200"/>
              <w:rPr>
                <w:color w:val="000000"/>
                <w:szCs w:val="21"/>
              </w:rPr>
            </w:pPr>
            <w:r>
              <w:rPr>
                <w:color w:val="000000"/>
                <w:szCs w:val="21"/>
              </w:rPr>
              <w:t>（4.1.2）发展低碳工业，推进重点行业的低碳化改造，开展能源节约、废物循环利用和碳捕捉及回收利用。</w:t>
            </w:r>
          </w:p>
          <w:p>
            <w:pPr>
              <w:pStyle w:val="5"/>
              <w:spacing w:line="360" w:lineRule="exact"/>
              <w:rPr>
                <w:color w:val="000000"/>
                <w:sz w:val="21"/>
                <w:szCs w:val="21"/>
              </w:rPr>
            </w:pPr>
            <w:r>
              <w:rPr>
                <w:color w:val="000000"/>
                <w:sz w:val="21"/>
                <w:szCs w:val="21"/>
              </w:rPr>
              <w:t>（4.2）水资源：</w:t>
            </w:r>
          </w:p>
          <w:p>
            <w:pPr>
              <w:pStyle w:val="5"/>
              <w:spacing w:line="360" w:lineRule="exact"/>
              <w:ind w:firstLine="420" w:firstLineChars="200"/>
              <w:rPr>
                <w:color w:val="000000"/>
                <w:sz w:val="21"/>
                <w:szCs w:val="21"/>
              </w:rPr>
            </w:pPr>
            <w:r>
              <w:rPr>
                <w:color w:val="000000"/>
                <w:sz w:val="21"/>
                <w:szCs w:val="21"/>
              </w:rPr>
              <w:t>（4.2.1）到2025年，邵阳县用水总量控制在3.376亿立方米，万元地区生产总值用水量比2020年下降19.06%，万元工业增加值用水量比2020年下降12.06%，农田灌溉用水有效利用系数为0.558。</w:t>
            </w:r>
          </w:p>
          <w:p>
            <w:pPr>
              <w:spacing w:line="360" w:lineRule="exact"/>
              <w:rPr>
                <w:color w:val="000000"/>
                <w:szCs w:val="21"/>
              </w:rPr>
            </w:pPr>
            <w:r>
              <w:rPr>
                <w:color w:val="000000"/>
                <w:szCs w:val="21"/>
              </w:rPr>
              <w:t>（4.3）土地资源：</w:t>
            </w:r>
          </w:p>
          <w:p>
            <w:pPr>
              <w:spacing w:line="360" w:lineRule="exact"/>
              <w:ind w:firstLine="420" w:firstLineChars="200"/>
              <w:rPr>
                <w:color w:val="000000"/>
                <w:szCs w:val="21"/>
              </w:rPr>
            </w:pPr>
            <w:r>
              <w:rPr>
                <w:color w:val="000000"/>
                <w:szCs w:val="21"/>
              </w:rPr>
              <w:t>（4.3.1）严格实行耕地保护制度和土地节约制度，加强土地用途管制，控制建设用地总体规模。</w:t>
            </w:r>
          </w:p>
          <w:p>
            <w:pPr>
              <w:pStyle w:val="3"/>
              <w:spacing w:line="360" w:lineRule="exact"/>
              <w:ind w:firstLine="420" w:firstLineChars="200"/>
              <w:rPr>
                <w:color w:val="000000"/>
                <w:szCs w:val="21"/>
              </w:rPr>
            </w:pPr>
            <w:r>
              <w:rPr>
                <w:color w:val="000000"/>
                <w:szCs w:val="21"/>
              </w:rPr>
              <w:t>（4.3.2）邵阳县耕地保有量不低于78.54万亩，其中永久基本农田保护面积不低于72.16万亩，生态保护红线面积不低于150.65平方千米，城镇开发边界面积控制在31.90平方千米以内。</w:t>
            </w:r>
          </w:p>
        </w:tc>
        <w:tc>
          <w:tcPr>
            <w:tcW w:w="874" w:type="pct"/>
            <w:gridSpan w:val="2"/>
            <w:vMerge w:val="continue"/>
            <w:vAlign w:val="center"/>
          </w:tcPr>
          <w:p>
            <w:pPr>
              <w:spacing w:line="360" w:lineRule="exact"/>
            </w:pPr>
          </w:p>
        </w:tc>
      </w:tr>
    </w:tbl>
    <w:p>
      <w:pPr>
        <w:widowControl/>
        <w:jc w:val="left"/>
        <w:rPr>
          <w:color w:val="000000"/>
          <w:szCs w:val="21"/>
        </w:rPr>
      </w:pPr>
      <w:r>
        <w:rPr>
          <w:color w:val="000000"/>
          <w:szCs w:val="21"/>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307"/>
        <w:gridCol w:w="421"/>
        <w:gridCol w:w="476"/>
        <w:gridCol w:w="472"/>
        <w:gridCol w:w="1143"/>
        <w:gridCol w:w="1188"/>
        <w:gridCol w:w="1239"/>
        <w:gridCol w:w="2201"/>
        <w:gridCol w:w="557"/>
        <w:gridCol w:w="177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Merge w:val="restart"/>
            <w:vAlign w:val="center"/>
          </w:tcPr>
          <w:p>
            <w:pPr>
              <w:widowControl/>
              <w:jc w:val="center"/>
              <w:rPr>
                <w:b/>
                <w:color w:val="000000"/>
                <w:kern w:val="0"/>
                <w:szCs w:val="21"/>
              </w:rPr>
            </w:pPr>
            <w:r>
              <w:rPr>
                <w:b/>
                <w:color w:val="000000"/>
                <w:kern w:val="0"/>
                <w:szCs w:val="21"/>
              </w:rPr>
              <w:t>环境管控单元编码</w:t>
            </w:r>
          </w:p>
        </w:tc>
        <w:tc>
          <w:tcPr>
            <w:tcW w:w="461" w:type="pct"/>
            <w:vMerge w:val="restart"/>
            <w:vAlign w:val="center"/>
          </w:tcPr>
          <w:p>
            <w:pPr>
              <w:widowControl/>
              <w:jc w:val="center"/>
              <w:rPr>
                <w:b/>
                <w:color w:val="000000"/>
                <w:kern w:val="0"/>
                <w:szCs w:val="21"/>
              </w:rPr>
            </w:pPr>
            <w:r>
              <w:rPr>
                <w:b/>
                <w:color w:val="000000"/>
                <w:kern w:val="0"/>
                <w:szCs w:val="21"/>
              </w:rPr>
              <w:t>单元名称</w:t>
            </w:r>
          </w:p>
        </w:tc>
        <w:tc>
          <w:tcPr>
            <w:tcW w:w="482" w:type="pct"/>
            <w:gridSpan w:val="3"/>
            <w:vAlign w:val="center"/>
          </w:tcPr>
          <w:p>
            <w:pPr>
              <w:widowControl/>
              <w:jc w:val="center"/>
              <w:rPr>
                <w:b/>
                <w:color w:val="000000"/>
                <w:kern w:val="0"/>
                <w:szCs w:val="21"/>
              </w:rPr>
            </w:pPr>
            <w:r>
              <w:rPr>
                <w:b/>
                <w:color w:val="000000"/>
                <w:kern w:val="0"/>
                <w:szCs w:val="21"/>
              </w:rPr>
              <w:t>行政区划</w:t>
            </w:r>
          </w:p>
        </w:tc>
        <w:tc>
          <w:tcPr>
            <w:tcW w:w="402" w:type="pct"/>
            <w:vMerge w:val="restart"/>
            <w:vAlign w:val="center"/>
          </w:tcPr>
          <w:p>
            <w:pPr>
              <w:widowControl/>
              <w:jc w:val="center"/>
              <w:rPr>
                <w:b/>
                <w:color w:val="000000"/>
                <w:kern w:val="0"/>
                <w:szCs w:val="21"/>
              </w:rPr>
            </w:pPr>
            <w:r>
              <w:rPr>
                <w:b/>
                <w:color w:val="000000"/>
                <w:kern w:val="0"/>
                <w:szCs w:val="21"/>
              </w:rPr>
              <w:t>单元分类</w:t>
            </w:r>
          </w:p>
        </w:tc>
        <w:tc>
          <w:tcPr>
            <w:tcW w:w="419"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37" w:type="pct"/>
            <w:vMerge w:val="restart"/>
            <w:vAlign w:val="center"/>
          </w:tcPr>
          <w:p>
            <w:pPr>
              <w:jc w:val="center"/>
              <w:rPr>
                <w:b/>
                <w:color w:val="000000"/>
                <w:kern w:val="0"/>
                <w:szCs w:val="21"/>
              </w:rPr>
            </w:pPr>
            <w:r>
              <w:rPr>
                <w:b/>
                <w:color w:val="000000"/>
                <w:kern w:val="0"/>
                <w:szCs w:val="21"/>
              </w:rPr>
              <w:t>涉及乡镇(街道)</w:t>
            </w:r>
          </w:p>
        </w:tc>
        <w:tc>
          <w:tcPr>
            <w:tcW w:w="776" w:type="pct"/>
            <w:vMerge w:val="restart"/>
            <w:vAlign w:val="center"/>
          </w:tcPr>
          <w:p>
            <w:pPr>
              <w:jc w:val="center"/>
              <w:rPr>
                <w:b/>
                <w:color w:val="000000"/>
                <w:kern w:val="0"/>
                <w:szCs w:val="21"/>
              </w:rPr>
            </w:pPr>
            <w:r>
              <w:rPr>
                <w:b/>
                <w:color w:val="000000"/>
                <w:kern w:val="0"/>
                <w:szCs w:val="21"/>
              </w:rPr>
              <w:t>主体功能定位</w:t>
            </w:r>
          </w:p>
        </w:tc>
        <w:tc>
          <w:tcPr>
            <w:tcW w:w="824" w:type="pct"/>
            <w:gridSpan w:val="2"/>
            <w:vMerge w:val="restart"/>
            <w:vAlign w:val="center"/>
          </w:tcPr>
          <w:p>
            <w:pPr>
              <w:jc w:val="center"/>
              <w:rPr>
                <w:b/>
                <w:color w:val="000000"/>
                <w:kern w:val="0"/>
                <w:szCs w:val="21"/>
              </w:rPr>
            </w:pPr>
            <w:r>
              <w:rPr>
                <w:b/>
                <w:color w:val="000000"/>
                <w:kern w:val="0"/>
                <w:szCs w:val="21"/>
              </w:rPr>
              <w:t>经济产业布局</w:t>
            </w:r>
          </w:p>
        </w:tc>
        <w:tc>
          <w:tcPr>
            <w:tcW w:w="572"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pct"/>
            <w:vMerge w:val="continue"/>
            <w:vAlign w:val="center"/>
          </w:tcPr>
          <w:p/>
        </w:tc>
        <w:tc>
          <w:tcPr>
            <w:tcW w:w="461" w:type="pct"/>
            <w:vMerge w:val="continue"/>
            <w:vAlign w:val="center"/>
          </w:tcPr>
          <w:p/>
        </w:tc>
        <w:tc>
          <w:tcPr>
            <w:tcW w:w="148" w:type="pct"/>
            <w:vAlign w:val="center"/>
          </w:tcPr>
          <w:p>
            <w:pPr>
              <w:jc w:val="center"/>
              <w:rPr>
                <w:b/>
                <w:color w:val="000000"/>
                <w:szCs w:val="21"/>
              </w:rPr>
            </w:pPr>
            <w:r>
              <w:rPr>
                <w:b/>
                <w:color w:val="000000"/>
                <w:szCs w:val="21"/>
              </w:rPr>
              <w:t>省</w:t>
            </w:r>
          </w:p>
        </w:tc>
        <w:tc>
          <w:tcPr>
            <w:tcW w:w="167" w:type="pct"/>
            <w:vAlign w:val="center"/>
          </w:tcPr>
          <w:p>
            <w:pPr>
              <w:jc w:val="center"/>
              <w:rPr>
                <w:b/>
                <w:color w:val="000000"/>
                <w:szCs w:val="21"/>
              </w:rPr>
            </w:pPr>
            <w:r>
              <w:rPr>
                <w:b/>
                <w:color w:val="000000"/>
                <w:szCs w:val="21"/>
              </w:rPr>
              <w:t>市</w:t>
            </w:r>
          </w:p>
        </w:tc>
        <w:tc>
          <w:tcPr>
            <w:tcW w:w="166" w:type="pct"/>
            <w:vAlign w:val="center"/>
          </w:tcPr>
          <w:p>
            <w:pPr>
              <w:jc w:val="center"/>
              <w:rPr>
                <w:b/>
                <w:color w:val="000000"/>
                <w:szCs w:val="21"/>
              </w:rPr>
            </w:pPr>
            <w:r>
              <w:rPr>
                <w:b/>
                <w:color w:val="000000"/>
                <w:szCs w:val="21"/>
              </w:rPr>
              <w:t>县</w:t>
            </w:r>
          </w:p>
        </w:tc>
        <w:tc>
          <w:tcPr>
            <w:tcW w:w="402" w:type="pct"/>
            <w:vMerge w:val="continue"/>
            <w:vAlign w:val="center"/>
          </w:tcPr>
          <w:p/>
        </w:tc>
        <w:tc>
          <w:tcPr>
            <w:tcW w:w="419" w:type="pct"/>
            <w:vMerge w:val="continue"/>
            <w:vAlign w:val="center"/>
          </w:tcPr>
          <w:p/>
        </w:tc>
        <w:tc>
          <w:tcPr>
            <w:tcW w:w="437" w:type="pct"/>
            <w:vMerge w:val="continue"/>
            <w:vAlign w:val="center"/>
          </w:tcPr>
          <w:p/>
        </w:tc>
        <w:tc>
          <w:tcPr>
            <w:tcW w:w="776" w:type="pct"/>
            <w:vMerge w:val="continue"/>
            <w:vAlign w:val="center"/>
          </w:tcPr>
          <w:p/>
        </w:tc>
        <w:tc>
          <w:tcPr>
            <w:tcW w:w="824" w:type="pct"/>
            <w:gridSpan w:val="2"/>
            <w:vMerge w:val="continue"/>
            <w:vAlign w:val="center"/>
          </w:tcPr>
          <w:p/>
        </w:tc>
        <w:tc>
          <w:tcPr>
            <w:tcW w:w="57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jc w:val="center"/>
              <w:rPr>
                <w:color w:val="000000"/>
                <w:szCs w:val="21"/>
              </w:rPr>
            </w:pPr>
            <w:r>
              <w:rPr>
                <w:color w:val="000000"/>
                <w:szCs w:val="21"/>
              </w:rPr>
              <w:t>ZH43052330002</w:t>
            </w:r>
          </w:p>
        </w:tc>
        <w:tc>
          <w:tcPr>
            <w:tcW w:w="461" w:type="pct"/>
            <w:vAlign w:val="center"/>
          </w:tcPr>
          <w:p>
            <w:pPr>
              <w:jc w:val="center"/>
              <w:rPr>
                <w:color w:val="000000"/>
                <w:szCs w:val="21"/>
              </w:rPr>
            </w:pPr>
            <w:r>
              <w:rPr>
                <w:color w:val="000000"/>
                <w:szCs w:val="21"/>
              </w:rPr>
              <w:t>谷洲镇\金江乡\罗城乡\五峰铺镇\下花桥镇\诸甲亭乡\郦家坪镇</w:t>
            </w:r>
          </w:p>
        </w:tc>
        <w:tc>
          <w:tcPr>
            <w:tcW w:w="148" w:type="pct"/>
            <w:vAlign w:val="center"/>
          </w:tcPr>
          <w:p>
            <w:pPr>
              <w:jc w:val="center"/>
              <w:rPr>
                <w:color w:val="000000"/>
                <w:szCs w:val="21"/>
              </w:rPr>
            </w:pPr>
            <w:r>
              <w:rPr>
                <w:color w:val="000000"/>
                <w:szCs w:val="21"/>
              </w:rPr>
              <w:t>湖南省</w:t>
            </w:r>
          </w:p>
        </w:tc>
        <w:tc>
          <w:tcPr>
            <w:tcW w:w="167" w:type="pct"/>
            <w:vAlign w:val="center"/>
          </w:tcPr>
          <w:p>
            <w:pPr>
              <w:jc w:val="center"/>
              <w:rPr>
                <w:color w:val="000000"/>
                <w:szCs w:val="21"/>
              </w:rPr>
            </w:pPr>
            <w:r>
              <w:rPr>
                <w:color w:val="000000"/>
                <w:szCs w:val="21"/>
              </w:rPr>
              <w:t>邵阳市</w:t>
            </w:r>
          </w:p>
        </w:tc>
        <w:tc>
          <w:tcPr>
            <w:tcW w:w="166" w:type="pct"/>
            <w:vAlign w:val="center"/>
          </w:tcPr>
          <w:p>
            <w:pPr>
              <w:jc w:val="center"/>
              <w:rPr>
                <w:color w:val="000000"/>
                <w:szCs w:val="21"/>
              </w:rPr>
            </w:pPr>
            <w:r>
              <w:rPr>
                <w:color w:val="000000"/>
                <w:szCs w:val="21"/>
              </w:rPr>
              <w:t>邵阳县</w:t>
            </w:r>
          </w:p>
        </w:tc>
        <w:tc>
          <w:tcPr>
            <w:tcW w:w="402" w:type="pct"/>
            <w:vAlign w:val="center"/>
          </w:tcPr>
          <w:p>
            <w:pPr>
              <w:jc w:val="center"/>
              <w:rPr>
                <w:color w:val="000000"/>
                <w:szCs w:val="21"/>
              </w:rPr>
            </w:pPr>
            <w:r>
              <w:rPr>
                <w:color w:val="000000"/>
                <w:szCs w:val="21"/>
              </w:rPr>
              <w:t>一般管控单元</w:t>
            </w:r>
          </w:p>
        </w:tc>
        <w:tc>
          <w:tcPr>
            <w:tcW w:w="419" w:type="pct"/>
            <w:vAlign w:val="center"/>
          </w:tcPr>
          <w:p>
            <w:pPr>
              <w:pStyle w:val="3"/>
              <w:jc w:val="center"/>
            </w:pPr>
            <w:r>
              <w:rPr>
                <w:color w:val="000000"/>
                <w:sz w:val="22"/>
              </w:rPr>
              <w:t>530.72</w:t>
            </w:r>
          </w:p>
        </w:tc>
        <w:tc>
          <w:tcPr>
            <w:tcW w:w="437" w:type="pct"/>
            <w:vAlign w:val="center"/>
          </w:tcPr>
          <w:p>
            <w:pPr>
              <w:jc w:val="center"/>
              <w:rPr>
                <w:color w:val="000000"/>
                <w:szCs w:val="21"/>
              </w:rPr>
            </w:pPr>
            <w:r>
              <w:rPr>
                <w:color w:val="000000"/>
                <w:szCs w:val="21"/>
              </w:rPr>
              <w:t>谷洲镇\金江乡\罗城乡\五峰铺镇\下花桥镇\诸甲亭乡\郦家坪镇</w:t>
            </w:r>
          </w:p>
        </w:tc>
        <w:tc>
          <w:tcPr>
            <w:tcW w:w="776" w:type="pct"/>
            <w:vAlign w:val="center"/>
          </w:tcPr>
          <w:p>
            <w:pPr>
              <w:pStyle w:val="3"/>
            </w:pPr>
            <w:r>
              <w:rPr>
                <w:b/>
                <w:bCs/>
                <w:sz w:val="22"/>
              </w:rPr>
              <w:t>谷洲镇、</w:t>
            </w:r>
            <w:r>
              <w:rPr>
                <w:b/>
                <w:bCs/>
                <w:color w:val="000000"/>
                <w:sz w:val="22"/>
              </w:rPr>
              <w:t>金江乡、罗城乡、诸甲亭乡、郦家坪镇</w:t>
            </w:r>
            <w:r>
              <w:t>：农产品主产区</w:t>
            </w:r>
            <w:r>
              <w:rPr>
                <w:b/>
                <w:bCs/>
                <w:color w:val="000000"/>
                <w:sz w:val="22"/>
              </w:rPr>
              <w:t>：</w:t>
            </w:r>
          </w:p>
          <w:p>
            <w:pPr>
              <w:pStyle w:val="3"/>
            </w:pPr>
            <w:r>
              <w:rPr>
                <w:b/>
                <w:bCs/>
                <w:color w:val="000000"/>
                <w:sz w:val="22"/>
              </w:rPr>
              <w:t>五峰铺镇：</w:t>
            </w:r>
            <w:r>
              <w:t>农产品主产区/特别振兴区；</w:t>
            </w:r>
          </w:p>
          <w:p>
            <w:pPr>
              <w:pStyle w:val="3"/>
            </w:pPr>
            <w:r>
              <w:rPr>
                <w:b/>
                <w:bCs/>
                <w:sz w:val="22"/>
              </w:rPr>
              <w:t>下花桥镇：</w:t>
            </w:r>
            <w:r>
              <w:t>城市化地区。</w:t>
            </w:r>
          </w:p>
        </w:tc>
        <w:tc>
          <w:tcPr>
            <w:tcW w:w="824" w:type="pct"/>
            <w:gridSpan w:val="2"/>
            <w:vAlign w:val="center"/>
          </w:tcPr>
          <w:p>
            <w:pPr>
              <w:widowControl/>
            </w:pPr>
            <w:r>
              <w:rPr>
                <w:b/>
                <w:bCs/>
                <w:sz w:val="22"/>
              </w:rPr>
              <w:t>谷洲镇</w:t>
            </w:r>
            <w:r>
              <w:t>：农业种植、畜禽养殖、矿</w:t>
            </w:r>
            <w:r>
              <w:rPr>
                <w:color w:val="000000" w:themeColor="text1"/>
                <w:kern w:val="0"/>
                <w:szCs w:val="21"/>
                <w14:textFill>
                  <w14:solidFill>
                    <w14:schemeClr w14:val="tx1"/>
                  </w14:solidFill>
                </w14:textFill>
              </w:rPr>
              <w:t>产开采</w:t>
            </w:r>
            <w:r>
              <w:t>。</w:t>
            </w:r>
          </w:p>
          <w:p>
            <w:pPr>
              <w:widowControl/>
            </w:pPr>
            <w:r>
              <w:rPr>
                <w:b/>
                <w:bCs/>
                <w:color w:val="000000"/>
                <w:sz w:val="22"/>
              </w:rPr>
              <w:t>金江乡：</w:t>
            </w:r>
            <w:r>
              <w:t>旅游、商贸流通。</w:t>
            </w:r>
          </w:p>
          <w:p>
            <w:pPr>
              <w:widowControl/>
            </w:pPr>
            <w:r>
              <w:rPr>
                <w:b/>
                <w:bCs/>
                <w:color w:val="000000"/>
                <w:sz w:val="22"/>
              </w:rPr>
              <w:t>罗城乡、五峰铺镇：</w:t>
            </w:r>
            <w:r>
              <w:t>农业种植、</w:t>
            </w:r>
            <w:r>
              <w:rPr>
                <w:color w:val="000000" w:themeColor="text1"/>
                <w:kern w:val="0"/>
                <w:szCs w:val="21"/>
                <w14:textFill>
                  <w14:solidFill>
                    <w14:schemeClr w14:val="tx1"/>
                  </w14:solidFill>
                </w14:textFill>
              </w:rPr>
              <w:t>矿产开采、</w:t>
            </w:r>
            <w:r>
              <w:t>旅游。</w:t>
            </w:r>
          </w:p>
          <w:p>
            <w:pPr>
              <w:widowControl/>
            </w:pPr>
            <w:r>
              <w:rPr>
                <w:b/>
                <w:bCs/>
                <w:sz w:val="22"/>
              </w:rPr>
              <w:t>下花桥镇：</w:t>
            </w:r>
            <w:r>
              <w:t>旅游、农业种植、畜禽养殖。</w:t>
            </w:r>
          </w:p>
          <w:p>
            <w:pPr>
              <w:widowControl/>
            </w:pPr>
            <w:r>
              <w:rPr>
                <w:b/>
                <w:bCs/>
                <w:color w:val="000000"/>
                <w:sz w:val="22"/>
              </w:rPr>
              <w:t>诸甲亭乡：</w:t>
            </w:r>
            <w:r>
              <w:t>畜禽养殖、建材、农业种植。</w:t>
            </w:r>
          </w:p>
          <w:p>
            <w:pPr>
              <w:widowControl/>
              <w:rPr>
                <w:color w:val="000000" w:themeColor="text1"/>
                <w:kern w:val="0"/>
                <w:szCs w:val="21"/>
                <w14:textFill>
                  <w14:solidFill>
                    <w14:schemeClr w14:val="tx1"/>
                  </w14:solidFill>
                </w14:textFill>
              </w:rPr>
            </w:pPr>
            <w:r>
              <w:rPr>
                <w:b/>
                <w:bCs/>
                <w:color w:val="000000"/>
                <w:sz w:val="22"/>
              </w:rPr>
              <w:t>郦家坪镇：</w:t>
            </w:r>
            <w:r>
              <w:t>农业种植、光伏发电、</w:t>
            </w:r>
            <w:r>
              <w:rPr>
                <w:color w:val="000000" w:themeColor="text1"/>
                <w:kern w:val="0"/>
                <w:szCs w:val="21"/>
                <w14:textFill>
                  <w14:solidFill>
                    <w14:schemeClr w14:val="tx1"/>
                  </w14:solidFill>
                </w14:textFill>
              </w:rPr>
              <w:t>矿产开采</w:t>
            </w:r>
            <w:r>
              <w:t>。</w:t>
            </w:r>
          </w:p>
        </w:tc>
        <w:tc>
          <w:tcPr>
            <w:tcW w:w="572" w:type="pct"/>
            <w:vAlign w:val="center"/>
          </w:tcPr>
          <w:p>
            <w:pPr>
              <w:widowControl/>
              <w:rPr>
                <w:b/>
                <w:bCs/>
                <w:color w:val="000000" w:themeColor="text1"/>
                <w:kern w:val="0"/>
                <w:szCs w:val="21"/>
                <w14:textFill>
                  <w14:solidFill>
                    <w14:schemeClr w14:val="tx1"/>
                  </w14:solidFill>
                </w14:textFill>
              </w:rPr>
            </w:pPr>
            <w:r>
              <w:rPr>
                <w:b/>
                <w:color w:val="000000"/>
                <w:kern w:val="0"/>
                <w:szCs w:val="21"/>
              </w:rPr>
              <w:t>主要环境问题：</w:t>
            </w:r>
          </w:p>
          <w:p>
            <w:pPr>
              <w:widowControl/>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罗城乡、金江乡：</w:t>
            </w:r>
            <w:r>
              <w:rPr>
                <w:color w:val="000000" w:themeColor="text1"/>
                <w:kern w:val="0"/>
                <w:szCs w:val="21"/>
                <w14:textFill>
                  <w14:solidFill>
                    <w14:schemeClr w14:val="tx1"/>
                  </w14:solidFill>
                </w14:textFill>
              </w:rPr>
              <w:t>未建设（成）集镇污水处理厂。</w:t>
            </w:r>
          </w:p>
          <w:p>
            <w:pPr>
              <w:pStyle w:val="9"/>
              <w:ind w:left="0" w:leftChars="0" w:firstLine="0" w:firstLineChars="0"/>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widowControl/>
              <w:spacing w:line="400" w:lineRule="exact"/>
              <w:jc w:val="center"/>
              <w:rPr>
                <w:b/>
                <w:color w:val="000000"/>
                <w:kern w:val="0"/>
                <w:szCs w:val="21"/>
              </w:rPr>
            </w:pPr>
            <w:r>
              <w:rPr>
                <w:b/>
                <w:color w:val="000000"/>
                <w:kern w:val="0"/>
                <w:szCs w:val="21"/>
              </w:rPr>
              <w:t>主要属性</w:t>
            </w:r>
          </w:p>
        </w:tc>
        <w:tc>
          <w:tcPr>
            <w:tcW w:w="4375" w:type="pct"/>
            <w:gridSpan w:val="11"/>
            <w:vAlign w:val="center"/>
          </w:tcPr>
          <w:p>
            <w:pPr>
              <w:pStyle w:val="3"/>
              <w:spacing w:line="400" w:lineRule="exact"/>
            </w:pPr>
            <w:r>
              <w:rPr>
                <w:b/>
                <w:bCs/>
                <w:sz w:val="22"/>
              </w:rPr>
              <w:t>谷洲镇</w:t>
            </w:r>
            <w:r>
              <w:t>：</w:t>
            </w:r>
          </w:p>
          <w:p>
            <w:pPr>
              <w:pStyle w:val="3"/>
              <w:spacing w:line="400" w:lineRule="exact"/>
              <w:ind w:firstLine="422" w:firstLineChars="200"/>
            </w:pPr>
            <w:r>
              <w:rPr>
                <w:b/>
                <w:bCs/>
              </w:rPr>
              <w:t>生态红线：</w:t>
            </w:r>
            <w:r>
              <w:t>红线/一般生态空间/水源涵养重要区\三区三线生态红线\水土流失敏感区\原生态红线；</w:t>
            </w:r>
          </w:p>
          <w:p>
            <w:pPr>
              <w:pStyle w:val="3"/>
              <w:spacing w:line="400" w:lineRule="exact"/>
              <w:ind w:firstLine="422" w:firstLineChars="200"/>
            </w:pPr>
            <w:r>
              <w:rPr>
                <w:b/>
                <w:bCs/>
              </w:rPr>
              <w:t>环境质量底线：</w:t>
            </w:r>
            <w:r>
              <w:t>水环境一般管控区、大气环境受体敏感重点管控区、农用地优先保护区/建设用地重点管控区/其他重点管控区/一般管控区/矿区/中高风险企业用地；农产品主产区</w:t>
            </w:r>
          </w:p>
          <w:p>
            <w:pPr>
              <w:pStyle w:val="3"/>
              <w:spacing w:line="400" w:lineRule="exact"/>
              <w:rPr>
                <w:b/>
                <w:bCs/>
                <w:color w:val="000000"/>
                <w:sz w:val="22"/>
              </w:rPr>
            </w:pPr>
            <w:r>
              <w:rPr>
                <w:b/>
                <w:bCs/>
                <w:color w:val="000000"/>
                <w:sz w:val="22"/>
              </w:rPr>
              <w:t>金江乡：</w:t>
            </w:r>
          </w:p>
          <w:p>
            <w:pPr>
              <w:pStyle w:val="3"/>
              <w:spacing w:line="400" w:lineRule="exact"/>
              <w:ind w:firstLine="422" w:firstLineChars="200"/>
            </w:pPr>
            <w:r>
              <w:rPr>
                <w:b/>
                <w:bCs/>
              </w:rPr>
              <w:t>生态红线：</w:t>
            </w:r>
            <w:r>
              <w:t>红线/一般生态空间/三区三线生态红线\水源涵养重要区\生物多样性保护功能重要区\原生态红线\水土流失敏感区；</w:t>
            </w:r>
          </w:p>
          <w:p>
            <w:pPr>
              <w:pStyle w:val="3"/>
              <w:spacing w:line="400" w:lineRule="exact"/>
              <w:ind w:firstLine="422" w:firstLineChars="200"/>
            </w:pPr>
            <w:r>
              <w:rPr>
                <w:b/>
                <w:bCs/>
              </w:rPr>
              <w:t>环境质量底线：</w:t>
            </w:r>
            <w:r>
              <w:t>水环境一般管控区、农用地优先保护区/建设用地重点管控区/一般管控区/农产品主产区</w:t>
            </w:r>
          </w:p>
          <w:p>
            <w:pPr>
              <w:pStyle w:val="3"/>
              <w:spacing w:line="400" w:lineRule="exact"/>
              <w:rPr>
                <w:b/>
                <w:bCs/>
                <w:color w:val="000000"/>
                <w:sz w:val="22"/>
              </w:rPr>
            </w:pPr>
            <w:r>
              <w:rPr>
                <w:b/>
                <w:bCs/>
                <w:color w:val="000000"/>
                <w:sz w:val="22"/>
              </w:rPr>
              <w:t>罗城乡：</w:t>
            </w:r>
          </w:p>
          <w:p>
            <w:pPr>
              <w:pStyle w:val="3"/>
              <w:spacing w:line="400" w:lineRule="exact"/>
              <w:ind w:firstLine="442" w:firstLineChars="200"/>
            </w:pPr>
            <w:r>
              <w:rPr>
                <w:b/>
                <w:bCs/>
                <w:color w:val="000000"/>
                <w:sz w:val="22"/>
              </w:rPr>
              <w:t>生态红线：</w:t>
            </w:r>
            <w:r>
              <w:t>红线/一般生态空间/水源涵养重要区\生物多样性保护功能重要区\三区三线生态红线；</w:t>
            </w:r>
          </w:p>
          <w:p>
            <w:pPr>
              <w:pStyle w:val="3"/>
              <w:spacing w:line="400" w:lineRule="exact"/>
              <w:ind w:firstLine="422" w:firstLineChars="200"/>
            </w:pPr>
            <w:r>
              <w:rPr>
                <w:b/>
                <w:bCs/>
              </w:rPr>
              <w:t>环境质量底线：</w:t>
            </w:r>
            <w:r>
              <w:t>水环境一般管控区、农用地优先保护区/其他重点管控区/一般管控区；矿区；</w:t>
            </w:r>
          </w:p>
          <w:p>
            <w:pPr>
              <w:pStyle w:val="3"/>
              <w:spacing w:line="400" w:lineRule="exact"/>
              <w:rPr>
                <w:b/>
                <w:bCs/>
                <w:color w:val="000000"/>
                <w:sz w:val="22"/>
              </w:rPr>
            </w:pPr>
            <w:r>
              <w:rPr>
                <w:b/>
                <w:bCs/>
                <w:color w:val="000000"/>
                <w:sz w:val="22"/>
              </w:rPr>
              <w:t>五峰铺镇：</w:t>
            </w:r>
          </w:p>
          <w:p>
            <w:pPr>
              <w:pStyle w:val="3"/>
              <w:spacing w:line="400" w:lineRule="exact"/>
              <w:ind w:firstLine="442" w:firstLineChars="200"/>
            </w:pPr>
            <w:r>
              <w:rPr>
                <w:b/>
                <w:bCs/>
                <w:color w:val="000000"/>
                <w:sz w:val="22"/>
              </w:rPr>
              <w:t>生态红线：</w:t>
            </w:r>
            <w:r>
              <w:t>红线/一般生态空间/三区三线生态红线\水源涵养重要区\生物多样性保护功能重要区\原生态红线\水土流失敏感区\森林公园；</w:t>
            </w:r>
          </w:p>
          <w:p>
            <w:pPr>
              <w:pStyle w:val="3"/>
              <w:spacing w:line="400" w:lineRule="exact"/>
              <w:ind w:firstLine="422" w:firstLineChars="200"/>
            </w:pPr>
            <w:r>
              <w:rPr>
                <w:b/>
                <w:bCs/>
              </w:rPr>
              <w:t>环境质量底线：</w:t>
            </w:r>
            <w:r>
              <w:t>水环境其他重点管控区/水环境一般管控区/重金属矿/湖南省邵阳县石井铺铅锌锑矿、大气环境优先保护区/大气环境受体敏感重点管控区/湖南东安黄金洞省级森林公园、农用地优先保护区/建设用地重点管控区/其他重点管控区/一般管控区/矿区/中高风险企业用地/农产品主产区/特别振兴区；高污染燃料禁燃区</w:t>
            </w:r>
          </w:p>
          <w:p>
            <w:pPr>
              <w:pStyle w:val="3"/>
              <w:spacing w:line="400" w:lineRule="exact"/>
              <w:rPr>
                <w:b/>
                <w:bCs/>
                <w:sz w:val="22"/>
              </w:rPr>
            </w:pPr>
            <w:r>
              <w:rPr>
                <w:b/>
                <w:bCs/>
                <w:sz w:val="22"/>
              </w:rPr>
              <w:t>下花桥镇：</w:t>
            </w:r>
          </w:p>
          <w:p>
            <w:pPr>
              <w:pStyle w:val="3"/>
              <w:spacing w:line="400" w:lineRule="exact"/>
              <w:ind w:firstLine="442" w:firstLineChars="200"/>
            </w:pPr>
            <w:r>
              <w:rPr>
                <w:b/>
                <w:bCs/>
                <w:sz w:val="22"/>
              </w:rPr>
              <w:t>生态红线：</w:t>
            </w:r>
            <w:r>
              <w:t>红线/一般生态空间/三区三线生态红线\水源涵养重要区\原生态红线\生物多样性保护功能重要区；</w:t>
            </w:r>
          </w:p>
          <w:p>
            <w:pPr>
              <w:pStyle w:val="3"/>
              <w:spacing w:line="400" w:lineRule="exact"/>
              <w:ind w:firstLine="422" w:firstLineChars="200"/>
            </w:pPr>
            <w:r>
              <w:rPr>
                <w:b/>
                <w:bCs/>
              </w:rPr>
              <w:t>环境质量底线：</w:t>
            </w:r>
            <w:r>
              <w:t>水环境一般管控区、大气环境受体敏感重点管控区/其他区域、农用地优先保护区/一般管控区/城市化地区</w:t>
            </w:r>
          </w:p>
          <w:p>
            <w:pPr>
              <w:pStyle w:val="3"/>
              <w:spacing w:line="400" w:lineRule="exact"/>
              <w:rPr>
                <w:b/>
                <w:bCs/>
                <w:color w:val="000000"/>
                <w:sz w:val="22"/>
              </w:rPr>
            </w:pPr>
            <w:r>
              <w:rPr>
                <w:b/>
                <w:bCs/>
                <w:color w:val="000000"/>
                <w:sz w:val="22"/>
              </w:rPr>
              <w:t>诸甲亭乡：</w:t>
            </w:r>
          </w:p>
          <w:p>
            <w:pPr>
              <w:pStyle w:val="3"/>
              <w:spacing w:line="400" w:lineRule="exact"/>
              <w:ind w:firstLine="442" w:firstLineChars="200"/>
            </w:pPr>
            <w:r>
              <w:rPr>
                <w:b/>
                <w:bCs/>
                <w:color w:val="000000"/>
                <w:sz w:val="22"/>
              </w:rPr>
              <w:t>生态红线：</w:t>
            </w:r>
            <w:r>
              <w:t>红线/一般生态空间/水源涵养重要区\三区三线生态红线\原生态红线\水土流失敏感区；</w:t>
            </w:r>
          </w:p>
          <w:p>
            <w:pPr>
              <w:pStyle w:val="3"/>
              <w:spacing w:line="400" w:lineRule="exact"/>
              <w:ind w:firstLine="422" w:firstLineChars="200"/>
            </w:pPr>
            <w:r>
              <w:rPr>
                <w:b/>
                <w:bCs/>
              </w:rPr>
              <w:t>环境质量底线：</w:t>
            </w:r>
            <w:r>
              <w:t>水环境一般管控区、农用地优先保护区/一般管控区；农产品主产区</w:t>
            </w:r>
          </w:p>
          <w:p>
            <w:pPr>
              <w:pStyle w:val="3"/>
              <w:spacing w:line="400" w:lineRule="exact"/>
              <w:rPr>
                <w:b/>
                <w:bCs/>
                <w:color w:val="000000"/>
                <w:sz w:val="22"/>
              </w:rPr>
            </w:pPr>
            <w:r>
              <w:rPr>
                <w:b/>
                <w:bCs/>
                <w:color w:val="000000"/>
                <w:sz w:val="22"/>
              </w:rPr>
              <w:t>郦家坪镇：</w:t>
            </w:r>
          </w:p>
          <w:p>
            <w:pPr>
              <w:pStyle w:val="3"/>
              <w:spacing w:line="400" w:lineRule="exact"/>
              <w:ind w:firstLine="442" w:firstLineChars="200"/>
            </w:pPr>
            <w:r>
              <w:rPr>
                <w:b/>
                <w:bCs/>
                <w:color w:val="000000"/>
                <w:sz w:val="22"/>
              </w:rPr>
              <w:t>生态红线：</w:t>
            </w:r>
            <w:r>
              <w:t>红线/一般生态空间/水源涵养重要区\生物多样性保护功能重要区\三区三线生态红线\水土流失敏感区\原生态红线；</w:t>
            </w:r>
          </w:p>
          <w:p>
            <w:pPr>
              <w:pStyle w:val="3"/>
              <w:spacing w:line="400" w:lineRule="exact"/>
              <w:ind w:firstLine="422" w:firstLineChars="200"/>
            </w:pPr>
            <w:r>
              <w:rPr>
                <w:b/>
                <w:bCs/>
              </w:rPr>
              <w:t>环境质量底线：</w:t>
            </w:r>
            <w:r>
              <w:t>水环境优先保护区/水环境一般管控区/水源地（县级及以上）/邵阳市邵东县黄家坝水库饮用水水源保护区、大气环境受体敏感重点管控区、农用地优先保护区/其他重点管控区/一般管控区/矿区；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widowControl/>
              <w:spacing w:line="400" w:lineRule="exact"/>
              <w:jc w:val="center"/>
              <w:rPr>
                <w:b/>
                <w:color w:val="000000"/>
                <w:szCs w:val="21"/>
              </w:rPr>
            </w:pPr>
            <w:r>
              <w:rPr>
                <w:b/>
                <w:color w:val="000000"/>
                <w:szCs w:val="21"/>
              </w:rPr>
              <w:t>管控维度</w:t>
            </w:r>
          </w:p>
        </w:tc>
        <w:tc>
          <w:tcPr>
            <w:tcW w:w="3176" w:type="pct"/>
            <w:gridSpan w:val="9"/>
            <w:vAlign w:val="center"/>
          </w:tcPr>
          <w:p>
            <w:pPr>
              <w:spacing w:line="400" w:lineRule="exact"/>
              <w:jc w:val="center"/>
              <w:rPr>
                <w:b/>
                <w:color w:val="000000"/>
                <w:szCs w:val="21"/>
              </w:rPr>
            </w:pPr>
            <w:r>
              <w:rPr>
                <w:b/>
                <w:color w:val="000000"/>
                <w:kern w:val="0"/>
                <w:szCs w:val="21"/>
              </w:rPr>
              <w:t>管控要求</w:t>
            </w:r>
          </w:p>
        </w:tc>
        <w:tc>
          <w:tcPr>
            <w:tcW w:w="1199" w:type="pct"/>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widowControl/>
              <w:spacing w:line="400" w:lineRule="exact"/>
              <w:jc w:val="center"/>
              <w:rPr>
                <w:color w:val="000000"/>
                <w:szCs w:val="21"/>
              </w:rPr>
            </w:pPr>
            <w:r>
              <w:rPr>
                <w:color w:val="000000"/>
                <w:szCs w:val="21"/>
              </w:rPr>
              <w:t>空间布局约束</w:t>
            </w:r>
          </w:p>
        </w:tc>
        <w:tc>
          <w:tcPr>
            <w:tcW w:w="3176" w:type="pct"/>
            <w:gridSpan w:val="9"/>
            <w:vAlign w:val="center"/>
          </w:tcPr>
          <w:p>
            <w:pPr>
              <w:tabs>
                <w:tab w:val="left" w:pos="1021"/>
              </w:tabs>
              <w:spacing w:line="400" w:lineRule="exact"/>
              <w:rPr>
                <w:color w:val="000000"/>
                <w:szCs w:val="21"/>
              </w:rPr>
            </w:pPr>
            <w:r>
              <w:rPr>
                <w:color w:val="000000"/>
                <w:szCs w:val="21"/>
              </w:rPr>
              <w:t>（1.1）禁止在居民住宅楼等非商用建筑、未设立配套规划专用烟道的商住综合楼、以及商住综合楼内与居住层相邻的楼层新建、改建、扩建排放油烟的饮食服务项目。</w:t>
            </w:r>
          </w:p>
          <w:p>
            <w:pPr>
              <w:tabs>
                <w:tab w:val="left" w:pos="1021"/>
              </w:tabs>
              <w:spacing w:line="400" w:lineRule="exact"/>
              <w:rPr>
                <w:color w:val="000000"/>
                <w:szCs w:val="21"/>
              </w:rPr>
            </w:pPr>
            <w:r>
              <w:rPr>
                <w:color w:val="000000"/>
                <w:szCs w:val="21"/>
              </w:rPr>
              <w:t>（1.2）严禁水资源超载地区新建扩建高耗水项目，推动依法依规淘汰落后产能。</w:t>
            </w:r>
          </w:p>
          <w:p>
            <w:pPr>
              <w:tabs>
                <w:tab w:val="left" w:pos="1021"/>
              </w:tabs>
              <w:spacing w:line="400" w:lineRule="exact"/>
              <w:rPr>
                <w:color w:val="000000"/>
                <w:szCs w:val="21"/>
              </w:rPr>
            </w:pPr>
            <w:r>
              <w:rPr>
                <w:color w:val="000000"/>
                <w:szCs w:val="21"/>
              </w:rPr>
              <w:t>（1.3）深化“厕所革命”，推进粪污废水资源化利用，加快农村户用厕所改造和公共厕所建设。</w:t>
            </w:r>
          </w:p>
          <w:p>
            <w:pPr>
              <w:tabs>
                <w:tab w:val="left" w:pos="1021"/>
              </w:tabs>
              <w:spacing w:line="400" w:lineRule="exact"/>
              <w:rPr>
                <w:color w:val="000000"/>
                <w:szCs w:val="21"/>
              </w:rPr>
            </w:pPr>
            <w:r>
              <w:rPr>
                <w:color w:val="000000"/>
                <w:szCs w:val="21"/>
              </w:rPr>
              <w:t>（1.4）加强畜禽养殖污染防治，推进养殖业禁养区、限养区、适养区分区管理，逐步退出禁养区养殖小区(场)，限制限养区养殖规模，建设污染防治设施和综合治理设施，开展有机肥、沼气等养殖业循环经济模式示范。</w:t>
            </w:r>
          </w:p>
        </w:tc>
        <w:tc>
          <w:tcPr>
            <w:tcW w:w="1199" w:type="pct"/>
            <w:gridSpan w:val="2"/>
            <w:vMerge w:val="restart"/>
          </w:tcPr>
          <w:p>
            <w:pPr>
              <w:pStyle w:val="3"/>
              <w:spacing w:line="400" w:lineRule="exact"/>
              <w:rPr>
                <w:color w:val="000000"/>
                <w:szCs w:val="21"/>
              </w:rPr>
            </w:pPr>
            <w:r>
              <w:rPr>
                <w:color w:val="000000"/>
                <w:szCs w:val="21"/>
              </w:rPr>
              <w:t>（1.1）（1.3）（2.1.1）（2.1.2）（2.2.1）（2.2.2）（2.3.1）（2.3.2）（3.1）（4.1.2）《邵阳县“十四五”生态环境保护规划》</w:t>
            </w:r>
          </w:p>
          <w:p>
            <w:pPr>
              <w:pStyle w:val="3"/>
              <w:spacing w:line="400" w:lineRule="exact"/>
              <w:rPr>
                <w:color w:val="000000"/>
                <w:szCs w:val="21"/>
              </w:rPr>
            </w:pPr>
            <w:r>
              <w:rPr>
                <w:color w:val="000000"/>
                <w:szCs w:val="21"/>
              </w:rPr>
              <w:t>（1.2）《邵阳县“十四五”节水型社会建设规划》</w:t>
            </w:r>
          </w:p>
          <w:p>
            <w:pPr>
              <w:pStyle w:val="3"/>
              <w:spacing w:line="400" w:lineRule="exact"/>
              <w:rPr>
                <w:color w:val="000000"/>
                <w:szCs w:val="21"/>
              </w:rPr>
            </w:pPr>
            <w:r>
              <w:rPr>
                <w:color w:val="000000"/>
                <w:szCs w:val="21"/>
              </w:rPr>
              <w:t>（1.4）（4.3.1）《邵阳县国民经济和社会发展第十四个五年(2021</w:t>
            </w:r>
            <w:r>
              <w:rPr>
                <w:rFonts w:hint="eastAsia"/>
                <w:color w:val="000000"/>
                <w:szCs w:val="21"/>
              </w:rPr>
              <w:t>—</w:t>
            </w:r>
            <w:r>
              <w:rPr>
                <w:color w:val="000000"/>
                <w:szCs w:val="21"/>
              </w:rPr>
              <w:t>2025年)规划纲要草案》</w:t>
            </w:r>
          </w:p>
          <w:p>
            <w:pPr>
              <w:pStyle w:val="3"/>
              <w:spacing w:line="400" w:lineRule="exact"/>
              <w:rPr>
                <w:color w:val="000000"/>
                <w:szCs w:val="21"/>
              </w:rPr>
            </w:pPr>
            <w:r>
              <w:rPr>
                <w:color w:val="000000"/>
                <w:szCs w:val="21"/>
              </w:rPr>
              <w:t>（4.1.1）《邵阳县“十四五”能源发展规划（2021—2025）》</w:t>
            </w:r>
          </w:p>
          <w:p>
            <w:pPr>
              <w:pStyle w:val="3"/>
              <w:spacing w:line="400" w:lineRule="exact"/>
            </w:pPr>
            <w:r>
              <w:rPr>
                <w:color w:val="000000"/>
                <w:szCs w:val="21"/>
              </w:rPr>
              <w:t>（4.2.1）《邵阳市“十四五”用水总量和强度双控目标》</w:t>
            </w:r>
          </w:p>
          <w:p>
            <w:pPr>
              <w:pStyle w:val="3"/>
              <w:spacing w:line="400" w:lineRule="exact"/>
              <w:rPr>
                <w:color w:val="000000"/>
                <w:szCs w:val="21"/>
              </w:rPr>
            </w:pPr>
            <w:r>
              <w:rPr>
                <w:color w:val="000000"/>
                <w:szCs w:val="21"/>
              </w:rPr>
              <w:t>（4.3.2）《邵阳县国土空间总体规划》(2021</w:t>
            </w:r>
            <w:r>
              <w:rPr>
                <w:rFonts w:hint="eastAsia"/>
                <w:color w:val="000000"/>
                <w:szCs w:val="21"/>
              </w:rPr>
              <w:t>—</w:t>
            </w:r>
            <w:r>
              <w:rPr>
                <w:color w:val="000000"/>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widowControl/>
              <w:spacing w:line="400" w:lineRule="exact"/>
              <w:jc w:val="center"/>
              <w:rPr>
                <w:color w:val="000000"/>
                <w:szCs w:val="21"/>
              </w:rPr>
            </w:pPr>
            <w:r>
              <w:rPr>
                <w:color w:val="000000"/>
                <w:szCs w:val="21"/>
              </w:rPr>
              <w:t>污染物排放管控</w:t>
            </w:r>
          </w:p>
        </w:tc>
        <w:tc>
          <w:tcPr>
            <w:tcW w:w="3176" w:type="pct"/>
            <w:gridSpan w:val="9"/>
            <w:vAlign w:val="center"/>
          </w:tcPr>
          <w:p>
            <w:pPr>
              <w:pStyle w:val="5"/>
              <w:snapToGrid/>
              <w:spacing w:line="400" w:lineRule="exact"/>
              <w:jc w:val="both"/>
              <w:rPr>
                <w:color w:val="000000"/>
                <w:sz w:val="21"/>
                <w:szCs w:val="21"/>
              </w:rPr>
            </w:pPr>
            <w:r>
              <w:rPr>
                <w:color w:val="000000"/>
                <w:sz w:val="21"/>
                <w:szCs w:val="21"/>
              </w:rPr>
              <w:t>（2.1）废水：</w:t>
            </w:r>
          </w:p>
          <w:p>
            <w:pPr>
              <w:pStyle w:val="5"/>
              <w:snapToGrid/>
              <w:spacing w:line="400" w:lineRule="exact"/>
              <w:ind w:firstLine="420" w:firstLineChars="200"/>
              <w:jc w:val="both"/>
              <w:rPr>
                <w:color w:val="000000"/>
                <w:sz w:val="21"/>
                <w:szCs w:val="21"/>
              </w:rPr>
            </w:pPr>
            <w:r>
              <w:rPr>
                <w:color w:val="000000"/>
                <w:sz w:val="21"/>
                <w:szCs w:val="21"/>
              </w:rPr>
              <w:t>（2.1.1）加快建制镇污水处理设施配套雨污分离、清污分离和截污管网的建设。</w:t>
            </w:r>
          </w:p>
          <w:p>
            <w:pPr>
              <w:pStyle w:val="5"/>
              <w:snapToGrid/>
              <w:spacing w:line="400" w:lineRule="exact"/>
              <w:ind w:firstLine="420" w:firstLineChars="200"/>
              <w:jc w:val="both"/>
              <w:rPr>
                <w:color w:val="000000"/>
                <w:sz w:val="21"/>
                <w:szCs w:val="21"/>
              </w:rPr>
            </w:pPr>
            <w:r>
              <w:rPr>
                <w:color w:val="000000"/>
                <w:sz w:val="21"/>
                <w:szCs w:val="21"/>
              </w:rPr>
              <w:t>（2.1.2）推进农村生活污水治理。</w:t>
            </w:r>
          </w:p>
          <w:p>
            <w:pPr>
              <w:pStyle w:val="5"/>
              <w:snapToGrid/>
              <w:spacing w:line="400" w:lineRule="exact"/>
              <w:rPr>
                <w:color w:val="000000"/>
                <w:sz w:val="21"/>
                <w:szCs w:val="21"/>
              </w:rPr>
            </w:pPr>
            <w:r>
              <w:rPr>
                <w:color w:val="000000"/>
                <w:sz w:val="21"/>
                <w:szCs w:val="21"/>
              </w:rPr>
              <w:t>（2.2）废气：</w:t>
            </w:r>
          </w:p>
          <w:p>
            <w:pPr>
              <w:pStyle w:val="5"/>
              <w:snapToGrid/>
              <w:spacing w:line="400" w:lineRule="exact"/>
              <w:ind w:firstLine="420" w:firstLineChars="200"/>
              <w:rPr>
                <w:color w:val="000000"/>
                <w:sz w:val="21"/>
                <w:szCs w:val="21"/>
              </w:rPr>
            </w:pPr>
            <w:r>
              <w:rPr>
                <w:color w:val="000000"/>
                <w:sz w:val="21"/>
                <w:szCs w:val="21"/>
              </w:rPr>
              <w:t>(2.2.1)严格落实工地扬尘防控8个100%（工地周边100%围挡、方开挖及拆迁作业100%湿作业、场区道路100%硬化、各类物料堆放100%覆盖、</w:t>
            </w:r>
            <w:r>
              <w:fldChar w:fldCharType="begin"/>
            </w:r>
            <w:r>
              <w:instrText xml:space="preserve"> HYPERLINK "https://www.zhihu.com/search?q=%E6%B8%A3%E5%9C%9F&amp;search_source=Entity&amp;hybrid_search_source=Entity&amp;hybrid_search_extra=%7b" \t "https://zhuanlan.zhihu.com/p/_blank" </w:instrText>
            </w:r>
            <w:r>
              <w:fldChar w:fldCharType="separate"/>
            </w:r>
            <w:r>
              <w:rPr>
                <w:color w:val="000000"/>
                <w:sz w:val="21"/>
                <w:szCs w:val="21"/>
              </w:rPr>
              <w:t>渣土</w:t>
            </w:r>
            <w:r>
              <w:rPr>
                <w:color w:val="000000"/>
                <w:sz w:val="21"/>
                <w:szCs w:val="21"/>
              </w:rPr>
              <w:fldChar w:fldCharType="end"/>
            </w:r>
            <w:r>
              <w:rPr>
                <w:color w:val="000000"/>
                <w:sz w:val="21"/>
                <w:szCs w:val="21"/>
              </w:rPr>
              <w:t>车辆100%密闭运输、出场车辆100%清洗，施工工地100%安装在线视频监控、工地内非道路移动机械及使用油品100%达标）。</w:t>
            </w:r>
          </w:p>
          <w:p>
            <w:pPr>
              <w:spacing w:line="400" w:lineRule="exact"/>
              <w:ind w:firstLine="420" w:firstLineChars="200"/>
            </w:pPr>
            <w:r>
              <w:rPr>
                <w:color w:val="000000"/>
                <w:szCs w:val="21"/>
              </w:rPr>
              <w:t>（2.2.2）禁止任何单位和个人露天焚烧秸秆。</w:t>
            </w:r>
          </w:p>
          <w:p>
            <w:pPr>
              <w:pStyle w:val="5"/>
              <w:snapToGrid/>
              <w:spacing w:line="400" w:lineRule="exact"/>
              <w:rPr>
                <w:color w:val="000000"/>
                <w:sz w:val="21"/>
                <w:szCs w:val="21"/>
              </w:rPr>
            </w:pPr>
            <w:r>
              <w:rPr>
                <w:color w:val="000000"/>
                <w:sz w:val="21"/>
                <w:szCs w:val="21"/>
              </w:rPr>
              <w:t>（2.3）固体废物：</w:t>
            </w:r>
          </w:p>
          <w:p>
            <w:pPr>
              <w:pStyle w:val="5"/>
              <w:snapToGrid/>
              <w:spacing w:line="400" w:lineRule="exact"/>
              <w:ind w:firstLine="420" w:firstLineChars="200"/>
              <w:rPr>
                <w:color w:val="000000"/>
                <w:sz w:val="21"/>
                <w:szCs w:val="21"/>
              </w:rPr>
            </w:pPr>
            <w:r>
              <w:rPr>
                <w:color w:val="000000"/>
                <w:sz w:val="21"/>
                <w:szCs w:val="21"/>
              </w:rPr>
              <w:t>（2.3.1）推进固体废物从乱堆乱放向分类、规范、科学处置转变，工业固体废物处置率达100%。</w:t>
            </w:r>
          </w:p>
          <w:p>
            <w:pPr>
              <w:spacing w:line="400" w:lineRule="exact"/>
              <w:ind w:firstLine="420" w:firstLineChars="200"/>
            </w:pPr>
            <w:r>
              <w:rPr>
                <w:color w:val="000000"/>
                <w:szCs w:val="21"/>
              </w:rPr>
              <w:t>（2.3.2）推进农村生活垃圾分类收集处置。</w:t>
            </w:r>
          </w:p>
        </w:tc>
        <w:tc>
          <w:tcPr>
            <w:tcW w:w="1199"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widowControl/>
              <w:spacing w:line="400" w:lineRule="exact"/>
              <w:jc w:val="center"/>
              <w:rPr>
                <w:color w:val="000000"/>
                <w:szCs w:val="21"/>
              </w:rPr>
            </w:pPr>
            <w:r>
              <w:rPr>
                <w:color w:val="000000"/>
                <w:szCs w:val="21"/>
              </w:rPr>
              <w:t>环境风险防控</w:t>
            </w:r>
          </w:p>
        </w:tc>
        <w:tc>
          <w:tcPr>
            <w:tcW w:w="3176" w:type="pct"/>
            <w:gridSpan w:val="9"/>
            <w:vAlign w:val="center"/>
          </w:tcPr>
          <w:p>
            <w:pPr>
              <w:spacing w:line="400" w:lineRule="exact"/>
              <w:rPr>
                <w:color w:val="000000"/>
                <w:szCs w:val="21"/>
              </w:rPr>
            </w:pPr>
            <w:r>
              <w:rPr>
                <w:color w:val="000000"/>
                <w:szCs w:val="21"/>
              </w:rPr>
              <w:t>（3.1）针对涉重金属矿区历史遗留固体废物，制定并实施相应污染源整治方案，降低矿区废物污染灌溉用水及随洪水进入农田的风险。</w:t>
            </w:r>
          </w:p>
        </w:tc>
        <w:tc>
          <w:tcPr>
            <w:tcW w:w="1199" w:type="pct"/>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pPr>
              <w:widowControl/>
              <w:spacing w:line="400" w:lineRule="exact"/>
              <w:jc w:val="center"/>
              <w:rPr>
                <w:color w:val="000000"/>
                <w:szCs w:val="21"/>
              </w:rPr>
            </w:pPr>
            <w:r>
              <w:rPr>
                <w:color w:val="000000"/>
                <w:szCs w:val="21"/>
              </w:rPr>
              <w:t>资源开发效率要求</w:t>
            </w:r>
          </w:p>
        </w:tc>
        <w:tc>
          <w:tcPr>
            <w:tcW w:w="3176" w:type="pct"/>
            <w:gridSpan w:val="9"/>
            <w:vAlign w:val="center"/>
          </w:tcPr>
          <w:p>
            <w:pPr>
              <w:spacing w:line="400" w:lineRule="exact"/>
              <w:rPr>
                <w:color w:val="000000"/>
                <w:szCs w:val="21"/>
              </w:rPr>
            </w:pPr>
            <w:r>
              <w:rPr>
                <w:color w:val="000000"/>
                <w:szCs w:val="21"/>
              </w:rPr>
              <w:t>（4.1）能源：</w:t>
            </w:r>
          </w:p>
          <w:p>
            <w:pPr>
              <w:spacing w:line="400" w:lineRule="exact"/>
              <w:ind w:firstLine="420" w:firstLineChars="200"/>
              <w:rPr>
                <w:color w:val="000000"/>
                <w:szCs w:val="21"/>
              </w:rPr>
            </w:pPr>
            <w:r>
              <w:rPr>
                <w:color w:val="000000"/>
                <w:szCs w:val="21"/>
              </w:rPr>
              <w:t>（4.1.1）到2025年，全县煤炭消费总量控制在35万吨以内，煤炭消费占全社会能源消费的比重由2019年的47.36%降至35.21%。</w:t>
            </w:r>
          </w:p>
          <w:p>
            <w:pPr>
              <w:spacing w:line="400" w:lineRule="exact"/>
              <w:ind w:firstLine="420" w:firstLineChars="200"/>
              <w:rPr>
                <w:color w:val="000000"/>
                <w:szCs w:val="21"/>
              </w:rPr>
            </w:pPr>
            <w:r>
              <w:rPr>
                <w:color w:val="000000"/>
                <w:szCs w:val="21"/>
              </w:rPr>
              <w:t>（4.1.2）发展低碳工业，推进重点行业的低碳化改造，开展能源节约、废物循环利用和碳捕捉及回收利用。</w:t>
            </w:r>
          </w:p>
          <w:p>
            <w:pPr>
              <w:pStyle w:val="5"/>
              <w:snapToGrid/>
              <w:spacing w:line="400" w:lineRule="exact"/>
              <w:rPr>
                <w:color w:val="000000"/>
                <w:sz w:val="21"/>
                <w:szCs w:val="21"/>
              </w:rPr>
            </w:pPr>
            <w:r>
              <w:rPr>
                <w:color w:val="000000"/>
                <w:sz w:val="21"/>
                <w:szCs w:val="21"/>
              </w:rPr>
              <w:t>（4.2）水资源：</w:t>
            </w:r>
          </w:p>
          <w:p>
            <w:pPr>
              <w:pStyle w:val="5"/>
              <w:snapToGrid/>
              <w:spacing w:line="400" w:lineRule="exact"/>
              <w:ind w:firstLine="420" w:firstLineChars="200"/>
              <w:rPr>
                <w:color w:val="000000"/>
                <w:sz w:val="21"/>
                <w:szCs w:val="21"/>
              </w:rPr>
            </w:pPr>
            <w:r>
              <w:rPr>
                <w:color w:val="000000"/>
                <w:sz w:val="21"/>
                <w:szCs w:val="21"/>
              </w:rPr>
              <w:t>（4.2.1）到2025年，邵阳县用水总量控制在3.376亿立方米，万元地区生产总值用水量比2020年下降19.06%，万元工业增加值用水量比2020年下降12.06%，农田灌溉用水有效利用系数为0.558。</w:t>
            </w:r>
          </w:p>
          <w:p>
            <w:pPr>
              <w:spacing w:line="400" w:lineRule="exact"/>
              <w:rPr>
                <w:color w:val="000000"/>
                <w:szCs w:val="21"/>
              </w:rPr>
            </w:pPr>
            <w:r>
              <w:rPr>
                <w:color w:val="000000"/>
                <w:szCs w:val="21"/>
              </w:rPr>
              <w:t>（4.3）土地资源：</w:t>
            </w:r>
          </w:p>
          <w:p>
            <w:pPr>
              <w:spacing w:line="400" w:lineRule="exact"/>
              <w:ind w:firstLine="420" w:firstLineChars="200"/>
              <w:rPr>
                <w:color w:val="000000"/>
                <w:szCs w:val="21"/>
              </w:rPr>
            </w:pPr>
            <w:r>
              <w:rPr>
                <w:color w:val="000000"/>
                <w:szCs w:val="21"/>
              </w:rPr>
              <w:t>（4.3.1）严格实行耕地保护制度和土地节约制度，加强土地用途管制，控制建设用地总体规模。</w:t>
            </w:r>
          </w:p>
          <w:p>
            <w:pPr>
              <w:pStyle w:val="3"/>
              <w:spacing w:line="400" w:lineRule="exact"/>
              <w:ind w:firstLine="420" w:firstLineChars="200"/>
              <w:rPr>
                <w:color w:val="000000"/>
                <w:szCs w:val="21"/>
              </w:rPr>
            </w:pPr>
            <w:r>
              <w:rPr>
                <w:color w:val="000000"/>
                <w:szCs w:val="21"/>
              </w:rPr>
              <w:t>（4.3.2）邵阳县耕地保有量不低于78.54万亩，其中永久基本农田保护面积不低于72.16万亩，生态保护红线面积不低于150.65平方千米，城镇开发边界面积控制在31.90平方千米以内。</w:t>
            </w:r>
          </w:p>
        </w:tc>
        <w:tc>
          <w:tcPr>
            <w:tcW w:w="1199" w:type="pct"/>
            <w:gridSpan w:val="2"/>
            <w:vMerge w:val="continue"/>
            <w:vAlign w:val="center"/>
          </w:tcPr>
          <w:p>
            <w:pPr>
              <w:spacing w:line="400" w:lineRule="exact"/>
            </w:pPr>
          </w:p>
        </w:tc>
      </w:tr>
    </w:tbl>
    <w:p>
      <w:r>
        <w:br w:type="page"/>
      </w:r>
    </w:p>
    <w:p>
      <w:pPr>
        <w:pStyle w:val="2"/>
        <w:rPr>
          <w:rFonts w:ascii="Times New Roman" w:hAnsi="Times New Roman" w:cs="Times New Roman"/>
        </w:rPr>
      </w:pPr>
      <w:bookmarkStart w:id="41" w:name="_Toc27567"/>
      <w:bookmarkStart w:id="42" w:name="_Toc57836522"/>
      <w:bookmarkStart w:id="43" w:name="_Toc57836523"/>
      <w:bookmarkStart w:id="44" w:name="_Toc57836524"/>
      <w:r>
        <w:rPr>
          <w:rFonts w:ascii="Times New Roman" w:hAnsi="Times New Roman" w:cs="Times New Roman"/>
        </w:rPr>
        <w:t>2-7隆回县</w:t>
      </w:r>
      <w:bookmarkEnd w:id="41"/>
      <w:bookmarkEnd w:id="4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891"/>
        <w:gridCol w:w="898"/>
        <w:gridCol w:w="550"/>
        <w:gridCol w:w="550"/>
        <w:gridCol w:w="724"/>
        <w:gridCol w:w="796"/>
        <w:gridCol w:w="974"/>
        <w:gridCol w:w="962"/>
        <w:gridCol w:w="1386"/>
        <w:gridCol w:w="1261"/>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Merge w:val="restart"/>
            <w:vAlign w:val="center"/>
          </w:tcPr>
          <w:p>
            <w:pPr>
              <w:widowControl/>
              <w:jc w:val="center"/>
              <w:rPr>
                <w:b/>
                <w:color w:val="000000"/>
                <w:kern w:val="0"/>
                <w:szCs w:val="21"/>
              </w:rPr>
            </w:pPr>
            <w:r>
              <w:rPr>
                <w:b/>
                <w:color w:val="000000"/>
                <w:kern w:val="0"/>
                <w:szCs w:val="21"/>
              </w:rPr>
              <w:t>环境管控单元编码</w:t>
            </w:r>
          </w:p>
        </w:tc>
        <w:tc>
          <w:tcPr>
            <w:tcW w:w="891" w:type="dxa"/>
            <w:vMerge w:val="restart"/>
            <w:vAlign w:val="center"/>
          </w:tcPr>
          <w:p>
            <w:pPr>
              <w:widowControl/>
              <w:jc w:val="center"/>
              <w:rPr>
                <w:b/>
                <w:color w:val="000000"/>
                <w:kern w:val="0"/>
                <w:szCs w:val="21"/>
              </w:rPr>
            </w:pPr>
            <w:r>
              <w:rPr>
                <w:b/>
                <w:color w:val="000000"/>
                <w:kern w:val="0"/>
                <w:szCs w:val="21"/>
              </w:rPr>
              <w:t>单元名称</w:t>
            </w:r>
          </w:p>
        </w:tc>
        <w:tc>
          <w:tcPr>
            <w:tcW w:w="1998" w:type="dxa"/>
            <w:gridSpan w:val="3"/>
            <w:vAlign w:val="center"/>
          </w:tcPr>
          <w:p>
            <w:pPr>
              <w:widowControl/>
              <w:jc w:val="center"/>
              <w:rPr>
                <w:b/>
                <w:color w:val="000000"/>
                <w:kern w:val="0"/>
                <w:szCs w:val="21"/>
              </w:rPr>
            </w:pPr>
            <w:r>
              <w:rPr>
                <w:b/>
                <w:color w:val="000000"/>
                <w:kern w:val="0"/>
                <w:szCs w:val="21"/>
              </w:rPr>
              <w:t>行政区划</w:t>
            </w:r>
          </w:p>
        </w:tc>
        <w:tc>
          <w:tcPr>
            <w:tcW w:w="724" w:type="dxa"/>
            <w:vMerge w:val="restart"/>
            <w:vAlign w:val="center"/>
          </w:tcPr>
          <w:p>
            <w:pPr>
              <w:widowControl/>
              <w:jc w:val="center"/>
              <w:rPr>
                <w:b/>
                <w:color w:val="000000"/>
                <w:kern w:val="0"/>
                <w:szCs w:val="21"/>
              </w:rPr>
            </w:pPr>
            <w:r>
              <w:rPr>
                <w:b/>
                <w:color w:val="000000"/>
                <w:kern w:val="0"/>
                <w:szCs w:val="21"/>
              </w:rPr>
              <w:t>单元分类</w:t>
            </w:r>
          </w:p>
        </w:tc>
        <w:tc>
          <w:tcPr>
            <w:tcW w:w="796"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974" w:type="dxa"/>
            <w:vMerge w:val="restart"/>
            <w:vAlign w:val="center"/>
          </w:tcPr>
          <w:p>
            <w:pPr>
              <w:jc w:val="center"/>
              <w:rPr>
                <w:b/>
                <w:color w:val="000000"/>
                <w:kern w:val="0"/>
                <w:szCs w:val="21"/>
              </w:rPr>
            </w:pPr>
            <w:r>
              <w:rPr>
                <w:b/>
                <w:color w:val="000000"/>
                <w:kern w:val="0"/>
                <w:szCs w:val="21"/>
              </w:rPr>
              <w:t>涉及乡镇(街道)</w:t>
            </w:r>
          </w:p>
        </w:tc>
        <w:tc>
          <w:tcPr>
            <w:tcW w:w="962" w:type="dxa"/>
            <w:vMerge w:val="restart"/>
            <w:vAlign w:val="center"/>
          </w:tcPr>
          <w:p>
            <w:pPr>
              <w:jc w:val="center"/>
              <w:rPr>
                <w:b/>
                <w:color w:val="000000"/>
                <w:kern w:val="0"/>
                <w:szCs w:val="21"/>
              </w:rPr>
            </w:pPr>
            <w:r>
              <w:rPr>
                <w:b/>
                <w:color w:val="000000"/>
                <w:kern w:val="0"/>
                <w:szCs w:val="21"/>
              </w:rPr>
              <w:t>主体功能定位①</w:t>
            </w:r>
          </w:p>
        </w:tc>
        <w:tc>
          <w:tcPr>
            <w:tcW w:w="1386" w:type="dxa"/>
            <w:vMerge w:val="restart"/>
            <w:vAlign w:val="center"/>
          </w:tcPr>
          <w:p>
            <w:pPr>
              <w:jc w:val="center"/>
              <w:rPr>
                <w:b/>
                <w:color w:val="000000"/>
                <w:kern w:val="0"/>
                <w:szCs w:val="21"/>
              </w:rPr>
            </w:pPr>
            <w:r>
              <w:rPr>
                <w:b/>
                <w:color w:val="000000"/>
                <w:kern w:val="0"/>
                <w:szCs w:val="21"/>
              </w:rPr>
              <w:t>经济产业布局</w:t>
            </w:r>
          </w:p>
        </w:tc>
        <w:tc>
          <w:tcPr>
            <w:tcW w:w="4726" w:type="dxa"/>
            <w:gridSpan w:val="2"/>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7" w:type="dxa"/>
            <w:vMerge w:val="continue"/>
            <w:vAlign w:val="center"/>
          </w:tcPr>
          <w:p/>
        </w:tc>
        <w:tc>
          <w:tcPr>
            <w:tcW w:w="891" w:type="dxa"/>
            <w:vMerge w:val="continue"/>
            <w:vAlign w:val="center"/>
          </w:tcPr>
          <w:p/>
        </w:tc>
        <w:tc>
          <w:tcPr>
            <w:tcW w:w="898" w:type="dxa"/>
            <w:vAlign w:val="center"/>
          </w:tcPr>
          <w:p>
            <w:pPr>
              <w:jc w:val="center"/>
              <w:rPr>
                <w:b/>
                <w:color w:val="000000"/>
                <w:szCs w:val="21"/>
              </w:rPr>
            </w:pPr>
            <w:r>
              <w:rPr>
                <w:b/>
                <w:color w:val="000000"/>
                <w:szCs w:val="21"/>
              </w:rPr>
              <w:t>省</w:t>
            </w:r>
          </w:p>
        </w:tc>
        <w:tc>
          <w:tcPr>
            <w:tcW w:w="550" w:type="dxa"/>
            <w:vAlign w:val="center"/>
          </w:tcPr>
          <w:p>
            <w:pPr>
              <w:jc w:val="center"/>
              <w:rPr>
                <w:b/>
                <w:color w:val="000000"/>
                <w:szCs w:val="21"/>
              </w:rPr>
            </w:pPr>
            <w:r>
              <w:rPr>
                <w:b/>
                <w:color w:val="000000"/>
                <w:szCs w:val="21"/>
              </w:rPr>
              <w:t>市</w:t>
            </w:r>
          </w:p>
        </w:tc>
        <w:tc>
          <w:tcPr>
            <w:tcW w:w="550" w:type="dxa"/>
            <w:vAlign w:val="center"/>
          </w:tcPr>
          <w:p>
            <w:pPr>
              <w:jc w:val="center"/>
              <w:rPr>
                <w:b/>
                <w:color w:val="000000"/>
                <w:szCs w:val="21"/>
              </w:rPr>
            </w:pPr>
            <w:r>
              <w:rPr>
                <w:b/>
                <w:color w:val="000000"/>
                <w:szCs w:val="21"/>
              </w:rPr>
              <w:t>县</w:t>
            </w:r>
          </w:p>
        </w:tc>
        <w:tc>
          <w:tcPr>
            <w:tcW w:w="724" w:type="dxa"/>
            <w:vMerge w:val="continue"/>
            <w:vAlign w:val="center"/>
          </w:tcPr>
          <w:p/>
        </w:tc>
        <w:tc>
          <w:tcPr>
            <w:tcW w:w="796" w:type="dxa"/>
            <w:vMerge w:val="continue"/>
            <w:vAlign w:val="center"/>
          </w:tcPr>
          <w:p/>
        </w:tc>
        <w:tc>
          <w:tcPr>
            <w:tcW w:w="974" w:type="dxa"/>
            <w:vMerge w:val="continue"/>
            <w:vAlign w:val="center"/>
          </w:tcPr>
          <w:p/>
        </w:tc>
        <w:tc>
          <w:tcPr>
            <w:tcW w:w="962" w:type="dxa"/>
            <w:vMerge w:val="continue"/>
            <w:vAlign w:val="center"/>
          </w:tcPr>
          <w:p/>
        </w:tc>
        <w:tc>
          <w:tcPr>
            <w:tcW w:w="1386" w:type="dxa"/>
            <w:vMerge w:val="continue"/>
            <w:vAlign w:val="center"/>
          </w:tcPr>
          <w:p/>
        </w:tc>
        <w:tc>
          <w:tcPr>
            <w:tcW w:w="4726"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spacing w:line="320" w:lineRule="exact"/>
              <w:jc w:val="center"/>
              <w:rPr>
                <w:color w:val="000000"/>
                <w:szCs w:val="21"/>
              </w:rPr>
            </w:pPr>
            <w:r>
              <w:rPr>
                <w:color w:val="000000"/>
                <w:szCs w:val="21"/>
              </w:rPr>
              <w:t>ZH43052410001</w:t>
            </w:r>
          </w:p>
        </w:tc>
        <w:tc>
          <w:tcPr>
            <w:tcW w:w="891" w:type="dxa"/>
            <w:vAlign w:val="center"/>
          </w:tcPr>
          <w:p>
            <w:pPr>
              <w:spacing w:line="320" w:lineRule="exact"/>
              <w:jc w:val="center"/>
              <w:rPr>
                <w:color w:val="000000"/>
                <w:szCs w:val="21"/>
              </w:rPr>
            </w:pPr>
            <w:r>
              <w:rPr>
                <w:color w:val="000000"/>
                <w:szCs w:val="21"/>
              </w:rPr>
              <w:t>荷田乡/荷香桥镇/六都寨镇/岩口镇</w:t>
            </w:r>
          </w:p>
        </w:tc>
        <w:tc>
          <w:tcPr>
            <w:tcW w:w="898" w:type="dxa"/>
            <w:vAlign w:val="center"/>
          </w:tcPr>
          <w:p>
            <w:pPr>
              <w:spacing w:line="320" w:lineRule="exact"/>
              <w:jc w:val="center"/>
              <w:rPr>
                <w:color w:val="000000"/>
                <w:szCs w:val="21"/>
              </w:rPr>
            </w:pPr>
            <w:r>
              <w:rPr>
                <w:color w:val="000000"/>
                <w:szCs w:val="21"/>
              </w:rPr>
              <w:t>湖南省</w:t>
            </w:r>
          </w:p>
        </w:tc>
        <w:tc>
          <w:tcPr>
            <w:tcW w:w="550" w:type="dxa"/>
            <w:vAlign w:val="center"/>
          </w:tcPr>
          <w:p>
            <w:pPr>
              <w:spacing w:line="320" w:lineRule="exact"/>
              <w:jc w:val="center"/>
              <w:rPr>
                <w:color w:val="000000"/>
                <w:szCs w:val="21"/>
              </w:rPr>
            </w:pPr>
            <w:r>
              <w:rPr>
                <w:color w:val="000000"/>
                <w:szCs w:val="21"/>
              </w:rPr>
              <w:t>邵阳市</w:t>
            </w:r>
          </w:p>
        </w:tc>
        <w:tc>
          <w:tcPr>
            <w:tcW w:w="550" w:type="dxa"/>
            <w:vAlign w:val="center"/>
          </w:tcPr>
          <w:p>
            <w:pPr>
              <w:spacing w:line="320" w:lineRule="exact"/>
              <w:jc w:val="center"/>
              <w:rPr>
                <w:color w:val="000000"/>
                <w:szCs w:val="21"/>
              </w:rPr>
            </w:pPr>
            <w:r>
              <w:rPr>
                <w:color w:val="000000"/>
                <w:szCs w:val="21"/>
              </w:rPr>
              <w:t>隆回县</w:t>
            </w:r>
          </w:p>
        </w:tc>
        <w:tc>
          <w:tcPr>
            <w:tcW w:w="724" w:type="dxa"/>
            <w:vAlign w:val="center"/>
          </w:tcPr>
          <w:p>
            <w:pPr>
              <w:spacing w:line="320" w:lineRule="exact"/>
              <w:jc w:val="center"/>
              <w:rPr>
                <w:color w:val="000000"/>
                <w:szCs w:val="21"/>
              </w:rPr>
            </w:pPr>
            <w:r>
              <w:rPr>
                <w:color w:val="000000"/>
                <w:szCs w:val="21"/>
              </w:rPr>
              <w:t>优先保护单元</w:t>
            </w:r>
          </w:p>
        </w:tc>
        <w:tc>
          <w:tcPr>
            <w:tcW w:w="796" w:type="dxa"/>
            <w:vAlign w:val="center"/>
          </w:tcPr>
          <w:p>
            <w:pPr>
              <w:spacing w:line="320" w:lineRule="exact"/>
              <w:jc w:val="center"/>
              <w:rPr>
                <w:color w:val="000000"/>
                <w:szCs w:val="21"/>
              </w:rPr>
            </w:pPr>
            <w:r>
              <w:rPr>
                <w:color w:val="000000"/>
                <w:szCs w:val="21"/>
              </w:rPr>
              <w:t>563.94</w:t>
            </w:r>
          </w:p>
        </w:tc>
        <w:tc>
          <w:tcPr>
            <w:tcW w:w="974" w:type="dxa"/>
            <w:vAlign w:val="center"/>
          </w:tcPr>
          <w:p>
            <w:pPr>
              <w:spacing w:line="320" w:lineRule="exact"/>
              <w:jc w:val="center"/>
              <w:rPr>
                <w:color w:val="000000"/>
                <w:szCs w:val="21"/>
              </w:rPr>
            </w:pPr>
            <w:r>
              <w:rPr>
                <w:color w:val="000000"/>
                <w:szCs w:val="21"/>
              </w:rPr>
              <w:t>荷田乡/荷香桥镇/六都寨镇/岩口镇</w:t>
            </w:r>
          </w:p>
        </w:tc>
        <w:tc>
          <w:tcPr>
            <w:tcW w:w="962" w:type="dxa"/>
            <w:vAlign w:val="center"/>
          </w:tcPr>
          <w:p>
            <w:pPr>
              <w:spacing w:line="320" w:lineRule="exact"/>
              <w:jc w:val="left"/>
              <w:rPr>
                <w:color w:val="000000"/>
                <w:szCs w:val="21"/>
              </w:rPr>
            </w:pPr>
            <w:r>
              <w:rPr>
                <w:color w:val="000000"/>
                <w:szCs w:val="21"/>
              </w:rPr>
              <w:t>荷田乡/荷香桥镇/岩口镇：农产品主产区</w:t>
            </w:r>
          </w:p>
          <w:p>
            <w:pPr>
              <w:spacing w:line="320" w:lineRule="exact"/>
              <w:jc w:val="left"/>
              <w:rPr>
                <w:color w:val="000000"/>
                <w:szCs w:val="21"/>
              </w:rPr>
            </w:pPr>
            <w:r>
              <w:rPr>
                <w:color w:val="000000"/>
                <w:szCs w:val="21"/>
              </w:rPr>
              <w:t>六都寨镇：城市化地区</w:t>
            </w:r>
          </w:p>
        </w:tc>
        <w:tc>
          <w:tcPr>
            <w:tcW w:w="1386" w:type="dxa"/>
            <w:vAlign w:val="center"/>
          </w:tcPr>
          <w:p>
            <w:pPr>
              <w:widowControl/>
              <w:spacing w:line="320" w:lineRule="exact"/>
              <w:jc w:val="left"/>
            </w:pPr>
            <w:r>
              <w:rPr>
                <w:b/>
                <w:bCs/>
                <w:szCs w:val="21"/>
              </w:rPr>
              <w:t>荷田乡</w:t>
            </w:r>
            <w:r>
              <w:rPr>
                <w:szCs w:val="21"/>
              </w:rPr>
              <w:t>：</w:t>
            </w:r>
            <w:r>
              <w:rPr>
                <w:rStyle w:val="12"/>
                <w:b w:val="0"/>
              </w:rPr>
              <w:t>烤烟、竹木、</w:t>
            </w:r>
            <w:r>
              <w:rPr>
                <w:rStyle w:val="12"/>
                <w:b w:val="0"/>
                <w:kern w:val="0"/>
                <w:szCs w:val="21"/>
              </w:rPr>
              <w:t>农业种植、生态农业、畜禽养殖、</w:t>
            </w:r>
            <w:r>
              <w:rPr>
                <w:rStyle w:val="12"/>
                <w:b w:val="0"/>
                <w:szCs w:val="21"/>
              </w:rPr>
              <w:t>农副产品加工、</w:t>
            </w:r>
            <w:r>
              <w:rPr>
                <w:rStyle w:val="12"/>
                <w:b w:val="0"/>
              </w:rPr>
              <w:t>中药材种植加工、水电、</w:t>
            </w:r>
            <w:r>
              <w:rPr>
                <w:rStyle w:val="12"/>
                <w:b w:val="0"/>
                <w:szCs w:val="21"/>
              </w:rPr>
              <w:t>建材、</w:t>
            </w:r>
            <w:r>
              <w:rPr>
                <w:rStyle w:val="12"/>
                <w:b w:val="0"/>
              </w:rPr>
              <w:t>旅游</w:t>
            </w:r>
          </w:p>
          <w:p>
            <w:pPr>
              <w:widowControl/>
              <w:spacing w:line="320" w:lineRule="exact"/>
              <w:jc w:val="left"/>
            </w:pPr>
            <w:r>
              <w:rPr>
                <w:b/>
                <w:bCs/>
                <w:szCs w:val="21"/>
              </w:rPr>
              <w:t>荷香桥镇</w:t>
            </w:r>
            <w:r>
              <w:rPr>
                <w:szCs w:val="21"/>
              </w:rPr>
              <w:t>：水电、烤烟、有机肥制造、</w:t>
            </w:r>
            <w:r>
              <w:t>竹木加工、</w:t>
            </w:r>
            <w:r>
              <w:rPr>
                <w:kern w:val="0"/>
                <w:szCs w:val="21"/>
              </w:rPr>
              <w:t>农业种植、生态农业、畜禽养殖、</w:t>
            </w:r>
            <w:r>
              <w:rPr>
                <w:szCs w:val="21"/>
              </w:rPr>
              <w:t>农副产品加工、</w:t>
            </w:r>
            <w:r>
              <w:rPr>
                <w:rStyle w:val="12"/>
                <w:b w:val="0"/>
                <w:szCs w:val="21"/>
              </w:rPr>
              <w:t>中药材种植加工</w:t>
            </w:r>
            <w:r>
              <w:rPr>
                <w:rStyle w:val="12"/>
                <w:szCs w:val="21"/>
              </w:rPr>
              <w:t>、</w:t>
            </w:r>
            <w:r>
              <w:rPr>
                <w:szCs w:val="21"/>
              </w:rPr>
              <w:t>建材、</w:t>
            </w:r>
            <w:r>
              <w:rPr>
                <w:rStyle w:val="12"/>
                <w:b w:val="0"/>
                <w:szCs w:val="21"/>
              </w:rPr>
              <w:t>旅游</w:t>
            </w:r>
          </w:p>
          <w:p>
            <w:pPr>
              <w:widowControl/>
              <w:spacing w:line="320" w:lineRule="exact"/>
              <w:jc w:val="left"/>
            </w:pPr>
            <w:r>
              <w:rPr>
                <w:b/>
                <w:bCs/>
                <w:szCs w:val="21"/>
              </w:rPr>
              <w:t>六都寨镇</w:t>
            </w:r>
            <w:r>
              <w:rPr>
                <w:szCs w:val="21"/>
              </w:rPr>
              <w:t>：造纸、</w:t>
            </w:r>
            <w:r>
              <w:rPr>
                <w:kern w:val="0"/>
                <w:szCs w:val="21"/>
              </w:rPr>
              <w:t>农业种植、生态农业、畜禽养殖、</w:t>
            </w:r>
            <w:r>
              <w:rPr>
                <w:szCs w:val="21"/>
              </w:rPr>
              <w:t>农副产品加工、</w:t>
            </w:r>
            <w:r>
              <w:rPr>
                <w:rStyle w:val="12"/>
                <w:b w:val="0"/>
                <w:szCs w:val="21"/>
              </w:rPr>
              <w:t>中药材种植加工 、风电、水电、</w:t>
            </w:r>
            <w:r>
              <w:rPr>
                <w:szCs w:val="21"/>
              </w:rPr>
              <w:t>建材、</w:t>
            </w:r>
            <w:r>
              <w:rPr>
                <w:rStyle w:val="12"/>
                <w:b w:val="0"/>
                <w:szCs w:val="21"/>
              </w:rPr>
              <w:t>旅游</w:t>
            </w:r>
          </w:p>
          <w:p>
            <w:pPr>
              <w:widowControl/>
              <w:spacing w:line="320" w:lineRule="exact"/>
              <w:jc w:val="left"/>
              <w:rPr>
                <w:color w:val="000000"/>
                <w:szCs w:val="21"/>
              </w:rPr>
            </w:pPr>
            <w:r>
              <w:rPr>
                <w:b/>
                <w:bCs/>
                <w:szCs w:val="21"/>
              </w:rPr>
              <w:t>岩口镇</w:t>
            </w:r>
            <w:r>
              <w:rPr>
                <w:szCs w:val="21"/>
              </w:rPr>
              <w:t>：食品加工、烤烟、屠宰、竹木加工、水电、建材、</w:t>
            </w:r>
            <w:r>
              <w:rPr>
                <w:kern w:val="0"/>
                <w:szCs w:val="21"/>
              </w:rPr>
              <w:t>农业种植、生态农业、畜禽养殖、</w:t>
            </w:r>
            <w:r>
              <w:rPr>
                <w:rStyle w:val="12"/>
                <w:b w:val="0"/>
                <w:kern w:val="0"/>
                <w:szCs w:val="21"/>
              </w:rPr>
              <w:t>旅游</w:t>
            </w:r>
            <w:r>
              <w:rPr>
                <w:szCs w:val="21"/>
              </w:rPr>
              <w:t>等</w:t>
            </w:r>
          </w:p>
        </w:tc>
        <w:tc>
          <w:tcPr>
            <w:tcW w:w="4726" w:type="dxa"/>
            <w:gridSpan w:val="2"/>
          </w:tcPr>
          <w:p>
            <w:pPr>
              <w:widowControl/>
              <w:spacing w:line="320" w:lineRule="exact"/>
              <w:rPr>
                <w:color w:val="000000"/>
                <w:szCs w:val="21"/>
              </w:rPr>
            </w:pPr>
            <w:r>
              <w:rPr>
                <w:b/>
                <w:color w:val="000000"/>
                <w:kern w:val="0"/>
                <w:szCs w:val="21"/>
              </w:rPr>
              <w:t>主要环境问题：</w:t>
            </w:r>
          </w:p>
          <w:p>
            <w:pPr>
              <w:widowControl/>
              <w:spacing w:line="320" w:lineRule="exact"/>
              <w:rPr>
                <w:color w:val="000000"/>
                <w:szCs w:val="21"/>
              </w:rPr>
            </w:pPr>
            <w:r>
              <w:rPr>
                <w:b/>
                <w:bCs/>
                <w:color w:val="000000"/>
                <w:szCs w:val="21"/>
              </w:rPr>
              <w:t>荷田乡：</w:t>
            </w:r>
          </w:p>
          <w:p>
            <w:pPr>
              <w:widowControl/>
              <w:numPr>
                <w:ilvl w:val="0"/>
                <w:numId w:val="12"/>
              </w:numPr>
              <w:spacing w:line="320" w:lineRule="exact"/>
              <w:rPr>
                <w:color w:val="000000"/>
                <w:szCs w:val="21"/>
              </w:rPr>
            </w:pPr>
            <w:r>
              <w:rPr>
                <w:color w:val="000000"/>
                <w:szCs w:val="21"/>
              </w:rPr>
              <w:t>未建设乡生活污水处理厂；</w:t>
            </w:r>
          </w:p>
          <w:p>
            <w:pPr>
              <w:widowControl/>
              <w:numPr>
                <w:ilvl w:val="0"/>
                <w:numId w:val="12"/>
              </w:numPr>
              <w:spacing w:line="320" w:lineRule="exact"/>
              <w:rPr>
                <w:color w:val="000000"/>
                <w:szCs w:val="21"/>
              </w:rPr>
            </w:pPr>
            <w:r>
              <w:rPr>
                <w:color w:val="000000"/>
                <w:szCs w:val="21"/>
              </w:rPr>
              <w:t>农村生活污水需进一步加强治理；</w:t>
            </w:r>
          </w:p>
          <w:p>
            <w:pPr>
              <w:widowControl/>
              <w:numPr>
                <w:ilvl w:val="0"/>
                <w:numId w:val="12"/>
              </w:numPr>
              <w:spacing w:line="320" w:lineRule="exact"/>
              <w:rPr>
                <w:color w:val="000000"/>
                <w:szCs w:val="21"/>
              </w:rPr>
            </w:pPr>
            <w:r>
              <w:rPr>
                <w:color w:val="000000"/>
                <w:szCs w:val="21"/>
              </w:rPr>
              <w:t>农村秸秆焚烧多发；</w:t>
            </w:r>
          </w:p>
          <w:p>
            <w:pPr>
              <w:widowControl/>
              <w:numPr>
                <w:ilvl w:val="0"/>
                <w:numId w:val="12"/>
              </w:numPr>
              <w:spacing w:line="320" w:lineRule="exact"/>
              <w:rPr>
                <w:color w:val="000000"/>
                <w:szCs w:val="21"/>
              </w:rPr>
            </w:pPr>
            <w:r>
              <w:rPr>
                <w:color w:val="000000"/>
                <w:szCs w:val="21"/>
              </w:rPr>
              <w:t>存在关停石灰岩非金属矿山需要开展生态修复。</w:t>
            </w:r>
          </w:p>
          <w:p>
            <w:pPr>
              <w:widowControl/>
              <w:spacing w:line="320" w:lineRule="exact"/>
              <w:rPr>
                <w:color w:val="000000"/>
                <w:szCs w:val="21"/>
              </w:rPr>
            </w:pPr>
            <w:r>
              <w:rPr>
                <w:b/>
                <w:bCs/>
                <w:color w:val="000000"/>
                <w:szCs w:val="21"/>
              </w:rPr>
              <w:t>荷香桥镇、六都寨镇、岩口镇</w:t>
            </w:r>
            <w:r>
              <w:rPr>
                <w:color w:val="000000"/>
                <w:szCs w:val="21"/>
              </w:rPr>
              <w:t>：</w:t>
            </w:r>
          </w:p>
          <w:p>
            <w:pPr>
              <w:widowControl/>
              <w:numPr>
                <w:ilvl w:val="0"/>
                <w:numId w:val="13"/>
              </w:numPr>
              <w:spacing w:line="320" w:lineRule="exact"/>
              <w:rPr>
                <w:color w:val="000000"/>
                <w:szCs w:val="21"/>
              </w:rPr>
            </w:pPr>
            <w:r>
              <w:rPr>
                <w:color w:val="000000"/>
                <w:szCs w:val="21"/>
              </w:rPr>
              <w:t>乡镇生活污水处理厂管网待进一步完善；</w:t>
            </w:r>
          </w:p>
          <w:p>
            <w:pPr>
              <w:widowControl/>
              <w:numPr>
                <w:ilvl w:val="0"/>
                <w:numId w:val="13"/>
              </w:numPr>
              <w:spacing w:line="320" w:lineRule="exact"/>
              <w:rPr>
                <w:color w:val="000000"/>
                <w:szCs w:val="21"/>
              </w:rPr>
            </w:pPr>
            <w:r>
              <w:rPr>
                <w:color w:val="000000"/>
                <w:szCs w:val="21"/>
              </w:rPr>
              <w:t>农村生活污水需进一步加强治理；</w:t>
            </w:r>
          </w:p>
          <w:p>
            <w:pPr>
              <w:widowControl/>
              <w:numPr>
                <w:ilvl w:val="0"/>
                <w:numId w:val="13"/>
              </w:numPr>
              <w:spacing w:line="320" w:lineRule="exact"/>
              <w:rPr>
                <w:color w:val="000000"/>
                <w:szCs w:val="21"/>
              </w:rPr>
            </w:pPr>
            <w:r>
              <w:rPr>
                <w:color w:val="000000"/>
                <w:szCs w:val="21"/>
              </w:rPr>
              <w:t>农村秸秆焚烧多发；</w:t>
            </w:r>
          </w:p>
          <w:p>
            <w:pPr>
              <w:widowControl/>
              <w:numPr>
                <w:ilvl w:val="0"/>
                <w:numId w:val="13"/>
              </w:numPr>
              <w:spacing w:line="320" w:lineRule="exact"/>
              <w:rPr>
                <w:color w:val="000000"/>
                <w:szCs w:val="21"/>
              </w:rPr>
            </w:pPr>
            <w:r>
              <w:rPr>
                <w:color w:val="000000"/>
                <w:szCs w:val="21"/>
              </w:rPr>
              <w:t>道路扬尘需进一步加强治理；</w:t>
            </w:r>
          </w:p>
          <w:p>
            <w:pPr>
              <w:widowControl/>
              <w:numPr>
                <w:ilvl w:val="0"/>
                <w:numId w:val="13"/>
              </w:numPr>
              <w:spacing w:line="320" w:lineRule="exact"/>
              <w:rPr>
                <w:color w:val="000000"/>
                <w:szCs w:val="21"/>
              </w:rPr>
            </w:pPr>
            <w:r>
              <w:rPr>
                <w:color w:val="000000"/>
                <w:szCs w:val="21"/>
              </w:rPr>
              <w:t>建材行业大气污染防治需进一步加强。</w:t>
            </w:r>
          </w:p>
          <w:p>
            <w:pPr>
              <w:widowControl/>
              <w:spacing w:line="320" w:lineRule="exact"/>
              <w:rPr>
                <w:b/>
                <w:color w:val="000000"/>
                <w:kern w:val="0"/>
                <w:szCs w:val="21"/>
              </w:rPr>
            </w:pPr>
            <w:r>
              <w:rPr>
                <w:b/>
                <w:color w:val="000000"/>
                <w:kern w:val="0"/>
                <w:szCs w:val="21"/>
              </w:rPr>
              <w:t>重要敏感目标：</w:t>
            </w:r>
          </w:p>
          <w:p>
            <w:pPr>
              <w:widowControl/>
              <w:spacing w:line="320" w:lineRule="exact"/>
              <w:rPr>
                <w:bCs/>
                <w:color w:val="000000"/>
                <w:kern w:val="0"/>
                <w:szCs w:val="21"/>
              </w:rPr>
            </w:pPr>
            <w:r>
              <w:rPr>
                <w:b/>
                <w:color w:val="000000"/>
                <w:kern w:val="0"/>
                <w:szCs w:val="21"/>
              </w:rPr>
              <w:t>荷香桥镇</w:t>
            </w:r>
            <w:r>
              <w:rPr>
                <w:bCs/>
                <w:color w:val="000000"/>
                <w:kern w:val="0"/>
                <w:szCs w:val="21"/>
              </w:rPr>
              <w:t>：</w:t>
            </w:r>
          </w:p>
          <w:p>
            <w:pPr>
              <w:widowControl/>
              <w:numPr>
                <w:ilvl w:val="0"/>
                <w:numId w:val="14"/>
              </w:numPr>
              <w:spacing w:line="320" w:lineRule="exact"/>
              <w:rPr>
                <w:bCs/>
                <w:color w:val="000000"/>
                <w:kern w:val="0"/>
                <w:szCs w:val="21"/>
              </w:rPr>
            </w:pPr>
            <w:r>
              <w:rPr>
                <w:bCs/>
                <w:color w:val="000000"/>
                <w:kern w:val="0"/>
                <w:szCs w:val="21"/>
              </w:rPr>
              <w:t>屺石水库乡镇千吨万人饮用水水源保护区；</w:t>
            </w:r>
          </w:p>
          <w:p>
            <w:pPr>
              <w:widowControl/>
              <w:numPr>
                <w:ilvl w:val="0"/>
                <w:numId w:val="14"/>
              </w:numPr>
              <w:spacing w:line="320" w:lineRule="exact"/>
              <w:rPr>
                <w:bCs/>
                <w:color w:val="000000"/>
                <w:kern w:val="0"/>
                <w:szCs w:val="21"/>
              </w:rPr>
            </w:pPr>
            <w:r>
              <w:rPr>
                <w:bCs/>
                <w:color w:val="000000"/>
                <w:kern w:val="0"/>
                <w:szCs w:val="21"/>
              </w:rPr>
              <w:t>破巷水库乡镇千吨万人饮用水水源保护区</w:t>
            </w:r>
          </w:p>
          <w:p>
            <w:pPr>
              <w:widowControl/>
              <w:spacing w:line="320" w:lineRule="exact"/>
              <w:rPr>
                <w:bCs/>
                <w:color w:val="000000"/>
                <w:kern w:val="0"/>
                <w:szCs w:val="21"/>
              </w:rPr>
            </w:pPr>
            <w:r>
              <w:rPr>
                <w:b/>
                <w:color w:val="000000"/>
                <w:kern w:val="0"/>
                <w:szCs w:val="21"/>
              </w:rPr>
              <w:t>六都寨镇</w:t>
            </w:r>
            <w:r>
              <w:rPr>
                <w:bCs/>
                <w:color w:val="000000"/>
                <w:kern w:val="0"/>
                <w:szCs w:val="21"/>
              </w:rPr>
              <w:t>：</w:t>
            </w:r>
          </w:p>
          <w:p>
            <w:pPr>
              <w:widowControl/>
              <w:numPr>
                <w:ilvl w:val="0"/>
                <w:numId w:val="15"/>
              </w:numPr>
              <w:spacing w:line="320" w:lineRule="exact"/>
              <w:rPr>
                <w:bCs/>
                <w:color w:val="000000"/>
                <w:kern w:val="0"/>
                <w:szCs w:val="21"/>
              </w:rPr>
            </w:pPr>
            <w:r>
              <w:rPr>
                <w:bCs/>
                <w:color w:val="000000"/>
                <w:kern w:val="0"/>
                <w:szCs w:val="21"/>
              </w:rPr>
              <w:t>魏源湖国家湿地公园；</w:t>
            </w:r>
          </w:p>
          <w:p>
            <w:pPr>
              <w:widowControl/>
              <w:numPr>
                <w:ilvl w:val="0"/>
                <w:numId w:val="15"/>
              </w:numPr>
              <w:spacing w:line="320" w:lineRule="exact"/>
              <w:rPr>
                <w:bCs/>
                <w:color w:val="000000"/>
                <w:kern w:val="0"/>
                <w:szCs w:val="21"/>
              </w:rPr>
            </w:pPr>
            <w:r>
              <w:rPr>
                <w:bCs/>
                <w:color w:val="000000"/>
                <w:kern w:val="0"/>
                <w:szCs w:val="21"/>
              </w:rPr>
              <w:t>六都寨水库</w:t>
            </w:r>
            <w:r>
              <w:rPr>
                <w:rFonts w:hint="eastAsia"/>
                <w:bCs/>
                <w:color w:val="000000"/>
                <w:kern w:val="0"/>
                <w:szCs w:val="21"/>
              </w:rPr>
              <w:t>乡镇</w:t>
            </w:r>
            <w:r>
              <w:rPr>
                <w:bCs/>
                <w:color w:val="000000"/>
                <w:kern w:val="0"/>
                <w:szCs w:val="21"/>
              </w:rPr>
              <w:t>千吨万人饮用水水源保护区；</w:t>
            </w:r>
          </w:p>
          <w:p>
            <w:pPr>
              <w:widowControl/>
              <w:numPr>
                <w:ilvl w:val="0"/>
                <w:numId w:val="15"/>
              </w:numPr>
              <w:spacing w:line="320" w:lineRule="exact"/>
              <w:rPr>
                <w:bCs/>
                <w:color w:val="000000"/>
                <w:kern w:val="0"/>
                <w:szCs w:val="21"/>
              </w:rPr>
            </w:pPr>
            <w:r>
              <w:rPr>
                <w:bCs/>
                <w:color w:val="000000"/>
                <w:kern w:val="0"/>
                <w:szCs w:val="21"/>
              </w:rPr>
              <w:t>荆溪水库乡镇千吨万人饮用水水源保护区；</w:t>
            </w:r>
          </w:p>
          <w:p>
            <w:pPr>
              <w:widowControl/>
              <w:numPr>
                <w:ilvl w:val="0"/>
                <w:numId w:val="15"/>
              </w:numPr>
              <w:spacing w:line="320" w:lineRule="exact"/>
              <w:rPr>
                <w:bCs/>
                <w:color w:val="000000"/>
                <w:kern w:val="0"/>
                <w:szCs w:val="21"/>
              </w:rPr>
            </w:pPr>
            <w:r>
              <w:rPr>
                <w:bCs/>
                <w:color w:val="000000"/>
                <w:kern w:val="0"/>
                <w:szCs w:val="21"/>
              </w:rPr>
              <w:t>六都寨镇田山村乡镇千吨万人山溪水饮用水水源保护区。</w:t>
            </w:r>
          </w:p>
          <w:p>
            <w:pPr>
              <w:widowControl/>
              <w:spacing w:line="320" w:lineRule="exact"/>
              <w:rPr>
                <w:b/>
                <w:bCs/>
                <w:color w:val="000000"/>
                <w:szCs w:val="21"/>
              </w:rPr>
            </w:pPr>
            <w:r>
              <w:rPr>
                <w:b/>
                <w:bCs/>
                <w:color w:val="000000"/>
                <w:szCs w:val="21"/>
              </w:rPr>
              <w:t>岩口镇：</w:t>
            </w:r>
          </w:p>
          <w:p>
            <w:pPr>
              <w:widowControl/>
              <w:numPr>
                <w:ilvl w:val="0"/>
                <w:numId w:val="16"/>
              </w:numPr>
              <w:spacing w:line="320" w:lineRule="exact"/>
              <w:rPr>
                <w:bCs/>
                <w:color w:val="000000"/>
                <w:kern w:val="0"/>
                <w:szCs w:val="21"/>
              </w:rPr>
            </w:pPr>
            <w:r>
              <w:rPr>
                <w:bCs/>
                <w:color w:val="000000"/>
                <w:kern w:val="0"/>
                <w:szCs w:val="21"/>
              </w:rPr>
              <w:t>岩口镇双江水库乡镇千吨万人饮用水水源保护区；</w:t>
            </w:r>
          </w:p>
          <w:p>
            <w:pPr>
              <w:widowControl/>
              <w:numPr>
                <w:ilvl w:val="0"/>
                <w:numId w:val="16"/>
              </w:numPr>
              <w:spacing w:line="320" w:lineRule="exact"/>
              <w:rPr>
                <w:bCs/>
                <w:color w:val="000000"/>
                <w:kern w:val="0"/>
                <w:szCs w:val="21"/>
              </w:rPr>
            </w:pPr>
            <w:r>
              <w:rPr>
                <w:bCs/>
                <w:color w:val="000000"/>
                <w:kern w:val="0"/>
                <w:szCs w:val="21"/>
              </w:rPr>
              <w:t>岩口镇寨志水库乡镇千吨万人饮用水水源保护区；</w:t>
            </w:r>
          </w:p>
          <w:p>
            <w:pPr>
              <w:widowControl/>
              <w:numPr>
                <w:ilvl w:val="0"/>
                <w:numId w:val="16"/>
              </w:numPr>
              <w:spacing w:line="320" w:lineRule="exact"/>
              <w:rPr>
                <w:bCs/>
                <w:color w:val="000000"/>
                <w:kern w:val="0"/>
                <w:szCs w:val="21"/>
              </w:rPr>
            </w:pPr>
            <w:r>
              <w:rPr>
                <w:bCs/>
                <w:color w:val="000000"/>
                <w:kern w:val="0"/>
                <w:szCs w:val="21"/>
              </w:rPr>
              <w:t>岩口镇新坪水厂地</w:t>
            </w:r>
            <w:r>
              <w:rPr>
                <w:bCs/>
                <w:kern w:val="0"/>
                <w:szCs w:val="21"/>
              </w:rPr>
              <w:t>下水乡镇千吨万人饮用水水源保护区；</w:t>
            </w:r>
          </w:p>
          <w:p>
            <w:pPr>
              <w:widowControl/>
              <w:numPr>
                <w:ilvl w:val="0"/>
                <w:numId w:val="16"/>
              </w:numPr>
              <w:spacing w:line="320" w:lineRule="exact"/>
              <w:rPr>
                <w:bCs/>
                <w:color w:val="000000"/>
                <w:kern w:val="0"/>
                <w:szCs w:val="21"/>
              </w:rPr>
            </w:pPr>
            <w:r>
              <w:rPr>
                <w:bCs/>
                <w:kern w:val="0"/>
                <w:szCs w:val="21"/>
              </w:rPr>
              <w:t>隆回县岩口镇岩口水厂地下水饮用水水源保护区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widowControl/>
              <w:spacing w:line="400" w:lineRule="exact"/>
              <w:jc w:val="center"/>
              <w:rPr>
                <w:b/>
                <w:color w:val="000000"/>
                <w:kern w:val="0"/>
                <w:szCs w:val="21"/>
              </w:rPr>
            </w:pPr>
            <w:r>
              <w:rPr>
                <w:b/>
                <w:color w:val="000000"/>
                <w:kern w:val="0"/>
                <w:szCs w:val="21"/>
              </w:rPr>
              <w:t>主要属性</w:t>
            </w:r>
          </w:p>
        </w:tc>
        <w:tc>
          <w:tcPr>
            <w:tcW w:w="12457" w:type="dxa"/>
            <w:gridSpan w:val="11"/>
            <w:vAlign w:val="center"/>
          </w:tcPr>
          <w:p>
            <w:pPr>
              <w:spacing w:line="400" w:lineRule="exact"/>
              <w:rPr>
                <w:b/>
                <w:bCs/>
                <w:color w:val="000000"/>
                <w:szCs w:val="21"/>
              </w:rPr>
            </w:pPr>
            <w:r>
              <w:rPr>
                <w:b/>
                <w:bCs/>
                <w:color w:val="000000"/>
                <w:szCs w:val="21"/>
              </w:rPr>
              <w:t>荷田乡:</w:t>
            </w:r>
          </w:p>
          <w:p>
            <w:pPr>
              <w:numPr>
                <w:ilvl w:val="0"/>
                <w:numId w:val="17"/>
              </w:numPr>
              <w:spacing w:line="400" w:lineRule="exact"/>
              <w:jc w:val="left"/>
              <w:rPr>
                <w:szCs w:val="21"/>
              </w:rPr>
            </w:pPr>
            <w:r>
              <w:rPr>
                <w:color w:val="000000"/>
                <w:szCs w:val="21"/>
              </w:rPr>
              <w:t>红线/一般生态空间/三区三线生态红线/水源涵养重要区/原生态红线/生物多样性保护功能重要区/水土流失敏感区/森林公园/</w:t>
            </w:r>
          </w:p>
          <w:p>
            <w:pPr>
              <w:numPr>
                <w:ilvl w:val="0"/>
                <w:numId w:val="17"/>
              </w:numPr>
              <w:spacing w:line="400" w:lineRule="exact"/>
              <w:rPr>
                <w:color w:val="000000"/>
                <w:szCs w:val="21"/>
              </w:rPr>
            </w:pPr>
            <w:r>
              <w:rPr>
                <w:color w:val="000000"/>
                <w:szCs w:val="21"/>
              </w:rPr>
              <w:t>水环境一般管控区；</w:t>
            </w:r>
          </w:p>
          <w:p>
            <w:pPr>
              <w:numPr>
                <w:ilvl w:val="0"/>
                <w:numId w:val="17"/>
              </w:numPr>
              <w:spacing w:line="400" w:lineRule="exact"/>
              <w:rPr>
                <w:color w:val="000000"/>
                <w:szCs w:val="21"/>
              </w:rPr>
            </w:pPr>
            <w:r>
              <w:rPr>
                <w:color w:val="000000"/>
                <w:szCs w:val="21"/>
              </w:rPr>
              <w:t>大气环境受体敏感重点管控区/其他区域；</w:t>
            </w:r>
          </w:p>
          <w:p>
            <w:pPr>
              <w:numPr>
                <w:ilvl w:val="0"/>
                <w:numId w:val="17"/>
              </w:numPr>
              <w:spacing w:line="400" w:lineRule="exact"/>
              <w:rPr>
                <w:color w:val="000000"/>
                <w:szCs w:val="21"/>
              </w:rPr>
            </w:pPr>
            <w:r>
              <w:rPr>
                <w:color w:val="000000"/>
                <w:szCs w:val="21"/>
              </w:rPr>
              <w:t>农用地优先保护区/建设用地重点管控区/其他重点管控区/一般管控区；</w:t>
            </w:r>
          </w:p>
          <w:p>
            <w:pPr>
              <w:numPr>
                <w:ilvl w:val="0"/>
                <w:numId w:val="17"/>
              </w:numPr>
              <w:spacing w:line="400" w:lineRule="exact"/>
              <w:rPr>
                <w:color w:val="000000"/>
                <w:szCs w:val="21"/>
              </w:rPr>
            </w:pPr>
            <w:r>
              <w:rPr>
                <w:color w:val="000000"/>
                <w:szCs w:val="21"/>
              </w:rPr>
              <w:t>农产品主产区</w:t>
            </w:r>
          </w:p>
          <w:p>
            <w:pPr>
              <w:spacing w:line="400" w:lineRule="exact"/>
              <w:rPr>
                <w:b/>
                <w:bCs/>
                <w:color w:val="000000"/>
                <w:szCs w:val="21"/>
              </w:rPr>
            </w:pPr>
            <w:r>
              <w:rPr>
                <w:b/>
                <w:bCs/>
                <w:color w:val="000000"/>
                <w:szCs w:val="21"/>
              </w:rPr>
              <w:t>荷香桥镇:</w:t>
            </w:r>
          </w:p>
          <w:p>
            <w:pPr>
              <w:numPr>
                <w:ilvl w:val="0"/>
                <w:numId w:val="18"/>
              </w:numPr>
              <w:spacing w:line="400" w:lineRule="exact"/>
              <w:jc w:val="left"/>
              <w:rPr>
                <w:szCs w:val="21"/>
              </w:rPr>
            </w:pPr>
            <w:r>
              <w:rPr>
                <w:color w:val="000000"/>
                <w:szCs w:val="21"/>
              </w:rPr>
              <w:t>红线/一般生态空间/三区三线生态红线/水源涵养重要区/原生态红线/生物多样性保护功能重要区/水土流失敏感区/水土保持功能重要区</w:t>
            </w:r>
          </w:p>
          <w:p>
            <w:pPr>
              <w:numPr>
                <w:ilvl w:val="0"/>
                <w:numId w:val="18"/>
              </w:numPr>
              <w:spacing w:line="400" w:lineRule="exact"/>
              <w:rPr>
                <w:color w:val="000000"/>
                <w:szCs w:val="21"/>
              </w:rPr>
            </w:pPr>
            <w:r>
              <w:rPr>
                <w:color w:val="000000"/>
                <w:szCs w:val="21"/>
              </w:rPr>
              <w:t>水环境一般管控区；</w:t>
            </w:r>
          </w:p>
          <w:p>
            <w:pPr>
              <w:numPr>
                <w:ilvl w:val="0"/>
                <w:numId w:val="18"/>
              </w:numPr>
              <w:spacing w:line="400" w:lineRule="exact"/>
              <w:rPr>
                <w:color w:val="000000"/>
                <w:szCs w:val="21"/>
              </w:rPr>
            </w:pPr>
            <w:r>
              <w:rPr>
                <w:color w:val="000000"/>
                <w:szCs w:val="21"/>
              </w:rPr>
              <w:t>大气环境受体敏感重点管控区/其他区域；</w:t>
            </w:r>
          </w:p>
          <w:p>
            <w:pPr>
              <w:numPr>
                <w:ilvl w:val="0"/>
                <w:numId w:val="18"/>
              </w:numPr>
              <w:spacing w:line="400" w:lineRule="exact"/>
              <w:rPr>
                <w:color w:val="000000"/>
                <w:szCs w:val="21"/>
              </w:rPr>
            </w:pPr>
            <w:r>
              <w:rPr>
                <w:color w:val="000000"/>
                <w:szCs w:val="21"/>
              </w:rPr>
              <w:t>农用地优先保护区/建设用地重点管控区/其他重点管控区/一般管控区；</w:t>
            </w:r>
          </w:p>
          <w:p>
            <w:pPr>
              <w:numPr>
                <w:ilvl w:val="0"/>
                <w:numId w:val="18"/>
              </w:numPr>
              <w:spacing w:line="400" w:lineRule="exact"/>
              <w:rPr>
                <w:color w:val="000000"/>
                <w:szCs w:val="21"/>
              </w:rPr>
            </w:pPr>
            <w:r>
              <w:rPr>
                <w:color w:val="000000"/>
                <w:szCs w:val="21"/>
              </w:rPr>
              <w:t>农产品主产区</w:t>
            </w:r>
          </w:p>
          <w:p>
            <w:pPr>
              <w:spacing w:line="400" w:lineRule="exact"/>
              <w:rPr>
                <w:b/>
                <w:bCs/>
                <w:color w:val="000000"/>
                <w:szCs w:val="21"/>
              </w:rPr>
            </w:pPr>
            <w:r>
              <w:rPr>
                <w:b/>
                <w:bCs/>
                <w:color w:val="000000"/>
                <w:szCs w:val="21"/>
              </w:rPr>
              <w:t>六都寨镇:</w:t>
            </w:r>
          </w:p>
          <w:p>
            <w:pPr>
              <w:numPr>
                <w:ilvl w:val="0"/>
                <w:numId w:val="19"/>
              </w:numPr>
              <w:spacing w:line="400" w:lineRule="exact"/>
              <w:jc w:val="left"/>
              <w:rPr>
                <w:szCs w:val="21"/>
              </w:rPr>
            </w:pPr>
            <w:r>
              <w:rPr>
                <w:color w:val="000000"/>
                <w:szCs w:val="21"/>
              </w:rPr>
              <w:t>红线/一般生态空间/水源涵养重要区/三区三线生态红线/湿地公园/森林公园/原生态红线/生物多样性保护功能重要区/水土流失敏感区/水土保持功能重要区</w:t>
            </w:r>
          </w:p>
          <w:p>
            <w:pPr>
              <w:numPr>
                <w:ilvl w:val="0"/>
                <w:numId w:val="19"/>
              </w:numPr>
              <w:spacing w:line="400" w:lineRule="exact"/>
              <w:rPr>
                <w:color w:val="000000"/>
                <w:szCs w:val="21"/>
              </w:rPr>
            </w:pPr>
            <w:r>
              <w:rPr>
                <w:color w:val="000000"/>
                <w:szCs w:val="21"/>
              </w:rPr>
              <w:t>水环境优先保护区/水环境一般管控区；</w:t>
            </w:r>
          </w:p>
          <w:p>
            <w:pPr>
              <w:numPr>
                <w:ilvl w:val="0"/>
                <w:numId w:val="19"/>
              </w:numPr>
              <w:spacing w:line="400" w:lineRule="exact"/>
              <w:rPr>
                <w:color w:val="000000"/>
                <w:szCs w:val="21"/>
              </w:rPr>
            </w:pPr>
            <w:r>
              <w:rPr>
                <w:color w:val="000000"/>
                <w:szCs w:val="21"/>
              </w:rPr>
              <w:t>大气环境优先保护区/大气环境高排放重点管控区/大气环境受体敏感重点管控区/其他区域；</w:t>
            </w:r>
          </w:p>
          <w:p>
            <w:pPr>
              <w:numPr>
                <w:ilvl w:val="0"/>
                <w:numId w:val="19"/>
              </w:numPr>
              <w:spacing w:line="400" w:lineRule="exact"/>
              <w:rPr>
                <w:color w:val="000000"/>
                <w:szCs w:val="21"/>
              </w:rPr>
            </w:pPr>
            <w:r>
              <w:rPr>
                <w:color w:val="000000"/>
                <w:szCs w:val="21"/>
              </w:rPr>
              <w:t>农用地优先保护区/建设用地重点管控区/一般管控区；</w:t>
            </w:r>
          </w:p>
          <w:p>
            <w:pPr>
              <w:numPr>
                <w:ilvl w:val="0"/>
                <w:numId w:val="19"/>
              </w:numPr>
              <w:spacing w:line="400" w:lineRule="exact"/>
              <w:rPr>
                <w:color w:val="000000"/>
                <w:szCs w:val="21"/>
              </w:rPr>
            </w:pPr>
            <w:r>
              <w:rPr>
                <w:color w:val="000000"/>
                <w:szCs w:val="21"/>
              </w:rPr>
              <w:t>城市化地区</w:t>
            </w:r>
          </w:p>
          <w:p>
            <w:pPr>
              <w:spacing w:line="400" w:lineRule="exact"/>
              <w:rPr>
                <w:b/>
                <w:bCs/>
                <w:color w:val="000000"/>
                <w:szCs w:val="21"/>
              </w:rPr>
            </w:pPr>
            <w:r>
              <w:rPr>
                <w:b/>
                <w:bCs/>
                <w:color w:val="000000"/>
                <w:szCs w:val="21"/>
              </w:rPr>
              <w:t>岩口镇：</w:t>
            </w:r>
          </w:p>
          <w:p>
            <w:pPr>
              <w:numPr>
                <w:ilvl w:val="0"/>
                <w:numId w:val="19"/>
              </w:numPr>
              <w:spacing w:line="400" w:lineRule="exact"/>
              <w:jc w:val="left"/>
              <w:rPr>
                <w:szCs w:val="21"/>
              </w:rPr>
            </w:pPr>
            <w:r>
              <w:rPr>
                <w:color w:val="000000"/>
                <w:szCs w:val="21"/>
              </w:rPr>
              <w:t>红线/一般生态空间/三区三线生态红线/水源涵养重要区/森林公园/原生态红线/生物多样性保护功能重要区/水土流失敏感区</w:t>
            </w:r>
          </w:p>
          <w:p>
            <w:pPr>
              <w:numPr>
                <w:ilvl w:val="0"/>
                <w:numId w:val="19"/>
              </w:numPr>
              <w:spacing w:line="400" w:lineRule="exact"/>
              <w:rPr>
                <w:color w:val="000000"/>
                <w:szCs w:val="21"/>
              </w:rPr>
            </w:pPr>
            <w:r>
              <w:rPr>
                <w:color w:val="000000"/>
                <w:szCs w:val="21"/>
              </w:rPr>
              <w:t>水环境一般管控区；</w:t>
            </w:r>
          </w:p>
          <w:p>
            <w:pPr>
              <w:numPr>
                <w:ilvl w:val="0"/>
                <w:numId w:val="19"/>
              </w:numPr>
              <w:spacing w:line="400" w:lineRule="exact"/>
              <w:rPr>
                <w:color w:val="000000"/>
                <w:szCs w:val="21"/>
              </w:rPr>
            </w:pPr>
            <w:r>
              <w:rPr>
                <w:color w:val="000000"/>
                <w:szCs w:val="21"/>
              </w:rPr>
              <w:t>大气环境高排放重点管控区/大气环境受体敏感重点管控区/其他区域；</w:t>
            </w:r>
          </w:p>
          <w:p>
            <w:pPr>
              <w:numPr>
                <w:ilvl w:val="0"/>
                <w:numId w:val="19"/>
              </w:numPr>
              <w:spacing w:line="400" w:lineRule="exact"/>
              <w:rPr>
                <w:color w:val="000000"/>
                <w:szCs w:val="21"/>
              </w:rPr>
            </w:pPr>
            <w:r>
              <w:rPr>
                <w:color w:val="000000"/>
                <w:szCs w:val="21"/>
              </w:rPr>
              <w:t>农用地优先保护区/建设用地重点管控区/其他重点管控区/一般管控区；</w:t>
            </w:r>
          </w:p>
          <w:p>
            <w:pPr>
              <w:numPr>
                <w:ilvl w:val="0"/>
                <w:numId w:val="19"/>
              </w:numPr>
              <w:spacing w:line="400" w:lineRule="exact"/>
              <w:rPr>
                <w:color w:val="000000"/>
                <w:szCs w:val="21"/>
              </w:rPr>
            </w:pPr>
            <w:r>
              <w:rPr>
                <w:color w:val="000000"/>
                <w:szCs w:val="21"/>
              </w:rPr>
              <w:t>农产品主产区</w:t>
            </w:r>
          </w:p>
          <w:p>
            <w:pPr>
              <w:numPr>
                <w:ilvl w:val="0"/>
                <w:numId w:val="0"/>
              </w:numPr>
              <w:spacing w:line="400" w:lineRule="exact"/>
              <w:ind w:left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widowControl/>
              <w:spacing w:line="400" w:lineRule="exact"/>
              <w:jc w:val="center"/>
              <w:rPr>
                <w:b/>
                <w:color w:val="000000"/>
                <w:szCs w:val="21"/>
              </w:rPr>
            </w:pPr>
            <w:r>
              <w:rPr>
                <w:b/>
                <w:color w:val="000000"/>
                <w:szCs w:val="21"/>
              </w:rPr>
              <w:t>管控维度</w:t>
            </w:r>
          </w:p>
        </w:tc>
        <w:tc>
          <w:tcPr>
            <w:tcW w:w="8992" w:type="dxa"/>
            <w:gridSpan w:val="10"/>
            <w:vAlign w:val="center"/>
          </w:tcPr>
          <w:p>
            <w:pPr>
              <w:spacing w:line="400" w:lineRule="exact"/>
              <w:jc w:val="center"/>
              <w:rPr>
                <w:b/>
                <w:color w:val="000000"/>
                <w:szCs w:val="21"/>
              </w:rPr>
            </w:pPr>
            <w:r>
              <w:rPr>
                <w:b/>
                <w:color w:val="000000"/>
                <w:kern w:val="0"/>
                <w:szCs w:val="21"/>
              </w:rPr>
              <w:t>管控要求</w:t>
            </w:r>
          </w:p>
        </w:tc>
        <w:tc>
          <w:tcPr>
            <w:tcW w:w="3465" w:type="dxa"/>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17" w:type="dxa"/>
            <w:vAlign w:val="center"/>
          </w:tcPr>
          <w:p>
            <w:pPr>
              <w:widowControl/>
              <w:spacing w:line="400" w:lineRule="exact"/>
              <w:jc w:val="center"/>
              <w:rPr>
                <w:color w:val="000000"/>
                <w:szCs w:val="21"/>
              </w:rPr>
            </w:pPr>
            <w:r>
              <w:rPr>
                <w:color w:val="000000"/>
                <w:szCs w:val="21"/>
              </w:rPr>
              <w:t>空间布局约束</w:t>
            </w:r>
          </w:p>
        </w:tc>
        <w:tc>
          <w:tcPr>
            <w:tcW w:w="8992" w:type="dxa"/>
            <w:gridSpan w:val="10"/>
            <w:vAlign w:val="center"/>
          </w:tcPr>
          <w:p>
            <w:pPr>
              <w:tabs>
                <w:tab w:val="left" w:pos="1021"/>
              </w:tabs>
              <w:spacing w:line="40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40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400" w:lineRule="exact"/>
              <w:rPr>
                <w:szCs w:val="21"/>
              </w:rPr>
            </w:pPr>
            <w:r>
              <w:rPr>
                <w:szCs w:val="21"/>
              </w:rPr>
              <w:t>（1.3）严禁在饮用水源保护区、自然保护地等环境敏感区、重要生态功能保护区内开发利用矿产资源。</w:t>
            </w:r>
          </w:p>
          <w:p>
            <w:pPr>
              <w:tabs>
                <w:tab w:val="left" w:pos="1021"/>
              </w:tabs>
              <w:spacing w:line="400" w:lineRule="exact"/>
              <w:rPr>
                <w:szCs w:val="21"/>
              </w:rPr>
            </w:pPr>
            <w:r>
              <w:rPr>
                <w:szCs w:val="21"/>
              </w:rPr>
              <w:t>（1.4）在城市紫线范围</w:t>
            </w:r>
            <w:r>
              <w:rPr>
                <w:rFonts w:hint="eastAsia"/>
                <w:szCs w:val="21"/>
              </w:rPr>
              <w:t>（包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40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40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tc>
        <w:tc>
          <w:tcPr>
            <w:tcW w:w="3465" w:type="dxa"/>
            <w:vMerge w:val="restart"/>
          </w:tcPr>
          <w:p>
            <w:pPr>
              <w:widowControl/>
              <w:tabs>
                <w:tab w:val="left" w:pos="1021"/>
              </w:tabs>
              <w:spacing w:line="400" w:lineRule="exact"/>
              <w:rPr>
                <w:color w:val="000000"/>
                <w:szCs w:val="21"/>
              </w:rPr>
            </w:pPr>
            <w:r>
              <w:rPr>
                <w:rStyle w:val="12"/>
                <w:b w:val="0"/>
                <w:color w:val="000000"/>
              </w:rPr>
              <w:t>（1.1</w:t>
            </w:r>
            <w:r>
              <w:rPr>
                <w:szCs w:val="21"/>
              </w:rPr>
              <w:t>）（1.2）（1.3）（1.4）（1.5）</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400" w:lineRule="exact"/>
              <w:rPr>
                <w:bCs/>
                <w:color w:val="000000"/>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widowControl/>
              <w:spacing w:line="400" w:lineRule="exact"/>
              <w:jc w:val="center"/>
              <w:rPr>
                <w:color w:val="000000"/>
                <w:szCs w:val="21"/>
              </w:rPr>
            </w:pPr>
            <w:r>
              <w:rPr>
                <w:color w:val="000000"/>
                <w:szCs w:val="21"/>
              </w:rPr>
              <w:t>污染物排放管控</w:t>
            </w:r>
          </w:p>
        </w:tc>
        <w:tc>
          <w:tcPr>
            <w:tcW w:w="8992" w:type="dxa"/>
            <w:gridSpan w:val="10"/>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400" w:lineRule="exact"/>
              <w:ind w:firstLine="420" w:firstLineChars="200"/>
              <w:rPr>
                <w:color w:val="000000"/>
                <w:szCs w:val="21"/>
              </w:rPr>
            </w:pPr>
            <w:r>
              <w:rPr>
                <w:bCs/>
                <w:szCs w:val="30"/>
              </w:rPr>
              <w:t>（2.1.2）全面实施《隆回县隆回县县域农村生活污水处理专项</w:t>
            </w:r>
            <w:r>
              <w:rPr>
                <w:rFonts w:hint="eastAsia"/>
                <w:bCs/>
                <w:szCs w:val="30"/>
              </w:rPr>
              <w:t>规划</w:t>
            </w:r>
            <w:r>
              <w:rPr>
                <w:bCs/>
                <w:szCs w:val="30"/>
              </w:rPr>
              <w:t>》，加快推进乡镇污水处理厂建设，实现污水处理设施乡镇全覆盖。</w:t>
            </w:r>
          </w:p>
          <w:p>
            <w:pPr>
              <w:tabs>
                <w:tab w:val="left" w:pos="1021"/>
              </w:tabs>
              <w:spacing w:line="40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40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400" w:lineRule="exact"/>
              <w:ind w:firstLine="420" w:firstLineChars="200"/>
              <w:rPr>
                <w:bCs/>
                <w:szCs w:val="30"/>
              </w:rPr>
            </w:pPr>
            <w:r>
              <w:rPr>
                <w:bCs/>
                <w:szCs w:val="30"/>
              </w:rPr>
              <w:t>（2.2.3）推进PM2.5与臭氧协同治理，强化重点行业NOx深度治理，控制挥发性有机物排放，加强扬尘污染治理，兼顾移动源污染治理，积极</w:t>
            </w:r>
          </w:p>
          <w:p>
            <w:pPr>
              <w:tabs>
                <w:tab w:val="left" w:pos="1021"/>
              </w:tabs>
              <w:spacing w:line="400" w:lineRule="exact"/>
              <w:rPr>
                <w:bCs/>
                <w:szCs w:val="30"/>
              </w:rPr>
            </w:pPr>
            <w:r>
              <w:rPr>
                <w:bCs/>
                <w:szCs w:val="30"/>
              </w:rPr>
              <w:t>应对重污染天气。</w:t>
            </w:r>
          </w:p>
          <w:p>
            <w:pPr>
              <w:tabs>
                <w:tab w:val="left" w:pos="1021"/>
              </w:tabs>
              <w:spacing w:line="400" w:lineRule="exact"/>
              <w:ind w:firstLine="420" w:firstLineChars="200"/>
              <w:rPr>
                <w:bCs/>
                <w:szCs w:val="30"/>
              </w:rPr>
            </w:pPr>
            <w:r>
              <w:rPr>
                <w:bCs/>
                <w:szCs w:val="30"/>
              </w:rPr>
              <w:t>（2.2.4）到2025年，县城空气质量指数达到优良天数占比90%以上。</w:t>
            </w:r>
          </w:p>
          <w:p>
            <w:pPr>
              <w:tabs>
                <w:tab w:val="left" w:pos="1021"/>
              </w:tabs>
              <w:spacing w:line="40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3465"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widowControl/>
              <w:spacing w:line="400" w:lineRule="exact"/>
              <w:jc w:val="center"/>
              <w:rPr>
                <w:color w:val="000000"/>
                <w:szCs w:val="21"/>
              </w:rPr>
            </w:pPr>
            <w:r>
              <w:rPr>
                <w:color w:val="000000"/>
                <w:szCs w:val="21"/>
              </w:rPr>
              <w:t>环境风险防控</w:t>
            </w:r>
          </w:p>
        </w:tc>
        <w:tc>
          <w:tcPr>
            <w:tcW w:w="8992" w:type="dxa"/>
            <w:gridSpan w:val="10"/>
            <w:vAlign w:val="center"/>
          </w:tcPr>
          <w:p>
            <w:pPr>
              <w:tabs>
                <w:tab w:val="left" w:pos="1021"/>
              </w:tabs>
              <w:spacing w:line="400" w:lineRule="exact"/>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tabs>
                <w:tab w:val="left" w:pos="1021"/>
              </w:tabs>
              <w:spacing w:line="400" w:lineRule="exact"/>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tabs>
                <w:tab w:val="left" w:pos="1021"/>
              </w:tabs>
              <w:spacing w:line="400" w:lineRule="exact"/>
              <w:rPr>
                <w:color w:val="000000"/>
                <w:szCs w:val="21"/>
              </w:rPr>
            </w:pPr>
            <w:r>
              <w:rPr>
                <w:color w:val="000000"/>
                <w:szCs w:val="21"/>
              </w:rPr>
              <w:t>（3.3）</w:t>
            </w:r>
            <w:r>
              <w:rPr>
                <w:bCs/>
                <w:szCs w:val="30"/>
              </w:rPr>
              <w:t>加强重点城镇饮用水源地一级保护区隔离工程、饮用水源地环境监管能力建设。</w:t>
            </w:r>
          </w:p>
          <w:p>
            <w:pPr>
              <w:tabs>
                <w:tab w:val="left" w:pos="1021"/>
              </w:tabs>
              <w:spacing w:line="400" w:lineRule="exact"/>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tc>
        <w:tc>
          <w:tcPr>
            <w:tcW w:w="3465"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widowControl/>
              <w:spacing w:line="400" w:lineRule="exact"/>
              <w:jc w:val="center"/>
              <w:rPr>
                <w:color w:val="000000"/>
                <w:szCs w:val="21"/>
              </w:rPr>
            </w:pPr>
            <w:r>
              <w:rPr>
                <w:color w:val="000000"/>
                <w:szCs w:val="21"/>
              </w:rPr>
              <w:t>资源开发效率要求</w:t>
            </w:r>
          </w:p>
        </w:tc>
        <w:tc>
          <w:tcPr>
            <w:tcW w:w="8992" w:type="dxa"/>
            <w:gridSpan w:val="10"/>
          </w:tcPr>
          <w:p>
            <w:pPr>
              <w:tabs>
                <w:tab w:val="left" w:pos="1021"/>
              </w:tabs>
              <w:spacing w:line="400" w:lineRule="exact"/>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tabs>
                <w:tab w:val="left" w:pos="1021"/>
              </w:tabs>
              <w:spacing w:line="400" w:lineRule="exact"/>
              <w:rPr>
                <w:bCs/>
                <w:color w:val="000000"/>
                <w:szCs w:val="21"/>
              </w:rPr>
            </w:pPr>
            <w:r>
              <w:rPr>
                <w:bCs/>
                <w:color w:val="000000"/>
                <w:szCs w:val="21"/>
              </w:rPr>
              <w:t>（4.2）水资源：</w:t>
            </w:r>
          </w:p>
          <w:p>
            <w:pPr>
              <w:tabs>
                <w:tab w:val="left" w:pos="1021"/>
              </w:tabs>
              <w:spacing w:line="400" w:lineRule="exact"/>
              <w:ind w:firstLine="420" w:firstLineChars="200"/>
              <w:rPr>
                <w:bCs/>
                <w:color w:val="000000"/>
                <w:szCs w:val="21"/>
              </w:rPr>
            </w:pPr>
            <w:r>
              <w:rPr>
                <w:bCs/>
                <w:color w:val="000000"/>
                <w:szCs w:val="21"/>
              </w:rPr>
              <w:t>（4.2.1）加强水资源、集约高效利用，执行最严格的水资源保护管理制度。</w:t>
            </w:r>
          </w:p>
          <w:p>
            <w:pPr>
              <w:tabs>
                <w:tab w:val="left" w:pos="1021"/>
              </w:tabs>
              <w:spacing w:line="400" w:lineRule="exact"/>
              <w:ind w:firstLine="420" w:firstLineChars="200"/>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tabs>
                <w:tab w:val="left" w:pos="1021"/>
              </w:tabs>
              <w:spacing w:line="400" w:lineRule="exact"/>
              <w:rPr>
                <w:bCs/>
                <w:color w:val="000000"/>
                <w:szCs w:val="21"/>
              </w:rPr>
            </w:pPr>
            <w:r>
              <w:rPr>
                <w:bCs/>
                <w:color w:val="000000"/>
                <w:szCs w:val="21"/>
              </w:rPr>
              <w:t>（4.3）土地资源：</w:t>
            </w:r>
          </w:p>
          <w:p>
            <w:pPr>
              <w:tabs>
                <w:tab w:val="left" w:pos="1021"/>
              </w:tabs>
              <w:spacing w:line="400" w:lineRule="exact"/>
              <w:ind w:firstLine="420" w:firstLineChars="200"/>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tabs>
                <w:tab w:val="left" w:pos="1021"/>
              </w:tabs>
              <w:spacing w:line="400" w:lineRule="exact"/>
              <w:ind w:firstLine="420" w:firstLineChars="200"/>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tabs>
                <w:tab w:val="left" w:pos="1021"/>
              </w:tabs>
              <w:spacing w:line="400" w:lineRule="exact"/>
              <w:ind w:firstLine="420" w:firstLineChars="200"/>
              <w:rPr>
                <w:bCs/>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3465" w:type="dxa"/>
            <w:vMerge w:val="continue"/>
            <w:vAlign w:val="center"/>
          </w:tcPr>
          <w:p>
            <w:pPr>
              <w:spacing w:line="400" w:lineRule="exact"/>
            </w:pPr>
          </w:p>
        </w:tc>
      </w:tr>
    </w:tbl>
    <w:p>
      <w:pPr>
        <w:pStyle w:val="14"/>
        <w:ind w:firstLine="0" w:firstLineChars="0"/>
        <w:rPr>
          <w:b/>
          <w:color w:val="000000"/>
          <w:sz w:val="28"/>
          <w:szCs w:val="32"/>
        </w:rPr>
        <w:sectPr>
          <w:headerReference r:id="rId5" w:type="default"/>
          <w:footerReference r:id="rId6" w:type="default"/>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714"/>
        <w:gridCol w:w="542"/>
        <w:gridCol w:w="542"/>
        <w:gridCol w:w="542"/>
        <w:gridCol w:w="714"/>
        <w:gridCol w:w="1385"/>
        <w:gridCol w:w="804"/>
        <w:gridCol w:w="1001"/>
        <w:gridCol w:w="1751"/>
        <w:gridCol w:w="974"/>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Merge w:val="restart"/>
            <w:vAlign w:val="center"/>
          </w:tcPr>
          <w:p>
            <w:pPr>
              <w:widowControl/>
              <w:jc w:val="center"/>
              <w:rPr>
                <w:b/>
                <w:color w:val="000000"/>
                <w:kern w:val="0"/>
                <w:szCs w:val="21"/>
              </w:rPr>
            </w:pPr>
            <w:r>
              <w:rPr>
                <w:b/>
                <w:color w:val="000000"/>
                <w:kern w:val="0"/>
                <w:szCs w:val="21"/>
              </w:rPr>
              <w:t>环境管控单元编码</w:t>
            </w:r>
          </w:p>
        </w:tc>
        <w:tc>
          <w:tcPr>
            <w:tcW w:w="714" w:type="dxa"/>
            <w:vMerge w:val="restart"/>
            <w:vAlign w:val="center"/>
          </w:tcPr>
          <w:p>
            <w:pPr>
              <w:widowControl/>
              <w:jc w:val="center"/>
              <w:rPr>
                <w:b/>
                <w:color w:val="000000"/>
                <w:kern w:val="0"/>
                <w:szCs w:val="21"/>
              </w:rPr>
            </w:pPr>
            <w:r>
              <w:rPr>
                <w:b/>
                <w:color w:val="000000"/>
                <w:kern w:val="0"/>
                <w:szCs w:val="21"/>
              </w:rPr>
              <w:t>单元名称</w:t>
            </w:r>
          </w:p>
        </w:tc>
        <w:tc>
          <w:tcPr>
            <w:tcW w:w="1626" w:type="dxa"/>
            <w:gridSpan w:val="3"/>
            <w:vAlign w:val="center"/>
          </w:tcPr>
          <w:p>
            <w:pPr>
              <w:widowControl/>
              <w:jc w:val="center"/>
              <w:rPr>
                <w:b/>
                <w:color w:val="000000"/>
                <w:kern w:val="0"/>
                <w:szCs w:val="21"/>
              </w:rPr>
            </w:pPr>
            <w:r>
              <w:rPr>
                <w:b/>
                <w:color w:val="000000"/>
                <w:kern w:val="0"/>
                <w:szCs w:val="21"/>
              </w:rPr>
              <w:t>行政区划</w:t>
            </w:r>
          </w:p>
        </w:tc>
        <w:tc>
          <w:tcPr>
            <w:tcW w:w="714" w:type="dxa"/>
            <w:vMerge w:val="restart"/>
            <w:vAlign w:val="center"/>
          </w:tcPr>
          <w:p>
            <w:pPr>
              <w:widowControl/>
              <w:jc w:val="center"/>
              <w:rPr>
                <w:b/>
                <w:color w:val="000000"/>
                <w:kern w:val="0"/>
                <w:szCs w:val="21"/>
              </w:rPr>
            </w:pPr>
            <w:r>
              <w:rPr>
                <w:b/>
                <w:color w:val="000000"/>
                <w:kern w:val="0"/>
                <w:szCs w:val="21"/>
              </w:rPr>
              <w:t>单元分类</w:t>
            </w:r>
          </w:p>
        </w:tc>
        <w:tc>
          <w:tcPr>
            <w:tcW w:w="1385"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804" w:type="dxa"/>
            <w:vMerge w:val="restart"/>
            <w:vAlign w:val="center"/>
          </w:tcPr>
          <w:p>
            <w:pPr>
              <w:jc w:val="center"/>
              <w:rPr>
                <w:b/>
                <w:color w:val="000000"/>
                <w:kern w:val="0"/>
                <w:szCs w:val="21"/>
              </w:rPr>
            </w:pPr>
            <w:r>
              <w:rPr>
                <w:b/>
                <w:color w:val="000000"/>
                <w:kern w:val="0"/>
                <w:szCs w:val="21"/>
              </w:rPr>
              <w:t>涉及乡镇(街道)</w:t>
            </w:r>
          </w:p>
        </w:tc>
        <w:tc>
          <w:tcPr>
            <w:tcW w:w="1001" w:type="dxa"/>
            <w:vMerge w:val="restart"/>
            <w:vAlign w:val="center"/>
          </w:tcPr>
          <w:p>
            <w:pPr>
              <w:jc w:val="center"/>
              <w:rPr>
                <w:b/>
                <w:color w:val="000000"/>
                <w:kern w:val="0"/>
                <w:szCs w:val="21"/>
              </w:rPr>
            </w:pPr>
            <w:r>
              <w:rPr>
                <w:b/>
                <w:color w:val="000000"/>
                <w:kern w:val="0"/>
                <w:szCs w:val="21"/>
              </w:rPr>
              <w:t>主体功能定位①</w:t>
            </w:r>
          </w:p>
        </w:tc>
        <w:tc>
          <w:tcPr>
            <w:tcW w:w="1751" w:type="dxa"/>
            <w:vMerge w:val="restart"/>
            <w:vAlign w:val="center"/>
          </w:tcPr>
          <w:p>
            <w:pPr>
              <w:jc w:val="center"/>
              <w:rPr>
                <w:b/>
                <w:color w:val="000000"/>
                <w:kern w:val="0"/>
                <w:szCs w:val="21"/>
              </w:rPr>
            </w:pPr>
            <w:r>
              <w:rPr>
                <w:b/>
                <w:color w:val="000000"/>
                <w:kern w:val="0"/>
                <w:szCs w:val="21"/>
              </w:rPr>
              <w:t>经济产业布局</w:t>
            </w:r>
          </w:p>
        </w:tc>
        <w:tc>
          <w:tcPr>
            <w:tcW w:w="4460" w:type="dxa"/>
            <w:gridSpan w:val="2"/>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9" w:type="dxa"/>
            <w:vMerge w:val="continue"/>
            <w:vAlign w:val="center"/>
          </w:tcPr>
          <w:p/>
        </w:tc>
        <w:tc>
          <w:tcPr>
            <w:tcW w:w="714" w:type="dxa"/>
            <w:vMerge w:val="continue"/>
            <w:vAlign w:val="center"/>
          </w:tcPr>
          <w:p/>
        </w:tc>
        <w:tc>
          <w:tcPr>
            <w:tcW w:w="542" w:type="dxa"/>
            <w:vAlign w:val="center"/>
          </w:tcPr>
          <w:p>
            <w:pPr>
              <w:jc w:val="center"/>
              <w:rPr>
                <w:b/>
                <w:color w:val="000000"/>
                <w:szCs w:val="21"/>
              </w:rPr>
            </w:pPr>
            <w:r>
              <w:rPr>
                <w:b/>
                <w:color w:val="000000"/>
                <w:szCs w:val="21"/>
              </w:rPr>
              <w:t>省</w:t>
            </w:r>
          </w:p>
        </w:tc>
        <w:tc>
          <w:tcPr>
            <w:tcW w:w="542" w:type="dxa"/>
            <w:vAlign w:val="center"/>
          </w:tcPr>
          <w:p>
            <w:pPr>
              <w:jc w:val="center"/>
              <w:rPr>
                <w:b/>
                <w:color w:val="000000"/>
                <w:szCs w:val="21"/>
              </w:rPr>
            </w:pPr>
            <w:r>
              <w:rPr>
                <w:b/>
                <w:color w:val="000000"/>
                <w:szCs w:val="21"/>
              </w:rPr>
              <w:t>市</w:t>
            </w:r>
          </w:p>
        </w:tc>
        <w:tc>
          <w:tcPr>
            <w:tcW w:w="542" w:type="dxa"/>
            <w:vAlign w:val="center"/>
          </w:tcPr>
          <w:p>
            <w:pPr>
              <w:jc w:val="center"/>
              <w:rPr>
                <w:b/>
                <w:color w:val="000000"/>
                <w:szCs w:val="21"/>
              </w:rPr>
            </w:pPr>
            <w:r>
              <w:rPr>
                <w:b/>
                <w:color w:val="000000"/>
                <w:szCs w:val="21"/>
              </w:rPr>
              <w:t>县</w:t>
            </w:r>
          </w:p>
        </w:tc>
        <w:tc>
          <w:tcPr>
            <w:tcW w:w="714" w:type="dxa"/>
            <w:vMerge w:val="continue"/>
            <w:vAlign w:val="center"/>
          </w:tcPr>
          <w:p/>
        </w:tc>
        <w:tc>
          <w:tcPr>
            <w:tcW w:w="1385" w:type="dxa"/>
            <w:vMerge w:val="continue"/>
            <w:vAlign w:val="center"/>
          </w:tcPr>
          <w:p/>
        </w:tc>
        <w:tc>
          <w:tcPr>
            <w:tcW w:w="804" w:type="dxa"/>
            <w:vMerge w:val="continue"/>
            <w:vAlign w:val="center"/>
          </w:tcPr>
          <w:p/>
        </w:tc>
        <w:tc>
          <w:tcPr>
            <w:tcW w:w="1001" w:type="dxa"/>
            <w:vMerge w:val="continue"/>
            <w:vAlign w:val="center"/>
          </w:tcPr>
          <w:p/>
        </w:tc>
        <w:tc>
          <w:tcPr>
            <w:tcW w:w="1751" w:type="dxa"/>
            <w:vMerge w:val="continue"/>
            <w:vAlign w:val="center"/>
          </w:tcPr>
          <w:p/>
        </w:tc>
        <w:tc>
          <w:tcPr>
            <w:tcW w:w="446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center"/>
          </w:tcPr>
          <w:p>
            <w:pPr>
              <w:jc w:val="center"/>
              <w:rPr>
                <w:color w:val="000000"/>
                <w:szCs w:val="21"/>
              </w:rPr>
            </w:pPr>
            <w:r>
              <w:rPr>
                <w:color w:val="000000"/>
                <w:szCs w:val="21"/>
              </w:rPr>
              <w:t>ZH43052410002</w:t>
            </w:r>
          </w:p>
        </w:tc>
        <w:tc>
          <w:tcPr>
            <w:tcW w:w="714" w:type="dxa"/>
            <w:vAlign w:val="center"/>
          </w:tcPr>
          <w:p>
            <w:pPr>
              <w:jc w:val="center"/>
              <w:rPr>
                <w:color w:val="000000"/>
                <w:szCs w:val="21"/>
              </w:rPr>
            </w:pPr>
            <w:r>
              <w:rPr>
                <w:color w:val="000000"/>
                <w:szCs w:val="21"/>
              </w:rPr>
              <w:t>虎形山瑶族乡</w:t>
            </w:r>
          </w:p>
        </w:tc>
        <w:tc>
          <w:tcPr>
            <w:tcW w:w="542" w:type="dxa"/>
            <w:vAlign w:val="center"/>
          </w:tcPr>
          <w:p>
            <w:pPr>
              <w:jc w:val="center"/>
              <w:rPr>
                <w:color w:val="000000"/>
                <w:szCs w:val="21"/>
              </w:rPr>
            </w:pPr>
            <w:r>
              <w:rPr>
                <w:color w:val="000000"/>
                <w:szCs w:val="21"/>
              </w:rPr>
              <w:t>湖南省</w:t>
            </w:r>
          </w:p>
        </w:tc>
        <w:tc>
          <w:tcPr>
            <w:tcW w:w="542" w:type="dxa"/>
            <w:vAlign w:val="center"/>
          </w:tcPr>
          <w:p>
            <w:pPr>
              <w:jc w:val="center"/>
              <w:rPr>
                <w:color w:val="000000"/>
                <w:szCs w:val="21"/>
              </w:rPr>
            </w:pPr>
            <w:r>
              <w:rPr>
                <w:color w:val="000000"/>
                <w:szCs w:val="21"/>
              </w:rPr>
              <w:t>邵阳市</w:t>
            </w:r>
          </w:p>
        </w:tc>
        <w:tc>
          <w:tcPr>
            <w:tcW w:w="542" w:type="dxa"/>
            <w:vAlign w:val="center"/>
          </w:tcPr>
          <w:p>
            <w:pPr>
              <w:jc w:val="center"/>
              <w:rPr>
                <w:color w:val="000000"/>
                <w:szCs w:val="21"/>
              </w:rPr>
            </w:pPr>
            <w:r>
              <w:rPr>
                <w:color w:val="000000"/>
                <w:szCs w:val="21"/>
              </w:rPr>
              <w:t>隆回县</w:t>
            </w:r>
          </w:p>
        </w:tc>
        <w:tc>
          <w:tcPr>
            <w:tcW w:w="714" w:type="dxa"/>
            <w:vAlign w:val="center"/>
          </w:tcPr>
          <w:p>
            <w:pPr>
              <w:jc w:val="center"/>
              <w:rPr>
                <w:color w:val="000000"/>
                <w:szCs w:val="21"/>
              </w:rPr>
            </w:pPr>
            <w:r>
              <w:rPr>
                <w:color w:val="000000"/>
                <w:szCs w:val="21"/>
              </w:rPr>
              <w:t>优先保护单元</w:t>
            </w:r>
          </w:p>
        </w:tc>
        <w:tc>
          <w:tcPr>
            <w:tcW w:w="1385" w:type="dxa"/>
            <w:vAlign w:val="center"/>
          </w:tcPr>
          <w:p>
            <w:pPr>
              <w:jc w:val="center"/>
              <w:rPr>
                <w:color w:val="000000"/>
                <w:szCs w:val="21"/>
              </w:rPr>
            </w:pPr>
            <w:r>
              <w:rPr>
                <w:color w:val="000000"/>
                <w:szCs w:val="21"/>
              </w:rPr>
              <w:t>96.00</w:t>
            </w:r>
          </w:p>
        </w:tc>
        <w:tc>
          <w:tcPr>
            <w:tcW w:w="804" w:type="dxa"/>
            <w:vAlign w:val="center"/>
          </w:tcPr>
          <w:p>
            <w:pPr>
              <w:jc w:val="center"/>
              <w:rPr>
                <w:color w:val="000000"/>
                <w:szCs w:val="21"/>
              </w:rPr>
            </w:pPr>
            <w:r>
              <w:rPr>
                <w:color w:val="000000"/>
                <w:szCs w:val="21"/>
              </w:rPr>
              <w:t>虎形山瑶族乡</w:t>
            </w:r>
          </w:p>
        </w:tc>
        <w:tc>
          <w:tcPr>
            <w:tcW w:w="1001" w:type="dxa"/>
            <w:vAlign w:val="center"/>
          </w:tcPr>
          <w:p>
            <w:pPr>
              <w:jc w:val="center"/>
              <w:rPr>
                <w:strike/>
                <w:color w:val="000000"/>
                <w:szCs w:val="21"/>
              </w:rPr>
            </w:pPr>
            <w:r>
              <w:rPr>
                <w:szCs w:val="21"/>
              </w:rPr>
              <w:t>农产品主产区</w:t>
            </w:r>
          </w:p>
        </w:tc>
        <w:tc>
          <w:tcPr>
            <w:tcW w:w="1751" w:type="dxa"/>
            <w:vAlign w:val="center"/>
          </w:tcPr>
          <w:p>
            <w:pPr>
              <w:rPr>
                <w:bCs/>
                <w:strike/>
                <w:color w:val="000000"/>
                <w:szCs w:val="21"/>
              </w:rPr>
            </w:pPr>
            <w:r>
              <w:rPr>
                <w:color w:val="000000"/>
                <w:kern w:val="0"/>
                <w:szCs w:val="21"/>
              </w:rPr>
              <w:t>农业种植、</w:t>
            </w:r>
            <w:r>
              <w:rPr>
                <w:bCs/>
                <w:color w:val="000000"/>
                <w:szCs w:val="21"/>
              </w:rPr>
              <w:t>旅游、中药材种植和加工、食品加工、农副产品加工、</w:t>
            </w:r>
            <w:r>
              <w:rPr>
                <w:bCs/>
                <w:szCs w:val="21"/>
              </w:rPr>
              <w:t>水电</w:t>
            </w:r>
          </w:p>
        </w:tc>
        <w:tc>
          <w:tcPr>
            <w:tcW w:w="4460" w:type="dxa"/>
            <w:gridSpan w:val="2"/>
          </w:tcPr>
          <w:p>
            <w:r>
              <w:rPr>
                <w:b/>
                <w:color w:val="000000"/>
                <w:kern w:val="0"/>
                <w:szCs w:val="21"/>
              </w:rPr>
              <w:t>主要环境问题：</w:t>
            </w:r>
          </w:p>
          <w:p>
            <w:pPr>
              <w:numPr>
                <w:ilvl w:val="0"/>
                <w:numId w:val="20"/>
              </w:numPr>
            </w:pPr>
            <w:r>
              <w:t>乡镇生活污水处理厂管网待进一步完善；</w:t>
            </w:r>
          </w:p>
          <w:p>
            <w:pPr>
              <w:numPr>
                <w:ilvl w:val="0"/>
                <w:numId w:val="20"/>
              </w:numPr>
            </w:pPr>
            <w:r>
              <w:t>农村生活污水需进一步加强治理；</w:t>
            </w:r>
          </w:p>
          <w:p>
            <w:pPr>
              <w:numPr>
                <w:ilvl w:val="0"/>
                <w:numId w:val="20"/>
              </w:numPr>
            </w:pPr>
            <w:r>
              <w:t>农村秸秆焚烧多发；</w:t>
            </w:r>
          </w:p>
          <w:p>
            <w:pPr>
              <w:numPr>
                <w:ilvl w:val="0"/>
                <w:numId w:val="20"/>
              </w:numPr>
            </w:pPr>
            <w:r>
              <w:t>道路扬尘需进一步加强治理</w:t>
            </w:r>
          </w:p>
          <w:p>
            <w:pPr>
              <w:rPr>
                <w:b/>
                <w:color w:val="000000"/>
                <w:kern w:val="0"/>
                <w:szCs w:val="21"/>
              </w:rPr>
            </w:pPr>
            <w:r>
              <w:rPr>
                <w:b/>
                <w:color w:val="000000"/>
                <w:kern w:val="0"/>
                <w:szCs w:val="21"/>
              </w:rPr>
              <w:t>重要敏感目标：</w:t>
            </w:r>
          </w:p>
          <w:p>
            <w:pPr>
              <w:rPr>
                <w:b/>
                <w:color w:val="000000"/>
                <w:kern w:val="0"/>
                <w:szCs w:val="21"/>
              </w:rPr>
            </w:pPr>
            <w:r>
              <w:t>虎形山花瑶国家级风景名胜区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center"/>
          </w:tcPr>
          <w:p>
            <w:pPr>
              <w:widowControl/>
              <w:spacing w:line="400" w:lineRule="exact"/>
              <w:jc w:val="center"/>
              <w:rPr>
                <w:b/>
                <w:color w:val="000000"/>
                <w:kern w:val="0"/>
                <w:szCs w:val="21"/>
              </w:rPr>
            </w:pPr>
            <w:r>
              <w:rPr>
                <w:b/>
                <w:color w:val="000000"/>
                <w:kern w:val="0"/>
                <w:szCs w:val="21"/>
              </w:rPr>
              <w:t>主要属性</w:t>
            </w:r>
          </w:p>
        </w:tc>
        <w:tc>
          <w:tcPr>
            <w:tcW w:w="12455" w:type="dxa"/>
            <w:gridSpan w:val="11"/>
            <w:vAlign w:val="center"/>
          </w:tcPr>
          <w:p>
            <w:pPr>
              <w:numPr>
                <w:ilvl w:val="0"/>
                <w:numId w:val="19"/>
              </w:numPr>
              <w:spacing w:line="400" w:lineRule="exact"/>
              <w:jc w:val="left"/>
              <w:rPr>
                <w:szCs w:val="21"/>
              </w:rPr>
            </w:pPr>
            <w:r>
              <w:rPr>
                <w:color w:val="000000"/>
                <w:szCs w:val="21"/>
              </w:rPr>
              <w:t>红线/一般生态空间/风景名胜区/水源涵养重要区/三区三线生态红线/生物多样性保护功能重要区/原生态红线/水土流失敏感区</w:t>
            </w:r>
          </w:p>
          <w:p>
            <w:pPr>
              <w:numPr>
                <w:ilvl w:val="0"/>
                <w:numId w:val="19"/>
              </w:numPr>
              <w:spacing w:line="400" w:lineRule="exact"/>
              <w:rPr>
                <w:color w:val="000000"/>
                <w:szCs w:val="21"/>
              </w:rPr>
            </w:pPr>
            <w:r>
              <w:rPr>
                <w:color w:val="000000"/>
                <w:szCs w:val="21"/>
              </w:rPr>
              <w:t>水环境一般管控区；</w:t>
            </w:r>
          </w:p>
          <w:p>
            <w:pPr>
              <w:numPr>
                <w:ilvl w:val="0"/>
                <w:numId w:val="19"/>
              </w:numPr>
              <w:spacing w:line="400" w:lineRule="exact"/>
              <w:rPr>
                <w:color w:val="000000"/>
                <w:szCs w:val="21"/>
              </w:rPr>
            </w:pPr>
            <w:r>
              <w:rPr>
                <w:color w:val="000000"/>
                <w:szCs w:val="21"/>
              </w:rPr>
              <w:t>大气环境优先保护区/大气环境受体敏感重点管控区/其他区域；</w:t>
            </w:r>
          </w:p>
          <w:p>
            <w:pPr>
              <w:numPr>
                <w:ilvl w:val="0"/>
                <w:numId w:val="19"/>
              </w:numPr>
              <w:spacing w:line="400" w:lineRule="exact"/>
              <w:rPr>
                <w:color w:val="000000"/>
                <w:szCs w:val="21"/>
              </w:rPr>
            </w:pPr>
            <w:r>
              <w:rPr>
                <w:color w:val="000000"/>
                <w:szCs w:val="21"/>
              </w:rPr>
              <w:t>农用地优先保护区/一般管控区；</w:t>
            </w:r>
          </w:p>
          <w:p>
            <w:pPr>
              <w:numPr>
                <w:ilvl w:val="0"/>
                <w:numId w:val="19"/>
              </w:numPr>
              <w:spacing w:line="400" w:lineRule="exact"/>
              <w:rPr>
                <w:color w:val="000000"/>
                <w:szCs w:val="21"/>
              </w:rPr>
            </w:pPr>
            <w:r>
              <w:rPr>
                <w:color w:val="000000"/>
                <w:szCs w:val="21"/>
              </w:rPr>
              <w:t>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center"/>
          </w:tcPr>
          <w:p>
            <w:pPr>
              <w:widowControl/>
              <w:spacing w:line="400" w:lineRule="exact"/>
              <w:jc w:val="center"/>
              <w:rPr>
                <w:b/>
                <w:color w:val="000000"/>
                <w:szCs w:val="21"/>
              </w:rPr>
            </w:pPr>
            <w:r>
              <w:rPr>
                <w:b/>
                <w:color w:val="000000"/>
                <w:szCs w:val="21"/>
              </w:rPr>
              <w:t>管控维度</w:t>
            </w:r>
          </w:p>
        </w:tc>
        <w:tc>
          <w:tcPr>
            <w:tcW w:w="8969" w:type="dxa"/>
            <w:gridSpan w:val="10"/>
            <w:vAlign w:val="center"/>
          </w:tcPr>
          <w:p>
            <w:pPr>
              <w:spacing w:line="400" w:lineRule="exact"/>
              <w:jc w:val="center"/>
              <w:rPr>
                <w:b/>
                <w:color w:val="000000"/>
                <w:szCs w:val="21"/>
              </w:rPr>
            </w:pPr>
            <w:r>
              <w:rPr>
                <w:b/>
                <w:color w:val="000000"/>
                <w:kern w:val="0"/>
                <w:szCs w:val="21"/>
              </w:rPr>
              <w:t>管控要求</w:t>
            </w:r>
          </w:p>
        </w:tc>
        <w:tc>
          <w:tcPr>
            <w:tcW w:w="3486" w:type="dxa"/>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center"/>
          </w:tcPr>
          <w:p>
            <w:pPr>
              <w:widowControl/>
              <w:spacing w:line="400" w:lineRule="exact"/>
              <w:jc w:val="center"/>
              <w:rPr>
                <w:color w:val="000000"/>
                <w:szCs w:val="21"/>
              </w:rPr>
            </w:pPr>
            <w:r>
              <w:rPr>
                <w:color w:val="000000"/>
                <w:szCs w:val="21"/>
              </w:rPr>
              <w:t>空间布局约束</w:t>
            </w:r>
          </w:p>
        </w:tc>
        <w:tc>
          <w:tcPr>
            <w:tcW w:w="8969" w:type="dxa"/>
            <w:gridSpan w:val="10"/>
            <w:vAlign w:val="center"/>
          </w:tcPr>
          <w:p>
            <w:pPr>
              <w:tabs>
                <w:tab w:val="left" w:pos="1021"/>
              </w:tabs>
              <w:spacing w:line="40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40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400" w:lineRule="exact"/>
              <w:rPr>
                <w:szCs w:val="21"/>
              </w:rPr>
            </w:pPr>
            <w:r>
              <w:rPr>
                <w:szCs w:val="21"/>
              </w:rPr>
              <w:t>（1.3）严禁在饮用水源保护区、自然保护地等环境敏感区、重要生态功能保护区内开发利用矿产资源。</w:t>
            </w:r>
          </w:p>
          <w:p>
            <w:pPr>
              <w:tabs>
                <w:tab w:val="left" w:pos="1021"/>
              </w:tabs>
              <w:spacing w:line="400" w:lineRule="exact"/>
              <w:rPr>
                <w:szCs w:val="21"/>
              </w:rPr>
            </w:pPr>
            <w:r>
              <w:rPr>
                <w:szCs w:val="21"/>
              </w:rPr>
              <w:t>（1.4）在城市紫线范围</w:t>
            </w:r>
            <w:r>
              <w:rPr>
                <w:rFonts w:hint="eastAsia"/>
                <w:szCs w:val="21"/>
              </w:rPr>
              <w:t>（包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40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40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tc>
        <w:tc>
          <w:tcPr>
            <w:tcW w:w="3486" w:type="dxa"/>
            <w:vMerge w:val="restart"/>
          </w:tcPr>
          <w:p>
            <w:pPr>
              <w:widowControl/>
              <w:tabs>
                <w:tab w:val="left" w:pos="1021"/>
              </w:tabs>
              <w:spacing w:line="400" w:lineRule="exact"/>
              <w:rPr>
                <w:color w:val="000000"/>
                <w:szCs w:val="21"/>
              </w:rPr>
            </w:pPr>
            <w:r>
              <w:rPr>
                <w:rStyle w:val="12"/>
                <w:b w:val="0"/>
                <w:color w:val="000000"/>
              </w:rPr>
              <w:t>（1.1</w:t>
            </w:r>
            <w:r>
              <w:rPr>
                <w:szCs w:val="21"/>
              </w:rPr>
              <w:t>）（1.2）（1.3）（1.4）（1.5）</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400" w:lineRule="exact"/>
              <w:rPr>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center"/>
          </w:tcPr>
          <w:p>
            <w:pPr>
              <w:widowControl/>
              <w:spacing w:line="400" w:lineRule="exact"/>
              <w:jc w:val="center"/>
              <w:rPr>
                <w:color w:val="000000"/>
                <w:szCs w:val="21"/>
              </w:rPr>
            </w:pPr>
            <w:r>
              <w:rPr>
                <w:color w:val="000000"/>
                <w:szCs w:val="21"/>
              </w:rPr>
              <w:t>污染物排放管控</w:t>
            </w:r>
          </w:p>
        </w:tc>
        <w:tc>
          <w:tcPr>
            <w:tcW w:w="8969" w:type="dxa"/>
            <w:gridSpan w:val="10"/>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400" w:lineRule="exact"/>
              <w:ind w:firstLine="420" w:firstLineChars="200"/>
              <w:rPr>
                <w:color w:val="000000"/>
                <w:szCs w:val="21"/>
              </w:rPr>
            </w:pPr>
            <w:r>
              <w:rPr>
                <w:bCs/>
                <w:szCs w:val="30"/>
              </w:rPr>
              <w:t>（2.1.2）全面实施《隆回县隆回县县域农村生活污水处理专项规划》，加快推进乡镇污水处理厂建设，实现污水处理设施乡镇全覆盖。</w:t>
            </w:r>
          </w:p>
          <w:p>
            <w:pPr>
              <w:tabs>
                <w:tab w:val="left" w:pos="1021"/>
              </w:tabs>
              <w:spacing w:line="40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40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400" w:lineRule="exact"/>
              <w:ind w:firstLine="420" w:firstLineChars="200"/>
              <w:rPr>
                <w:bCs/>
                <w:szCs w:val="30"/>
              </w:rPr>
            </w:pPr>
            <w:r>
              <w:rPr>
                <w:bCs/>
                <w:szCs w:val="30"/>
              </w:rPr>
              <w:t>（2.2.3）推进PM2.5与臭氧协同治理，强化重点行业NOx深度治理，控制挥发性有机物排放，加强扬尘污染治理，兼顾移动源污染治理，积极</w:t>
            </w:r>
          </w:p>
          <w:p>
            <w:pPr>
              <w:tabs>
                <w:tab w:val="left" w:pos="1021"/>
              </w:tabs>
              <w:spacing w:line="400" w:lineRule="exact"/>
              <w:rPr>
                <w:bCs/>
                <w:szCs w:val="30"/>
              </w:rPr>
            </w:pPr>
            <w:r>
              <w:rPr>
                <w:bCs/>
                <w:szCs w:val="30"/>
              </w:rPr>
              <w:t>应对重污染天气。</w:t>
            </w:r>
          </w:p>
          <w:p>
            <w:pPr>
              <w:tabs>
                <w:tab w:val="left" w:pos="1021"/>
              </w:tabs>
              <w:spacing w:line="400" w:lineRule="exact"/>
              <w:ind w:firstLine="420" w:firstLineChars="200"/>
              <w:rPr>
                <w:bCs/>
                <w:szCs w:val="30"/>
              </w:rPr>
            </w:pPr>
            <w:r>
              <w:rPr>
                <w:bCs/>
                <w:szCs w:val="30"/>
              </w:rPr>
              <w:t>（2.2.4）到2025年，县城空气质量指数达到优良天数占比90%以上。</w:t>
            </w:r>
          </w:p>
          <w:p>
            <w:pPr>
              <w:tabs>
                <w:tab w:val="left" w:pos="1021"/>
              </w:tabs>
              <w:spacing w:line="40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3486"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719" w:type="dxa"/>
            <w:vAlign w:val="center"/>
          </w:tcPr>
          <w:p>
            <w:pPr>
              <w:widowControl/>
              <w:spacing w:line="400" w:lineRule="exact"/>
              <w:jc w:val="center"/>
              <w:rPr>
                <w:color w:val="000000"/>
                <w:szCs w:val="21"/>
              </w:rPr>
            </w:pPr>
            <w:r>
              <w:rPr>
                <w:color w:val="000000"/>
                <w:szCs w:val="21"/>
              </w:rPr>
              <w:t>环境风险防控</w:t>
            </w:r>
          </w:p>
        </w:tc>
        <w:tc>
          <w:tcPr>
            <w:tcW w:w="8969" w:type="dxa"/>
            <w:gridSpan w:val="10"/>
            <w:vAlign w:val="center"/>
          </w:tcPr>
          <w:p>
            <w:pPr>
              <w:tabs>
                <w:tab w:val="left" w:pos="1021"/>
              </w:tabs>
              <w:spacing w:line="400" w:lineRule="exact"/>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tabs>
                <w:tab w:val="left" w:pos="1021"/>
              </w:tabs>
              <w:spacing w:line="400" w:lineRule="exact"/>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tabs>
                <w:tab w:val="left" w:pos="1021"/>
              </w:tabs>
              <w:spacing w:line="400" w:lineRule="exact"/>
              <w:rPr>
                <w:color w:val="000000"/>
                <w:szCs w:val="21"/>
              </w:rPr>
            </w:pPr>
            <w:r>
              <w:rPr>
                <w:color w:val="000000"/>
                <w:szCs w:val="21"/>
              </w:rPr>
              <w:t>（3.3）</w:t>
            </w:r>
            <w:r>
              <w:rPr>
                <w:bCs/>
                <w:szCs w:val="30"/>
              </w:rPr>
              <w:t>加强重点城镇饮用水源地一级保护区隔离工程、饮用水源地环境监管能力建设。</w:t>
            </w:r>
          </w:p>
          <w:p>
            <w:pPr>
              <w:tabs>
                <w:tab w:val="left" w:pos="1021"/>
              </w:tabs>
              <w:spacing w:line="400" w:lineRule="exact"/>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tc>
        <w:tc>
          <w:tcPr>
            <w:tcW w:w="3486"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center"/>
          </w:tcPr>
          <w:p>
            <w:pPr>
              <w:widowControl/>
              <w:spacing w:line="400" w:lineRule="exact"/>
              <w:jc w:val="center"/>
              <w:rPr>
                <w:color w:val="000000"/>
                <w:szCs w:val="21"/>
              </w:rPr>
            </w:pPr>
            <w:r>
              <w:rPr>
                <w:color w:val="000000"/>
                <w:szCs w:val="21"/>
              </w:rPr>
              <w:t>资源开发效率要求</w:t>
            </w:r>
          </w:p>
        </w:tc>
        <w:tc>
          <w:tcPr>
            <w:tcW w:w="8969" w:type="dxa"/>
            <w:gridSpan w:val="10"/>
          </w:tcPr>
          <w:p>
            <w:pPr>
              <w:tabs>
                <w:tab w:val="left" w:pos="1021"/>
              </w:tabs>
              <w:spacing w:line="400" w:lineRule="exact"/>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tabs>
                <w:tab w:val="left" w:pos="1021"/>
              </w:tabs>
              <w:spacing w:line="400" w:lineRule="exact"/>
              <w:rPr>
                <w:bCs/>
                <w:color w:val="000000"/>
                <w:szCs w:val="21"/>
              </w:rPr>
            </w:pPr>
            <w:r>
              <w:rPr>
                <w:bCs/>
                <w:color w:val="000000"/>
                <w:szCs w:val="21"/>
              </w:rPr>
              <w:t>（4.2）水资源：</w:t>
            </w:r>
          </w:p>
          <w:p>
            <w:pPr>
              <w:tabs>
                <w:tab w:val="left" w:pos="1021"/>
              </w:tabs>
              <w:spacing w:line="400" w:lineRule="exact"/>
              <w:ind w:firstLine="420" w:firstLineChars="200"/>
              <w:rPr>
                <w:bCs/>
                <w:color w:val="000000"/>
                <w:szCs w:val="21"/>
              </w:rPr>
            </w:pPr>
            <w:r>
              <w:rPr>
                <w:bCs/>
                <w:color w:val="000000"/>
                <w:szCs w:val="21"/>
              </w:rPr>
              <w:t>（4.2.1）加强水资源、集约高效利用，执行最严格的水资源保护管理制度。</w:t>
            </w:r>
          </w:p>
          <w:p>
            <w:pPr>
              <w:tabs>
                <w:tab w:val="left" w:pos="1021"/>
              </w:tabs>
              <w:spacing w:line="400" w:lineRule="exact"/>
              <w:ind w:firstLine="420" w:firstLineChars="200"/>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tabs>
                <w:tab w:val="left" w:pos="1021"/>
              </w:tabs>
              <w:spacing w:line="400" w:lineRule="exact"/>
              <w:rPr>
                <w:bCs/>
                <w:color w:val="000000"/>
                <w:szCs w:val="21"/>
              </w:rPr>
            </w:pPr>
            <w:r>
              <w:rPr>
                <w:bCs/>
                <w:color w:val="000000"/>
                <w:szCs w:val="21"/>
              </w:rPr>
              <w:t>（4.3）土地资源：</w:t>
            </w:r>
          </w:p>
          <w:p>
            <w:pPr>
              <w:tabs>
                <w:tab w:val="left" w:pos="1021"/>
              </w:tabs>
              <w:spacing w:line="400" w:lineRule="exact"/>
              <w:ind w:firstLine="420" w:firstLineChars="200"/>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tabs>
                <w:tab w:val="left" w:pos="1021"/>
              </w:tabs>
              <w:spacing w:line="400" w:lineRule="exact"/>
              <w:ind w:firstLine="420" w:firstLineChars="200"/>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tabs>
                <w:tab w:val="left" w:pos="1021"/>
              </w:tabs>
              <w:spacing w:line="400" w:lineRule="exact"/>
              <w:ind w:firstLine="420" w:firstLineChars="200"/>
              <w:rPr>
                <w:bCs/>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3486" w:type="dxa"/>
            <w:vMerge w:val="continue"/>
            <w:vAlign w:val="center"/>
          </w:tcPr>
          <w:p>
            <w:pPr>
              <w:spacing w:line="400" w:lineRule="exact"/>
            </w:pPr>
          </w:p>
        </w:tc>
      </w:tr>
    </w:tbl>
    <w:p>
      <w:pPr>
        <w:widowControl/>
        <w:jc w:val="center"/>
        <w:rPr>
          <w:b/>
          <w:color w:val="000000"/>
          <w:kern w:val="0"/>
          <w:szCs w:val="21"/>
        </w:rPr>
      </w:pPr>
      <w:r>
        <w:rPr>
          <w:b/>
          <w:color w:val="000000"/>
          <w:kern w:val="0"/>
          <w:szCs w:val="21"/>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327"/>
        <w:gridCol w:w="543"/>
        <w:gridCol w:w="543"/>
        <w:gridCol w:w="543"/>
        <w:gridCol w:w="713"/>
        <w:gridCol w:w="1129"/>
        <w:gridCol w:w="1038"/>
        <w:gridCol w:w="1337"/>
        <w:gridCol w:w="1861"/>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widowControl/>
              <w:jc w:val="center"/>
              <w:rPr>
                <w:b/>
                <w:color w:val="000000"/>
                <w:kern w:val="0"/>
                <w:szCs w:val="21"/>
              </w:rPr>
            </w:pPr>
            <w:r>
              <w:rPr>
                <w:b/>
                <w:color w:val="000000"/>
                <w:kern w:val="0"/>
                <w:szCs w:val="21"/>
              </w:rPr>
              <w:t>环境管控单元编码</w:t>
            </w:r>
          </w:p>
        </w:tc>
        <w:tc>
          <w:tcPr>
            <w:tcW w:w="1327" w:type="dxa"/>
            <w:vMerge w:val="restart"/>
            <w:vAlign w:val="center"/>
          </w:tcPr>
          <w:p>
            <w:pPr>
              <w:widowControl/>
              <w:jc w:val="center"/>
              <w:rPr>
                <w:b/>
                <w:color w:val="000000"/>
                <w:kern w:val="0"/>
                <w:szCs w:val="21"/>
              </w:rPr>
            </w:pPr>
            <w:r>
              <w:rPr>
                <w:b/>
                <w:color w:val="000000"/>
                <w:kern w:val="0"/>
                <w:szCs w:val="21"/>
              </w:rPr>
              <w:t>单元名称</w:t>
            </w:r>
          </w:p>
        </w:tc>
        <w:tc>
          <w:tcPr>
            <w:tcW w:w="1629" w:type="dxa"/>
            <w:gridSpan w:val="3"/>
            <w:vAlign w:val="center"/>
          </w:tcPr>
          <w:p>
            <w:pPr>
              <w:widowControl/>
              <w:jc w:val="center"/>
              <w:rPr>
                <w:b/>
                <w:color w:val="000000"/>
                <w:kern w:val="0"/>
                <w:szCs w:val="21"/>
              </w:rPr>
            </w:pPr>
            <w:r>
              <w:rPr>
                <w:b/>
                <w:color w:val="000000"/>
                <w:kern w:val="0"/>
                <w:szCs w:val="21"/>
              </w:rPr>
              <w:t>行政区划</w:t>
            </w:r>
          </w:p>
        </w:tc>
        <w:tc>
          <w:tcPr>
            <w:tcW w:w="713" w:type="dxa"/>
            <w:vMerge w:val="restart"/>
            <w:vAlign w:val="center"/>
          </w:tcPr>
          <w:p>
            <w:pPr>
              <w:widowControl/>
              <w:jc w:val="center"/>
              <w:rPr>
                <w:b/>
                <w:color w:val="000000"/>
                <w:kern w:val="0"/>
                <w:szCs w:val="21"/>
              </w:rPr>
            </w:pPr>
            <w:r>
              <w:rPr>
                <w:b/>
                <w:color w:val="000000"/>
                <w:kern w:val="0"/>
                <w:szCs w:val="21"/>
              </w:rPr>
              <w:t>单元分类</w:t>
            </w:r>
          </w:p>
        </w:tc>
        <w:tc>
          <w:tcPr>
            <w:tcW w:w="1129"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038" w:type="dxa"/>
            <w:vMerge w:val="restart"/>
            <w:vAlign w:val="center"/>
          </w:tcPr>
          <w:p>
            <w:pPr>
              <w:jc w:val="center"/>
              <w:rPr>
                <w:b/>
                <w:color w:val="000000"/>
                <w:kern w:val="0"/>
                <w:szCs w:val="21"/>
              </w:rPr>
            </w:pPr>
            <w:r>
              <w:rPr>
                <w:b/>
                <w:color w:val="000000"/>
                <w:kern w:val="0"/>
                <w:szCs w:val="21"/>
              </w:rPr>
              <w:t>涉及乡镇(街道)</w:t>
            </w:r>
          </w:p>
        </w:tc>
        <w:tc>
          <w:tcPr>
            <w:tcW w:w="1337" w:type="dxa"/>
            <w:vMerge w:val="restart"/>
            <w:vAlign w:val="center"/>
          </w:tcPr>
          <w:p>
            <w:pPr>
              <w:jc w:val="center"/>
              <w:rPr>
                <w:b/>
                <w:color w:val="000000"/>
                <w:kern w:val="0"/>
                <w:szCs w:val="21"/>
              </w:rPr>
            </w:pPr>
            <w:r>
              <w:rPr>
                <w:b/>
                <w:color w:val="000000"/>
                <w:kern w:val="0"/>
                <w:szCs w:val="21"/>
              </w:rPr>
              <w:t>主体功能定位①</w:t>
            </w:r>
          </w:p>
        </w:tc>
        <w:tc>
          <w:tcPr>
            <w:tcW w:w="1861" w:type="dxa"/>
            <w:vMerge w:val="restart"/>
            <w:vAlign w:val="center"/>
          </w:tcPr>
          <w:p>
            <w:pPr>
              <w:jc w:val="center"/>
              <w:rPr>
                <w:b/>
                <w:color w:val="000000"/>
                <w:kern w:val="0"/>
                <w:szCs w:val="21"/>
              </w:rPr>
            </w:pPr>
            <w:r>
              <w:rPr>
                <w:b/>
                <w:color w:val="000000"/>
                <w:kern w:val="0"/>
                <w:szCs w:val="21"/>
              </w:rPr>
              <w:t>经济产业布局</w:t>
            </w:r>
          </w:p>
        </w:tc>
        <w:tc>
          <w:tcPr>
            <w:tcW w:w="3422" w:type="dxa"/>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8" w:type="dxa"/>
            <w:vMerge w:val="continue"/>
            <w:vAlign w:val="center"/>
          </w:tcPr>
          <w:p/>
        </w:tc>
        <w:tc>
          <w:tcPr>
            <w:tcW w:w="1327" w:type="dxa"/>
            <w:vMerge w:val="continue"/>
            <w:vAlign w:val="center"/>
          </w:tcPr>
          <w:p/>
        </w:tc>
        <w:tc>
          <w:tcPr>
            <w:tcW w:w="543" w:type="dxa"/>
            <w:vAlign w:val="center"/>
          </w:tcPr>
          <w:p>
            <w:pPr>
              <w:jc w:val="center"/>
              <w:rPr>
                <w:b/>
                <w:color w:val="000000"/>
                <w:szCs w:val="21"/>
              </w:rPr>
            </w:pPr>
            <w:r>
              <w:rPr>
                <w:b/>
                <w:color w:val="000000"/>
                <w:szCs w:val="21"/>
              </w:rPr>
              <w:t>省</w:t>
            </w:r>
          </w:p>
        </w:tc>
        <w:tc>
          <w:tcPr>
            <w:tcW w:w="543" w:type="dxa"/>
            <w:vAlign w:val="center"/>
          </w:tcPr>
          <w:p>
            <w:pPr>
              <w:jc w:val="center"/>
              <w:rPr>
                <w:b/>
                <w:color w:val="000000"/>
                <w:szCs w:val="21"/>
              </w:rPr>
            </w:pPr>
            <w:r>
              <w:rPr>
                <w:b/>
                <w:color w:val="000000"/>
                <w:szCs w:val="21"/>
              </w:rPr>
              <w:t>市</w:t>
            </w:r>
          </w:p>
        </w:tc>
        <w:tc>
          <w:tcPr>
            <w:tcW w:w="543" w:type="dxa"/>
            <w:vAlign w:val="center"/>
          </w:tcPr>
          <w:p>
            <w:pPr>
              <w:jc w:val="center"/>
              <w:rPr>
                <w:b/>
                <w:color w:val="000000"/>
                <w:szCs w:val="21"/>
              </w:rPr>
            </w:pPr>
            <w:r>
              <w:rPr>
                <w:b/>
                <w:color w:val="000000"/>
                <w:szCs w:val="21"/>
              </w:rPr>
              <w:t>县</w:t>
            </w:r>
          </w:p>
        </w:tc>
        <w:tc>
          <w:tcPr>
            <w:tcW w:w="713" w:type="dxa"/>
            <w:vMerge w:val="continue"/>
            <w:vAlign w:val="center"/>
          </w:tcPr>
          <w:p/>
        </w:tc>
        <w:tc>
          <w:tcPr>
            <w:tcW w:w="1129" w:type="dxa"/>
            <w:vMerge w:val="continue"/>
            <w:vAlign w:val="center"/>
          </w:tcPr>
          <w:p/>
        </w:tc>
        <w:tc>
          <w:tcPr>
            <w:tcW w:w="1038" w:type="dxa"/>
            <w:vMerge w:val="continue"/>
            <w:vAlign w:val="center"/>
          </w:tcPr>
          <w:p/>
        </w:tc>
        <w:tc>
          <w:tcPr>
            <w:tcW w:w="1337" w:type="dxa"/>
            <w:vMerge w:val="continue"/>
            <w:vAlign w:val="center"/>
          </w:tcPr>
          <w:p/>
        </w:tc>
        <w:tc>
          <w:tcPr>
            <w:tcW w:w="1861" w:type="dxa"/>
            <w:vMerge w:val="continue"/>
            <w:vAlign w:val="center"/>
          </w:tcPr>
          <w:p/>
        </w:tc>
        <w:tc>
          <w:tcPr>
            <w:tcW w:w="34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spacing w:line="260" w:lineRule="exact"/>
              <w:jc w:val="center"/>
              <w:rPr>
                <w:color w:val="000000"/>
                <w:szCs w:val="21"/>
              </w:rPr>
            </w:pPr>
            <w:r>
              <w:rPr>
                <w:color w:val="000000"/>
                <w:szCs w:val="21"/>
              </w:rPr>
              <w:t>ZH43052410003</w:t>
            </w:r>
          </w:p>
        </w:tc>
        <w:tc>
          <w:tcPr>
            <w:tcW w:w="1327" w:type="dxa"/>
            <w:vAlign w:val="center"/>
          </w:tcPr>
          <w:p>
            <w:pPr>
              <w:spacing w:line="260" w:lineRule="exact"/>
              <w:jc w:val="center"/>
              <w:rPr>
                <w:color w:val="000000"/>
                <w:szCs w:val="21"/>
              </w:rPr>
            </w:pPr>
            <w:r>
              <w:rPr>
                <w:color w:val="000000"/>
                <w:szCs w:val="21"/>
              </w:rPr>
              <w:t>大水田乡/金石桥镇/麻塘山乡/司门前镇</w:t>
            </w:r>
          </w:p>
        </w:tc>
        <w:tc>
          <w:tcPr>
            <w:tcW w:w="543" w:type="dxa"/>
            <w:vAlign w:val="center"/>
          </w:tcPr>
          <w:p>
            <w:pPr>
              <w:spacing w:line="260" w:lineRule="exact"/>
              <w:jc w:val="center"/>
              <w:rPr>
                <w:color w:val="000000"/>
                <w:szCs w:val="21"/>
              </w:rPr>
            </w:pPr>
            <w:r>
              <w:rPr>
                <w:color w:val="000000"/>
                <w:szCs w:val="21"/>
              </w:rPr>
              <w:t>湖南省</w:t>
            </w:r>
          </w:p>
        </w:tc>
        <w:tc>
          <w:tcPr>
            <w:tcW w:w="543" w:type="dxa"/>
            <w:vAlign w:val="center"/>
          </w:tcPr>
          <w:p>
            <w:pPr>
              <w:spacing w:line="260" w:lineRule="exact"/>
              <w:jc w:val="center"/>
              <w:rPr>
                <w:color w:val="000000"/>
                <w:szCs w:val="21"/>
              </w:rPr>
            </w:pPr>
            <w:r>
              <w:rPr>
                <w:color w:val="000000"/>
                <w:szCs w:val="21"/>
              </w:rPr>
              <w:t>邵阳市</w:t>
            </w:r>
          </w:p>
        </w:tc>
        <w:tc>
          <w:tcPr>
            <w:tcW w:w="543" w:type="dxa"/>
            <w:vAlign w:val="center"/>
          </w:tcPr>
          <w:p>
            <w:pPr>
              <w:spacing w:line="260" w:lineRule="exact"/>
              <w:jc w:val="center"/>
              <w:rPr>
                <w:color w:val="000000"/>
                <w:szCs w:val="21"/>
              </w:rPr>
            </w:pPr>
            <w:r>
              <w:rPr>
                <w:color w:val="000000"/>
                <w:szCs w:val="21"/>
              </w:rPr>
              <w:t>隆回县</w:t>
            </w:r>
          </w:p>
        </w:tc>
        <w:tc>
          <w:tcPr>
            <w:tcW w:w="713" w:type="dxa"/>
            <w:vAlign w:val="center"/>
          </w:tcPr>
          <w:p>
            <w:pPr>
              <w:spacing w:line="260" w:lineRule="exact"/>
              <w:jc w:val="center"/>
              <w:rPr>
                <w:color w:val="000000"/>
                <w:szCs w:val="21"/>
              </w:rPr>
            </w:pPr>
            <w:r>
              <w:rPr>
                <w:color w:val="000000"/>
                <w:szCs w:val="21"/>
              </w:rPr>
              <w:t>优先保护单元</w:t>
            </w:r>
          </w:p>
        </w:tc>
        <w:tc>
          <w:tcPr>
            <w:tcW w:w="1129" w:type="dxa"/>
            <w:vAlign w:val="center"/>
          </w:tcPr>
          <w:p>
            <w:pPr>
              <w:spacing w:line="260" w:lineRule="exact"/>
              <w:jc w:val="center"/>
              <w:rPr>
                <w:color w:val="000000"/>
                <w:szCs w:val="21"/>
              </w:rPr>
            </w:pPr>
            <w:r>
              <w:rPr>
                <w:color w:val="000000"/>
                <w:szCs w:val="21"/>
              </w:rPr>
              <w:t>528.53</w:t>
            </w:r>
          </w:p>
        </w:tc>
        <w:tc>
          <w:tcPr>
            <w:tcW w:w="1038" w:type="dxa"/>
            <w:vAlign w:val="center"/>
          </w:tcPr>
          <w:p>
            <w:pPr>
              <w:spacing w:line="260" w:lineRule="exact"/>
              <w:jc w:val="center"/>
              <w:rPr>
                <w:color w:val="000000"/>
                <w:szCs w:val="21"/>
              </w:rPr>
            </w:pPr>
            <w:r>
              <w:rPr>
                <w:color w:val="000000"/>
                <w:szCs w:val="21"/>
              </w:rPr>
              <w:t>大水田乡/金石桥镇/麻塘山乡/司门前镇</w:t>
            </w:r>
          </w:p>
        </w:tc>
        <w:tc>
          <w:tcPr>
            <w:tcW w:w="1337" w:type="dxa"/>
            <w:vAlign w:val="center"/>
          </w:tcPr>
          <w:p>
            <w:pPr>
              <w:spacing w:line="260" w:lineRule="exact"/>
              <w:jc w:val="left"/>
              <w:rPr>
                <w:szCs w:val="21"/>
              </w:rPr>
            </w:pPr>
            <w:r>
              <w:rPr>
                <w:b/>
                <w:bCs/>
                <w:color w:val="000000"/>
                <w:szCs w:val="21"/>
              </w:rPr>
              <w:t>大水田乡/司门前镇：</w:t>
            </w:r>
            <w:r>
              <w:rPr>
                <w:color w:val="000000"/>
                <w:szCs w:val="21"/>
              </w:rPr>
              <w:t>重点生态功能区、</w:t>
            </w:r>
            <w:r>
              <w:rPr>
                <w:szCs w:val="21"/>
              </w:rPr>
              <w:t>历史文化资源富集区</w:t>
            </w:r>
          </w:p>
          <w:p>
            <w:pPr>
              <w:spacing w:line="260" w:lineRule="exact"/>
              <w:jc w:val="left"/>
              <w:rPr>
                <w:color w:val="000000"/>
                <w:szCs w:val="21"/>
              </w:rPr>
            </w:pPr>
            <w:r>
              <w:rPr>
                <w:b/>
                <w:bCs/>
                <w:szCs w:val="21"/>
              </w:rPr>
              <w:t>麻塘山乡：</w:t>
            </w:r>
            <w:r>
              <w:rPr>
                <w:szCs w:val="21"/>
              </w:rPr>
              <w:t>农</w:t>
            </w:r>
            <w:r>
              <w:rPr>
                <w:color w:val="000000"/>
                <w:szCs w:val="21"/>
              </w:rPr>
              <w:t>产品主产区、金石桥镇：城市化地区</w:t>
            </w:r>
          </w:p>
          <w:p>
            <w:pPr>
              <w:spacing w:line="260" w:lineRule="exact"/>
              <w:jc w:val="center"/>
              <w:rPr>
                <w:color w:val="000000"/>
                <w:szCs w:val="21"/>
              </w:rPr>
            </w:pPr>
          </w:p>
        </w:tc>
        <w:tc>
          <w:tcPr>
            <w:tcW w:w="1861" w:type="dxa"/>
          </w:tcPr>
          <w:p>
            <w:pPr>
              <w:widowControl/>
              <w:spacing w:line="260" w:lineRule="exact"/>
              <w:rPr>
                <w:rStyle w:val="12"/>
                <w:b w:val="0"/>
                <w:color w:val="000000"/>
              </w:rPr>
            </w:pPr>
            <w:r>
              <w:rPr>
                <w:b/>
                <w:bCs/>
                <w:color w:val="000000"/>
                <w:szCs w:val="21"/>
              </w:rPr>
              <w:t>大水田乡：</w:t>
            </w:r>
            <w:r>
              <w:rPr>
                <w:color w:val="000000"/>
                <w:kern w:val="0"/>
                <w:szCs w:val="21"/>
              </w:rPr>
              <w:t>农业种植、生态农业、畜禽养殖、农副产品加工、</w:t>
            </w:r>
            <w:r>
              <w:rPr>
                <w:rStyle w:val="12"/>
                <w:b w:val="0"/>
                <w:color w:val="000000"/>
              </w:rPr>
              <w:t>旅游、竹</w:t>
            </w:r>
            <w:r>
              <w:rPr>
                <w:rStyle w:val="12"/>
                <w:b w:val="0"/>
              </w:rPr>
              <w:t>木、中药材种植加工、水电</w:t>
            </w:r>
            <w:r>
              <w:rPr>
                <w:bCs/>
              </w:rPr>
              <w:t>、风电</w:t>
            </w:r>
          </w:p>
          <w:p>
            <w:pPr>
              <w:widowControl/>
              <w:spacing w:line="260" w:lineRule="exact"/>
              <w:rPr>
                <w:rStyle w:val="12"/>
                <w:b w:val="0"/>
                <w:color w:val="000000"/>
              </w:rPr>
            </w:pPr>
            <w:r>
              <w:rPr>
                <w:rStyle w:val="12"/>
                <w:bCs w:val="0"/>
                <w:color w:val="000000"/>
              </w:rPr>
              <w:t>金石桥镇</w:t>
            </w:r>
            <w:r>
              <w:rPr>
                <w:rStyle w:val="12"/>
                <w:b w:val="0"/>
                <w:color w:val="000000"/>
              </w:rPr>
              <w:t>：</w:t>
            </w:r>
            <w:r>
              <w:rPr>
                <w:color w:val="000000"/>
                <w:kern w:val="0"/>
                <w:szCs w:val="21"/>
              </w:rPr>
              <w:t>县域副中心、农业种植、生态农业、畜禽养殖、农副产品加工、</w:t>
            </w:r>
            <w:r>
              <w:rPr>
                <w:rStyle w:val="12"/>
                <w:b w:val="0"/>
                <w:color w:val="000000"/>
              </w:rPr>
              <w:t>旅游、竹木、建材、中药材种植加工、屠宰、风电、水电、制鞋、商贸物流</w:t>
            </w:r>
            <w:r>
              <w:rPr>
                <w:bCs/>
                <w:color w:val="000000"/>
              </w:rPr>
              <w:t>、有机肥制造</w:t>
            </w:r>
          </w:p>
          <w:p>
            <w:pPr>
              <w:widowControl/>
              <w:spacing w:line="260" w:lineRule="exact"/>
              <w:rPr>
                <w:rStyle w:val="12"/>
                <w:b w:val="0"/>
                <w:color w:val="000000"/>
              </w:rPr>
            </w:pPr>
            <w:r>
              <w:rPr>
                <w:b/>
                <w:bCs/>
                <w:color w:val="000000"/>
                <w:szCs w:val="21"/>
              </w:rPr>
              <w:t>麻塘山乡</w:t>
            </w:r>
            <w:r>
              <w:rPr>
                <w:color w:val="000000"/>
                <w:szCs w:val="21"/>
              </w:rPr>
              <w:t>：</w:t>
            </w:r>
            <w:r>
              <w:rPr>
                <w:color w:val="000000"/>
                <w:kern w:val="0"/>
                <w:szCs w:val="21"/>
              </w:rPr>
              <w:t>农业种植、生态农业、畜禽养殖、农副产品加工、</w:t>
            </w:r>
            <w:r>
              <w:rPr>
                <w:rStyle w:val="12"/>
                <w:b w:val="0"/>
                <w:color w:val="000000"/>
              </w:rPr>
              <w:t>旅游、竹木、中药材种植加工、</w:t>
            </w:r>
            <w:r>
              <w:rPr>
                <w:rStyle w:val="12"/>
                <w:b w:val="0"/>
              </w:rPr>
              <w:t>风电、</w:t>
            </w:r>
            <w:r>
              <w:rPr>
                <w:rStyle w:val="12"/>
                <w:b w:val="0"/>
                <w:color w:val="000000"/>
              </w:rPr>
              <w:t>水电</w:t>
            </w:r>
          </w:p>
          <w:p>
            <w:pPr>
              <w:widowControl/>
              <w:spacing w:line="260" w:lineRule="exact"/>
              <w:rPr>
                <w:rStyle w:val="12"/>
                <w:b w:val="0"/>
                <w:color w:val="000000"/>
              </w:rPr>
            </w:pPr>
            <w:r>
              <w:rPr>
                <w:b/>
                <w:bCs/>
                <w:color w:val="000000"/>
                <w:szCs w:val="21"/>
              </w:rPr>
              <w:t>司门前镇：</w:t>
            </w:r>
            <w:r>
              <w:rPr>
                <w:rStyle w:val="12"/>
                <w:b w:val="0"/>
                <w:color w:val="000000"/>
              </w:rPr>
              <w:t>农业种植、生态农业、畜禽养殖、农副产品加工、旅游、竹木、建材、中药材种植加工</w:t>
            </w:r>
            <w:r>
              <w:rPr>
                <w:rStyle w:val="12"/>
                <w:b w:val="0"/>
              </w:rPr>
              <w:t>、风电、水电、造纸、屠宰、有色金属矿采选</w:t>
            </w:r>
          </w:p>
        </w:tc>
        <w:tc>
          <w:tcPr>
            <w:tcW w:w="3422" w:type="dxa"/>
          </w:tcPr>
          <w:p>
            <w:pPr>
              <w:widowControl/>
              <w:spacing w:line="260" w:lineRule="exact"/>
              <w:rPr>
                <w:b/>
                <w:color w:val="000000"/>
                <w:kern w:val="0"/>
                <w:szCs w:val="21"/>
              </w:rPr>
            </w:pPr>
            <w:r>
              <w:rPr>
                <w:b/>
                <w:color w:val="000000"/>
                <w:kern w:val="0"/>
                <w:szCs w:val="21"/>
              </w:rPr>
              <w:t>主要环境问题：</w:t>
            </w:r>
          </w:p>
          <w:p>
            <w:pPr>
              <w:widowControl/>
              <w:spacing w:line="260" w:lineRule="exact"/>
              <w:rPr>
                <w:color w:val="000000"/>
                <w:szCs w:val="21"/>
              </w:rPr>
            </w:pPr>
            <w:r>
              <w:rPr>
                <w:b/>
                <w:bCs/>
                <w:color w:val="000000"/>
                <w:szCs w:val="21"/>
              </w:rPr>
              <w:t>大水田乡/麻塘山乡</w:t>
            </w:r>
            <w:r>
              <w:rPr>
                <w:color w:val="000000"/>
                <w:szCs w:val="21"/>
              </w:rPr>
              <w:t>：</w:t>
            </w:r>
          </w:p>
          <w:p>
            <w:pPr>
              <w:widowControl/>
              <w:numPr>
                <w:ilvl w:val="0"/>
                <w:numId w:val="21"/>
              </w:numPr>
              <w:spacing w:line="260" w:lineRule="exact"/>
            </w:pPr>
            <w:r>
              <w:t>未建设乡生活污水处理厂；</w:t>
            </w:r>
          </w:p>
          <w:p>
            <w:pPr>
              <w:widowControl/>
              <w:spacing w:line="260" w:lineRule="exact"/>
            </w:pPr>
            <w:r>
              <w:t>2、农村生活污水需进一步加强治理；</w:t>
            </w:r>
          </w:p>
          <w:p>
            <w:pPr>
              <w:widowControl/>
              <w:spacing w:line="260" w:lineRule="exact"/>
            </w:pPr>
            <w:r>
              <w:t>3、农村秸秆焚烧多发；</w:t>
            </w:r>
          </w:p>
          <w:p>
            <w:pPr>
              <w:widowControl/>
              <w:spacing w:line="260" w:lineRule="exact"/>
            </w:pPr>
            <w:r>
              <w:t>4、道路扬尘需进一步加强治理。</w:t>
            </w:r>
          </w:p>
          <w:p>
            <w:pPr>
              <w:widowControl/>
              <w:spacing w:line="260" w:lineRule="exact"/>
              <w:rPr>
                <w:color w:val="000000"/>
                <w:szCs w:val="21"/>
              </w:rPr>
            </w:pPr>
            <w:r>
              <w:rPr>
                <w:b/>
                <w:bCs/>
                <w:color w:val="000000"/>
                <w:szCs w:val="21"/>
              </w:rPr>
              <w:t>金石桥镇/司门前镇</w:t>
            </w:r>
            <w:r>
              <w:rPr>
                <w:color w:val="000000"/>
                <w:szCs w:val="21"/>
              </w:rPr>
              <w:t>：</w:t>
            </w:r>
          </w:p>
          <w:p>
            <w:pPr>
              <w:widowControl/>
              <w:numPr>
                <w:ilvl w:val="0"/>
                <w:numId w:val="22"/>
              </w:numPr>
              <w:spacing w:line="260" w:lineRule="exact"/>
            </w:pPr>
            <w:r>
              <w:t>乡镇生活污水处理厂管网待进一步完善；</w:t>
            </w:r>
          </w:p>
          <w:p>
            <w:pPr>
              <w:widowControl/>
              <w:numPr>
                <w:ilvl w:val="0"/>
                <w:numId w:val="22"/>
              </w:numPr>
              <w:spacing w:line="260" w:lineRule="exact"/>
            </w:pPr>
            <w:r>
              <w:t>农村生活污水需进一步加强治理；</w:t>
            </w:r>
          </w:p>
          <w:p>
            <w:pPr>
              <w:widowControl/>
              <w:numPr>
                <w:ilvl w:val="0"/>
                <w:numId w:val="22"/>
              </w:numPr>
              <w:spacing w:line="260" w:lineRule="exact"/>
            </w:pPr>
            <w:r>
              <w:t>农村秸秆焚烧多发；</w:t>
            </w:r>
          </w:p>
          <w:p>
            <w:pPr>
              <w:widowControl/>
              <w:numPr>
                <w:ilvl w:val="0"/>
                <w:numId w:val="22"/>
              </w:numPr>
              <w:spacing w:line="260" w:lineRule="exact"/>
            </w:pPr>
            <w:r>
              <w:t>道路扬尘需进一步加强治理；</w:t>
            </w:r>
          </w:p>
          <w:p>
            <w:pPr>
              <w:widowControl/>
              <w:numPr>
                <w:ilvl w:val="0"/>
                <w:numId w:val="22"/>
              </w:numPr>
              <w:spacing w:line="260" w:lineRule="exact"/>
            </w:pPr>
            <w:r>
              <w:t>建材行业大气污染防治需进一步加强。</w:t>
            </w:r>
          </w:p>
          <w:p>
            <w:pPr>
              <w:widowControl/>
              <w:spacing w:line="260" w:lineRule="exact"/>
              <w:rPr>
                <w:b/>
                <w:color w:val="000000"/>
                <w:kern w:val="0"/>
                <w:szCs w:val="21"/>
              </w:rPr>
            </w:pPr>
            <w:r>
              <w:rPr>
                <w:b/>
                <w:color w:val="000000"/>
                <w:kern w:val="0"/>
                <w:szCs w:val="21"/>
              </w:rPr>
              <w:t>重要敏感目标：</w:t>
            </w:r>
          </w:p>
          <w:p>
            <w:pPr>
              <w:widowControl/>
              <w:spacing w:line="260" w:lineRule="exact"/>
              <w:rPr>
                <w:color w:val="000000"/>
                <w:szCs w:val="21"/>
              </w:rPr>
            </w:pPr>
            <w:r>
              <w:rPr>
                <w:b/>
                <w:bCs/>
                <w:color w:val="000000"/>
                <w:szCs w:val="21"/>
              </w:rPr>
              <w:t>大水田乡</w:t>
            </w:r>
            <w:r>
              <w:rPr>
                <w:color w:val="000000"/>
                <w:szCs w:val="21"/>
              </w:rPr>
              <w:t>：</w:t>
            </w:r>
          </w:p>
          <w:p>
            <w:pPr>
              <w:widowControl/>
              <w:numPr>
                <w:ilvl w:val="0"/>
                <w:numId w:val="23"/>
              </w:numPr>
              <w:spacing w:line="260" w:lineRule="exact"/>
            </w:pPr>
            <w:r>
              <w:t>屏风界县级候鸟自然保护地；</w:t>
            </w:r>
          </w:p>
          <w:p>
            <w:pPr>
              <w:widowControl/>
              <w:numPr>
                <w:ilvl w:val="0"/>
                <w:numId w:val="23"/>
              </w:numPr>
              <w:spacing w:line="260" w:lineRule="exact"/>
            </w:pPr>
            <w:r>
              <w:t>白马山省级森林公园；</w:t>
            </w:r>
          </w:p>
          <w:p>
            <w:pPr>
              <w:widowControl/>
              <w:numPr>
                <w:ilvl w:val="0"/>
                <w:numId w:val="23"/>
              </w:numPr>
              <w:spacing w:line="260" w:lineRule="exact"/>
            </w:pPr>
            <w:r>
              <w:t>木瓜山水库县级以上饮用水水源保护区</w:t>
            </w:r>
          </w:p>
          <w:p>
            <w:pPr>
              <w:widowControl/>
              <w:spacing w:line="260" w:lineRule="exact"/>
              <w:rPr>
                <w:color w:val="000000"/>
                <w:szCs w:val="21"/>
              </w:rPr>
            </w:pPr>
            <w:r>
              <w:rPr>
                <w:b/>
                <w:bCs/>
                <w:color w:val="000000"/>
                <w:szCs w:val="21"/>
              </w:rPr>
              <w:t>金石桥镇</w:t>
            </w:r>
            <w:r>
              <w:rPr>
                <w:color w:val="000000"/>
                <w:szCs w:val="21"/>
              </w:rPr>
              <w:t>：</w:t>
            </w:r>
          </w:p>
          <w:p>
            <w:pPr>
              <w:widowControl/>
              <w:numPr>
                <w:ilvl w:val="0"/>
                <w:numId w:val="24"/>
              </w:numPr>
              <w:spacing w:line="260" w:lineRule="exact"/>
              <w:rPr>
                <w:color w:val="000000"/>
                <w:szCs w:val="21"/>
              </w:rPr>
            </w:pPr>
            <w:r>
              <w:rPr>
                <w:color w:val="000000"/>
                <w:szCs w:val="21"/>
              </w:rPr>
              <w:t>隆回县金石桥镇大洋江饮用水水源保护区；</w:t>
            </w:r>
          </w:p>
          <w:p>
            <w:pPr>
              <w:widowControl/>
              <w:numPr>
                <w:ilvl w:val="0"/>
                <w:numId w:val="24"/>
              </w:numPr>
              <w:spacing w:line="260" w:lineRule="exact"/>
            </w:pPr>
            <w:r>
              <w:rPr>
                <w:color w:val="000000"/>
                <w:szCs w:val="21"/>
              </w:rPr>
              <w:t>望云山省级森林公园</w:t>
            </w:r>
          </w:p>
          <w:p>
            <w:pPr>
              <w:widowControl/>
              <w:spacing w:line="260" w:lineRule="exact"/>
            </w:pPr>
            <w:r>
              <w:rPr>
                <w:b/>
                <w:bCs/>
                <w:color w:val="000000"/>
                <w:szCs w:val="21"/>
              </w:rPr>
              <w:t>麻塘山乡</w:t>
            </w:r>
            <w:r>
              <w:rPr>
                <w:color w:val="000000"/>
                <w:szCs w:val="21"/>
              </w:rPr>
              <w:t>：白马山省级森林公园</w:t>
            </w:r>
          </w:p>
          <w:p>
            <w:pPr>
              <w:widowControl/>
              <w:spacing w:line="260" w:lineRule="exact"/>
            </w:pPr>
            <w:r>
              <w:rPr>
                <w:b/>
                <w:bCs/>
                <w:color w:val="000000"/>
                <w:szCs w:val="21"/>
              </w:rPr>
              <w:t>司门前镇</w:t>
            </w:r>
            <w:r>
              <w:rPr>
                <w:color w:val="000000"/>
                <w:szCs w:val="21"/>
              </w:rPr>
              <w:t>：魏源湖国家湿地公园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spacing w:line="400" w:lineRule="exact"/>
              <w:jc w:val="center"/>
              <w:rPr>
                <w:b/>
                <w:color w:val="000000"/>
                <w:kern w:val="0"/>
                <w:szCs w:val="21"/>
              </w:rPr>
            </w:pPr>
            <w:r>
              <w:rPr>
                <w:b/>
                <w:color w:val="000000"/>
                <w:kern w:val="0"/>
                <w:szCs w:val="21"/>
              </w:rPr>
              <w:t>主要属性</w:t>
            </w:r>
          </w:p>
        </w:tc>
        <w:tc>
          <w:tcPr>
            <w:tcW w:w="12456" w:type="dxa"/>
            <w:gridSpan w:val="10"/>
            <w:vAlign w:val="center"/>
          </w:tcPr>
          <w:p>
            <w:pPr>
              <w:spacing w:line="400" w:lineRule="exact"/>
              <w:rPr>
                <w:b/>
                <w:bCs/>
                <w:color w:val="000000"/>
                <w:szCs w:val="21"/>
              </w:rPr>
            </w:pPr>
            <w:r>
              <w:rPr>
                <w:b/>
                <w:bCs/>
                <w:color w:val="000000"/>
                <w:szCs w:val="21"/>
              </w:rPr>
              <w:t>大水田乡：</w:t>
            </w:r>
          </w:p>
          <w:p>
            <w:pPr>
              <w:numPr>
                <w:ilvl w:val="0"/>
                <w:numId w:val="25"/>
              </w:numPr>
              <w:spacing w:line="400" w:lineRule="exact"/>
              <w:jc w:val="left"/>
              <w:rPr>
                <w:szCs w:val="21"/>
              </w:rPr>
            </w:pPr>
            <w:r>
              <w:rPr>
                <w:color w:val="000000"/>
                <w:szCs w:val="21"/>
              </w:rPr>
              <w:t>红线/一般生态空间/湿地公园/水源涵养重要区/三区三线生态红线/风景名胜区/生物多样性保护功能重要区/原生态红线/森林公园/水土流失敏感区/水土保持功能重要区</w:t>
            </w:r>
          </w:p>
          <w:p>
            <w:pPr>
              <w:numPr>
                <w:ilvl w:val="0"/>
                <w:numId w:val="25"/>
              </w:numPr>
              <w:spacing w:line="400" w:lineRule="exact"/>
              <w:rPr>
                <w:color w:val="000000"/>
                <w:szCs w:val="21"/>
              </w:rPr>
            </w:pPr>
            <w:r>
              <w:rPr>
                <w:color w:val="000000"/>
                <w:szCs w:val="21"/>
              </w:rPr>
              <w:t>水环境优先保护区；</w:t>
            </w:r>
          </w:p>
          <w:p>
            <w:pPr>
              <w:numPr>
                <w:ilvl w:val="0"/>
                <w:numId w:val="25"/>
              </w:numPr>
              <w:spacing w:line="400" w:lineRule="exact"/>
              <w:rPr>
                <w:color w:val="000000"/>
                <w:szCs w:val="21"/>
              </w:rPr>
            </w:pPr>
            <w:r>
              <w:rPr>
                <w:color w:val="000000"/>
                <w:szCs w:val="21"/>
              </w:rPr>
              <w:t>大气环境优先保护区/其他区域；</w:t>
            </w:r>
          </w:p>
          <w:p>
            <w:pPr>
              <w:numPr>
                <w:ilvl w:val="0"/>
                <w:numId w:val="25"/>
              </w:numPr>
              <w:spacing w:line="400" w:lineRule="exact"/>
              <w:rPr>
                <w:color w:val="000000"/>
                <w:szCs w:val="21"/>
              </w:rPr>
            </w:pPr>
            <w:r>
              <w:rPr>
                <w:color w:val="000000"/>
                <w:szCs w:val="21"/>
              </w:rPr>
              <w:t>农用地优先保护区/建设用地重点管控区/其他重点管控区/一般管控区；</w:t>
            </w:r>
          </w:p>
          <w:p>
            <w:pPr>
              <w:numPr>
                <w:ilvl w:val="0"/>
                <w:numId w:val="25"/>
              </w:numPr>
              <w:spacing w:line="400" w:lineRule="exact"/>
              <w:rPr>
                <w:color w:val="000000"/>
                <w:szCs w:val="21"/>
              </w:rPr>
            </w:pPr>
            <w:r>
              <w:rPr>
                <w:color w:val="000000"/>
                <w:szCs w:val="21"/>
              </w:rPr>
              <w:t>重点生态功能区</w:t>
            </w:r>
          </w:p>
          <w:p>
            <w:pPr>
              <w:spacing w:line="400" w:lineRule="exact"/>
              <w:rPr>
                <w:b/>
                <w:bCs/>
                <w:color w:val="000000"/>
                <w:szCs w:val="21"/>
              </w:rPr>
            </w:pPr>
            <w:r>
              <w:rPr>
                <w:b/>
                <w:bCs/>
                <w:color w:val="000000"/>
                <w:szCs w:val="21"/>
              </w:rPr>
              <w:t>金石桥镇：</w:t>
            </w:r>
          </w:p>
          <w:p>
            <w:pPr>
              <w:numPr>
                <w:ilvl w:val="0"/>
                <w:numId w:val="25"/>
              </w:numPr>
              <w:spacing w:line="400" w:lineRule="exact"/>
              <w:rPr>
                <w:color w:val="000000"/>
                <w:szCs w:val="21"/>
              </w:rPr>
            </w:pPr>
            <w:r>
              <w:rPr>
                <w:color w:val="000000"/>
                <w:szCs w:val="21"/>
              </w:rPr>
              <w:t>红线/一般生态空间/水源涵养重要区/森林公园/三区三线生态红线/原生态红线/风景名胜区/水土流失敏感区/生物多样性保护功能重要区</w:t>
            </w:r>
          </w:p>
          <w:p>
            <w:pPr>
              <w:numPr>
                <w:ilvl w:val="0"/>
                <w:numId w:val="25"/>
              </w:numPr>
              <w:spacing w:line="400" w:lineRule="exact"/>
              <w:rPr>
                <w:color w:val="000000"/>
                <w:szCs w:val="21"/>
              </w:rPr>
            </w:pPr>
            <w:r>
              <w:rPr>
                <w:color w:val="000000"/>
                <w:szCs w:val="21"/>
              </w:rPr>
              <w:t>水环境一般管控区；</w:t>
            </w:r>
          </w:p>
          <w:p>
            <w:pPr>
              <w:numPr>
                <w:ilvl w:val="0"/>
                <w:numId w:val="25"/>
              </w:numPr>
              <w:spacing w:line="400" w:lineRule="exact"/>
              <w:rPr>
                <w:color w:val="000000"/>
                <w:szCs w:val="21"/>
              </w:rPr>
            </w:pPr>
            <w:r>
              <w:rPr>
                <w:color w:val="000000"/>
                <w:szCs w:val="21"/>
              </w:rPr>
              <w:t>大气环境优先保护区/大气环境受体敏感重点管控区/其他区域；</w:t>
            </w:r>
          </w:p>
          <w:p>
            <w:pPr>
              <w:numPr>
                <w:ilvl w:val="0"/>
                <w:numId w:val="25"/>
              </w:numPr>
              <w:spacing w:line="400" w:lineRule="exact"/>
              <w:rPr>
                <w:color w:val="000000"/>
                <w:szCs w:val="21"/>
              </w:rPr>
            </w:pPr>
            <w:r>
              <w:rPr>
                <w:color w:val="000000"/>
                <w:szCs w:val="21"/>
              </w:rPr>
              <w:t>农用地优先保护区/建设用地重点管控区/其他重点管控区/一般管控区；</w:t>
            </w:r>
          </w:p>
          <w:p>
            <w:pPr>
              <w:numPr>
                <w:ilvl w:val="0"/>
                <w:numId w:val="25"/>
              </w:numPr>
              <w:spacing w:line="400" w:lineRule="exact"/>
              <w:rPr>
                <w:color w:val="000000"/>
                <w:szCs w:val="21"/>
              </w:rPr>
            </w:pPr>
            <w:r>
              <w:rPr>
                <w:color w:val="000000"/>
                <w:szCs w:val="21"/>
              </w:rPr>
              <w:t>城市化地区</w:t>
            </w:r>
          </w:p>
          <w:p>
            <w:pPr>
              <w:spacing w:line="400" w:lineRule="exact"/>
              <w:rPr>
                <w:b/>
                <w:bCs/>
                <w:color w:val="000000"/>
                <w:szCs w:val="21"/>
              </w:rPr>
            </w:pPr>
            <w:r>
              <w:rPr>
                <w:b/>
                <w:bCs/>
                <w:color w:val="000000"/>
                <w:szCs w:val="21"/>
              </w:rPr>
              <w:t>麻塘山乡：</w:t>
            </w:r>
          </w:p>
          <w:p>
            <w:pPr>
              <w:numPr>
                <w:ilvl w:val="0"/>
                <w:numId w:val="25"/>
              </w:numPr>
              <w:spacing w:line="400" w:lineRule="exact"/>
              <w:rPr>
                <w:color w:val="000000"/>
                <w:szCs w:val="21"/>
              </w:rPr>
            </w:pPr>
            <w:r>
              <w:rPr>
                <w:color w:val="000000"/>
                <w:szCs w:val="21"/>
              </w:rPr>
              <w:t>红线/一般生态空间/三区三线生态红线/水源涵养重要区/生物多样性保护功能重要区/原生态红线/水土流失敏感区/森林公园/</w:t>
            </w:r>
          </w:p>
          <w:p>
            <w:pPr>
              <w:numPr>
                <w:ilvl w:val="0"/>
                <w:numId w:val="25"/>
              </w:numPr>
              <w:spacing w:line="400" w:lineRule="exact"/>
              <w:rPr>
                <w:color w:val="000000"/>
                <w:szCs w:val="21"/>
              </w:rPr>
            </w:pPr>
            <w:r>
              <w:rPr>
                <w:color w:val="000000"/>
                <w:szCs w:val="21"/>
              </w:rPr>
              <w:t>水环境一般管控区；</w:t>
            </w:r>
          </w:p>
          <w:p>
            <w:pPr>
              <w:numPr>
                <w:ilvl w:val="0"/>
                <w:numId w:val="25"/>
              </w:numPr>
              <w:spacing w:line="400" w:lineRule="exact"/>
              <w:rPr>
                <w:color w:val="000000"/>
                <w:szCs w:val="21"/>
              </w:rPr>
            </w:pPr>
            <w:r>
              <w:rPr>
                <w:color w:val="000000"/>
                <w:szCs w:val="21"/>
              </w:rPr>
              <w:t>大气环境优先保护区/大气环境受体敏感重点管控区/其他区域；</w:t>
            </w:r>
          </w:p>
          <w:p>
            <w:pPr>
              <w:numPr>
                <w:ilvl w:val="0"/>
                <w:numId w:val="25"/>
              </w:numPr>
              <w:spacing w:line="400" w:lineRule="exact"/>
              <w:rPr>
                <w:color w:val="000000"/>
                <w:szCs w:val="21"/>
              </w:rPr>
            </w:pPr>
            <w:r>
              <w:rPr>
                <w:color w:val="000000"/>
                <w:szCs w:val="21"/>
              </w:rPr>
              <w:t>农用地优先保护区/一般管控区；</w:t>
            </w:r>
          </w:p>
          <w:p>
            <w:pPr>
              <w:numPr>
                <w:ilvl w:val="0"/>
                <w:numId w:val="25"/>
              </w:numPr>
              <w:spacing w:line="400" w:lineRule="exact"/>
              <w:rPr>
                <w:color w:val="000000"/>
                <w:szCs w:val="21"/>
              </w:rPr>
            </w:pPr>
            <w:r>
              <w:rPr>
                <w:color w:val="000000"/>
                <w:szCs w:val="21"/>
              </w:rPr>
              <w:t>农产品主产区</w:t>
            </w:r>
          </w:p>
          <w:p>
            <w:pPr>
              <w:spacing w:line="400" w:lineRule="exact"/>
              <w:rPr>
                <w:b/>
                <w:bCs/>
                <w:color w:val="000000"/>
                <w:szCs w:val="21"/>
              </w:rPr>
            </w:pPr>
            <w:r>
              <w:rPr>
                <w:b/>
                <w:bCs/>
                <w:color w:val="000000"/>
                <w:szCs w:val="21"/>
              </w:rPr>
              <w:t>司门前镇：</w:t>
            </w:r>
          </w:p>
          <w:p>
            <w:pPr>
              <w:numPr>
                <w:ilvl w:val="0"/>
                <w:numId w:val="25"/>
              </w:numPr>
              <w:spacing w:line="400" w:lineRule="exact"/>
              <w:rPr>
                <w:color w:val="000000"/>
                <w:szCs w:val="21"/>
              </w:rPr>
            </w:pPr>
            <w:r>
              <w:rPr>
                <w:color w:val="000000"/>
                <w:szCs w:val="21"/>
              </w:rPr>
              <w:t>红线/一般生态空间/水源涵养重要区/湿地公园/三区三线生态红线/原生态红线/生物多样性保护功能重要区/水土流失敏感区</w:t>
            </w:r>
          </w:p>
          <w:p>
            <w:pPr>
              <w:numPr>
                <w:ilvl w:val="0"/>
                <w:numId w:val="25"/>
              </w:numPr>
              <w:spacing w:line="400" w:lineRule="exact"/>
              <w:rPr>
                <w:color w:val="000000"/>
                <w:szCs w:val="21"/>
              </w:rPr>
            </w:pPr>
            <w:r>
              <w:rPr>
                <w:color w:val="000000"/>
                <w:szCs w:val="21"/>
              </w:rPr>
              <w:t>水环境优先保护区/水环境其他重点管控区/水环境一般管控区；</w:t>
            </w:r>
          </w:p>
          <w:p>
            <w:pPr>
              <w:numPr>
                <w:ilvl w:val="0"/>
                <w:numId w:val="25"/>
              </w:numPr>
              <w:spacing w:line="400" w:lineRule="exact"/>
              <w:rPr>
                <w:color w:val="000000"/>
                <w:szCs w:val="21"/>
              </w:rPr>
            </w:pPr>
            <w:r>
              <w:rPr>
                <w:color w:val="000000"/>
                <w:szCs w:val="21"/>
              </w:rPr>
              <w:t>大气环境优先保护区/大气环境高排放重点管控区/大气环境受体敏感重点管控区/其他区域；</w:t>
            </w:r>
          </w:p>
          <w:p>
            <w:pPr>
              <w:numPr>
                <w:ilvl w:val="0"/>
                <w:numId w:val="25"/>
              </w:numPr>
              <w:spacing w:line="400" w:lineRule="exact"/>
              <w:rPr>
                <w:color w:val="000000"/>
                <w:szCs w:val="21"/>
              </w:rPr>
            </w:pPr>
            <w:r>
              <w:rPr>
                <w:color w:val="000000"/>
                <w:szCs w:val="21"/>
              </w:rPr>
              <w:t>农用地优先保护区/建设用地重点管控区/其他重点管控区/一般管控区；</w:t>
            </w:r>
          </w:p>
          <w:p>
            <w:pPr>
              <w:numPr>
                <w:ilvl w:val="0"/>
                <w:numId w:val="25"/>
              </w:numPr>
              <w:spacing w:line="400" w:lineRule="exact"/>
              <w:rPr>
                <w:color w:val="000000"/>
                <w:szCs w:val="21"/>
              </w:rPr>
            </w:pPr>
            <w:r>
              <w:rPr>
                <w:color w:val="000000"/>
                <w:szCs w:val="21"/>
              </w:rPr>
              <w:t>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spacing w:line="400" w:lineRule="exact"/>
              <w:jc w:val="center"/>
              <w:rPr>
                <w:b/>
                <w:color w:val="000000"/>
                <w:szCs w:val="21"/>
              </w:rPr>
            </w:pPr>
            <w:r>
              <w:rPr>
                <w:b/>
                <w:color w:val="000000"/>
                <w:szCs w:val="21"/>
              </w:rPr>
              <w:t>管控维度</w:t>
            </w:r>
          </w:p>
        </w:tc>
        <w:tc>
          <w:tcPr>
            <w:tcW w:w="9034" w:type="dxa"/>
            <w:gridSpan w:val="9"/>
            <w:vAlign w:val="center"/>
          </w:tcPr>
          <w:p>
            <w:pPr>
              <w:spacing w:line="400" w:lineRule="exact"/>
              <w:jc w:val="center"/>
              <w:rPr>
                <w:b/>
                <w:color w:val="000000"/>
                <w:szCs w:val="21"/>
              </w:rPr>
            </w:pPr>
            <w:r>
              <w:rPr>
                <w:b/>
                <w:color w:val="000000"/>
                <w:kern w:val="0"/>
                <w:szCs w:val="21"/>
              </w:rPr>
              <w:t>管控要求</w:t>
            </w:r>
          </w:p>
        </w:tc>
        <w:tc>
          <w:tcPr>
            <w:tcW w:w="3422" w:type="dxa"/>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spacing w:line="400" w:lineRule="exact"/>
              <w:jc w:val="center"/>
              <w:rPr>
                <w:color w:val="000000"/>
                <w:szCs w:val="21"/>
              </w:rPr>
            </w:pPr>
            <w:r>
              <w:rPr>
                <w:color w:val="000000"/>
                <w:szCs w:val="21"/>
              </w:rPr>
              <w:t>空间布局约束</w:t>
            </w:r>
          </w:p>
        </w:tc>
        <w:tc>
          <w:tcPr>
            <w:tcW w:w="9034" w:type="dxa"/>
            <w:gridSpan w:val="9"/>
            <w:vAlign w:val="center"/>
          </w:tcPr>
          <w:p>
            <w:pPr>
              <w:tabs>
                <w:tab w:val="left" w:pos="1021"/>
              </w:tabs>
              <w:spacing w:line="40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40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400" w:lineRule="exact"/>
              <w:rPr>
                <w:szCs w:val="21"/>
              </w:rPr>
            </w:pPr>
            <w:r>
              <w:rPr>
                <w:szCs w:val="21"/>
              </w:rPr>
              <w:t>（1.3）严禁在饮用水源保护区、自然保护地等环境敏感区、重要生态功能保护区内开发利用矿产资源。</w:t>
            </w:r>
          </w:p>
          <w:p>
            <w:pPr>
              <w:tabs>
                <w:tab w:val="left" w:pos="1021"/>
              </w:tabs>
              <w:spacing w:line="400" w:lineRule="exact"/>
              <w:rPr>
                <w:szCs w:val="21"/>
              </w:rPr>
            </w:pPr>
            <w:r>
              <w:rPr>
                <w:szCs w:val="21"/>
              </w:rPr>
              <w:t>（1.4）在城市紫线范围</w:t>
            </w:r>
            <w:r>
              <w:rPr>
                <w:rFonts w:hint="eastAsia"/>
                <w:szCs w:val="21"/>
              </w:rPr>
              <w:t>（包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40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40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p>
            <w:pPr>
              <w:tabs>
                <w:tab w:val="left" w:pos="1021"/>
              </w:tabs>
              <w:spacing w:line="400" w:lineRule="exact"/>
              <w:rPr>
                <w:b/>
                <w:bCs/>
                <w:szCs w:val="21"/>
              </w:rPr>
            </w:pPr>
            <w:r>
              <w:rPr>
                <w:b/>
                <w:bCs/>
                <w:szCs w:val="21"/>
              </w:rPr>
              <w:t>大水田乡：</w:t>
            </w:r>
          </w:p>
          <w:p>
            <w:pPr>
              <w:tabs>
                <w:tab w:val="left" w:pos="1021"/>
              </w:tabs>
              <w:spacing w:line="400" w:lineRule="exact"/>
              <w:rPr>
                <w:szCs w:val="21"/>
              </w:rPr>
            </w:pPr>
            <w:r>
              <w:rPr>
                <w:szCs w:val="21"/>
              </w:rPr>
              <w:t>（1.7）自然保护地核心保护区原则上禁止人为活动，生态保护红线内自然保护地核心区外其他区域严格禁止开发性、生产性建设活动</w:t>
            </w:r>
          </w:p>
        </w:tc>
        <w:tc>
          <w:tcPr>
            <w:tcW w:w="3422" w:type="dxa"/>
            <w:vMerge w:val="restart"/>
          </w:tcPr>
          <w:p>
            <w:pPr>
              <w:widowControl/>
              <w:tabs>
                <w:tab w:val="left" w:pos="1021"/>
              </w:tabs>
              <w:spacing w:line="400" w:lineRule="exact"/>
              <w:rPr>
                <w:color w:val="000000"/>
                <w:szCs w:val="21"/>
              </w:rPr>
            </w:pPr>
            <w:r>
              <w:rPr>
                <w:rStyle w:val="12"/>
                <w:b w:val="0"/>
                <w:color w:val="000000"/>
              </w:rPr>
              <w:t>（1.1</w:t>
            </w:r>
            <w:r>
              <w:rPr>
                <w:szCs w:val="21"/>
              </w:rPr>
              <w:t>）（1.2）（1.3）（1.4）（1.5）</w:t>
            </w:r>
            <w:r>
              <w:rPr>
                <w:color w:val="000000"/>
                <w:szCs w:val="21"/>
              </w:rPr>
              <w:t>（1.7）</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400" w:lineRule="exact"/>
              <w:rPr>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spacing w:line="400" w:lineRule="exact"/>
              <w:jc w:val="center"/>
              <w:rPr>
                <w:color w:val="000000"/>
                <w:szCs w:val="21"/>
              </w:rPr>
            </w:pPr>
            <w:r>
              <w:rPr>
                <w:color w:val="000000"/>
                <w:szCs w:val="21"/>
              </w:rPr>
              <w:t>污染物排放管控</w:t>
            </w:r>
          </w:p>
        </w:tc>
        <w:tc>
          <w:tcPr>
            <w:tcW w:w="9034" w:type="dxa"/>
            <w:gridSpan w:val="9"/>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400" w:lineRule="exact"/>
              <w:ind w:firstLine="420" w:firstLineChars="200"/>
              <w:rPr>
                <w:color w:val="000000"/>
                <w:szCs w:val="21"/>
              </w:rPr>
            </w:pPr>
            <w:r>
              <w:rPr>
                <w:bCs/>
                <w:szCs w:val="30"/>
              </w:rPr>
              <w:t>（2.1.2）全面实施《隆回县隆回县县域农村生活污水处理专项规划》，加快推进乡镇污水处理厂建设，实现污水处理设施乡镇全覆盖。</w:t>
            </w:r>
          </w:p>
          <w:p>
            <w:pPr>
              <w:tabs>
                <w:tab w:val="left" w:pos="1021"/>
              </w:tabs>
              <w:spacing w:line="40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40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400" w:lineRule="exact"/>
              <w:ind w:firstLine="420" w:firstLineChars="200"/>
              <w:rPr>
                <w:bCs/>
                <w:szCs w:val="30"/>
              </w:rPr>
            </w:pPr>
            <w:r>
              <w:rPr>
                <w:bCs/>
                <w:szCs w:val="30"/>
              </w:rPr>
              <w:t>（2.2.3）推进PM2.5与臭氧协同治理，强化重点行业NOx深度治理，控制挥发性有机物排放，加强扬尘污染治理，兼顾移动源污染治理，积极应对重污染天气。</w:t>
            </w:r>
          </w:p>
          <w:p>
            <w:pPr>
              <w:tabs>
                <w:tab w:val="left" w:pos="1021"/>
              </w:tabs>
              <w:spacing w:line="400" w:lineRule="exact"/>
              <w:ind w:firstLine="420" w:firstLineChars="200"/>
              <w:rPr>
                <w:bCs/>
                <w:szCs w:val="30"/>
              </w:rPr>
            </w:pPr>
            <w:r>
              <w:rPr>
                <w:bCs/>
                <w:szCs w:val="30"/>
              </w:rPr>
              <w:t>（2.2.4）到2025年，县城空气质量指数达到优良天数占比90%以上。</w:t>
            </w:r>
          </w:p>
          <w:p>
            <w:pPr>
              <w:tabs>
                <w:tab w:val="left" w:pos="1021"/>
              </w:tabs>
              <w:spacing w:line="40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3422"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spacing w:line="400" w:lineRule="exact"/>
              <w:jc w:val="center"/>
              <w:rPr>
                <w:color w:val="000000"/>
                <w:szCs w:val="21"/>
              </w:rPr>
            </w:pPr>
            <w:r>
              <w:rPr>
                <w:color w:val="000000"/>
                <w:szCs w:val="21"/>
              </w:rPr>
              <w:t>环境风险防控</w:t>
            </w:r>
          </w:p>
        </w:tc>
        <w:tc>
          <w:tcPr>
            <w:tcW w:w="9034" w:type="dxa"/>
            <w:gridSpan w:val="9"/>
            <w:vAlign w:val="center"/>
          </w:tcPr>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color w:val="000000"/>
                <w:szCs w:val="21"/>
              </w:rPr>
            </w:pPr>
            <w:r>
              <w:rPr>
                <w:color w:val="000000"/>
                <w:szCs w:val="21"/>
              </w:rPr>
              <w:t>（3.3）</w:t>
            </w:r>
            <w:r>
              <w:rPr>
                <w:bCs/>
                <w:szCs w:val="30"/>
              </w:rPr>
              <w:t>加强重点城镇饮用水源地一级保护区隔离工程、饮用水源地环境监管能力建设。</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bCs/>
                <w:szCs w:val="30"/>
              </w:rPr>
            </w:pPr>
            <w:r>
              <w:rPr>
                <w:bCs/>
                <w:szCs w:val="30"/>
              </w:rPr>
              <w:t>（3.5）加强对工业园区、饮用水水源保护区、自然保护地等重点地区和砖瓦、造纸等重点行业的监管。</w:t>
            </w:r>
          </w:p>
        </w:tc>
        <w:tc>
          <w:tcPr>
            <w:tcW w:w="3422"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spacing w:line="400" w:lineRule="exact"/>
              <w:jc w:val="center"/>
              <w:rPr>
                <w:color w:val="000000"/>
                <w:szCs w:val="21"/>
              </w:rPr>
            </w:pPr>
            <w:r>
              <w:rPr>
                <w:color w:val="000000"/>
                <w:szCs w:val="21"/>
              </w:rPr>
              <w:t>资源开发效率要求</w:t>
            </w:r>
          </w:p>
        </w:tc>
        <w:tc>
          <w:tcPr>
            <w:tcW w:w="9034" w:type="dxa"/>
            <w:gridSpan w:val="9"/>
          </w:tcPr>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bCs/>
                <w:color w:val="000000"/>
                <w:szCs w:val="21"/>
              </w:rPr>
            </w:pPr>
            <w:r>
              <w:rPr>
                <w:bCs/>
                <w:color w:val="000000"/>
                <w:szCs w:val="21"/>
              </w:rPr>
              <w:t>（4.2）水资源：</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ind w:firstLine="420" w:firstLineChars="200"/>
              <w:textAlignment w:val="auto"/>
              <w:rPr>
                <w:bCs/>
                <w:color w:val="000000"/>
                <w:szCs w:val="21"/>
              </w:rPr>
            </w:pPr>
            <w:r>
              <w:rPr>
                <w:bCs/>
                <w:color w:val="000000"/>
                <w:szCs w:val="21"/>
              </w:rPr>
              <w:t>（4.2.1）加强水资源、集约高效利用，执行最严格的水资源保护管理制度。</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ind w:firstLine="420" w:firstLineChars="200"/>
              <w:textAlignment w:val="auto"/>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textAlignment w:val="auto"/>
              <w:rPr>
                <w:bCs/>
                <w:color w:val="000000"/>
                <w:szCs w:val="21"/>
              </w:rPr>
            </w:pPr>
            <w:r>
              <w:rPr>
                <w:bCs/>
                <w:color w:val="000000"/>
                <w:szCs w:val="21"/>
              </w:rPr>
              <w:t>（4.3）土地资源：</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ind w:firstLine="420" w:firstLineChars="200"/>
              <w:textAlignment w:val="auto"/>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ind w:firstLine="420" w:firstLineChars="200"/>
              <w:textAlignment w:val="auto"/>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keepNext w:val="0"/>
              <w:keepLines w:val="0"/>
              <w:pageBreakBefore w:val="0"/>
              <w:widowControl w:val="0"/>
              <w:tabs>
                <w:tab w:val="left" w:pos="1021"/>
              </w:tabs>
              <w:kinsoku/>
              <w:wordWrap/>
              <w:overflowPunct/>
              <w:topLinePunct w:val="0"/>
              <w:autoSpaceDE/>
              <w:autoSpaceDN/>
              <w:bidi w:val="0"/>
              <w:adjustRightInd/>
              <w:snapToGrid/>
              <w:spacing w:line="360" w:lineRule="exact"/>
              <w:ind w:firstLine="420" w:firstLineChars="200"/>
              <w:textAlignment w:val="auto"/>
              <w:rPr>
                <w:bCs/>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3422" w:type="dxa"/>
            <w:vMerge w:val="continue"/>
            <w:vAlign w:val="center"/>
          </w:tcPr>
          <w:p>
            <w:pPr>
              <w:spacing w:line="400" w:lineRule="exact"/>
            </w:pPr>
          </w:p>
        </w:tc>
      </w:tr>
    </w:tbl>
    <w:p>
      <w:pPr>
        <w:widowControl/>
        <w:jc w:val="center"/>
        <w:rPr>
          <w:b/>
          <w:color w:val="000000"/>
          <w:kern w:val="0"/>
          <w:szCs w:val="21"/>
        </w:rPr>
      </w:pPr>
      <w:r>
        <w:rPr>
          <w:b/>
          <w:color w:val="000000"/>
          <w:kern w:val="0"/>
          <w:szCs w:val="21"/>
        </w:rPr>
        <w:br w:type="page"/>
      </w:r>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323"/>
        <w:gridCol w:w="425"/>
        <w:gridCol w:w="425"/>
        <w:gridCol w:w="426"/>
        <w:gridCol w:w="850"/>
        <w:gridCol w:w="948"/>
        <w:gridCol w:w="1186"/>
        <w:gridCol w:w="1209"/>
        <w:gridCol w:w="2234"/>
        <w:gridCol w:w="621"/>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restart"/>
            <w:vAlign w:val="center"/>
          </w:tcPr>
          <w:p>
            <w:pPr>
              <w:widowControl/>
              <w:jc w:val="center"/>
              <w:rPr>
                <w:b/>
                <w:color w:val="000000"/>
                <w:kern w:val="0"/>
                <w:szCs w:val="21"/>
              </w:rPr>
            </w:pPr>
            <w:r>
              <w:rPr>
                <w:b/>
                <w:color w:val="000000"/>
                <w:kern w:val="0"/>
                <w:szCs w:val="21"/>
              </w:rPr>
              <w:t>环境管控单元编码</w:t>
            </w:r>
          </w:p>
        </w:tc>
        <w:tc>
          <w:tcPr>
            <w:tcW w:w="1323" w:type="dxa"/>
            <w:vMerge w:val="restart"/>
            <w:vAlign w:val="center"/>
          </w:tcPr>
          <w:p>
            <w:pPr>
              <w:widowControl/>
              <w:jc w:val="center"/>
              <w:rPr>
                <w:b/>
                <w:color w:val="000000"/>
                <w:kern w:val="0"/>
                <w:szCs w:val="21"/>
              </w:rPr>
            </w:pPr>
            <w:r>
              <w:rPr>
                <w:b/>
                <w:color w:val="000000"/>
                <w:kern w:val="0"/>
                <w:szCs w:val="21"/>
              </w:rPr>
              <w:t>单元名称</w:t>
            </w:r>
          </w:p>
        </w:tc>
        <w:tc>
          <w:tcPr>
            <w:tcW w:w="1276" w:type="dxa"/>
            <w:gridSpan w:val="3"/>
            <w:vAlign w:val="center"/>
          </w:tcPr>
          <w:p>
            <w:pPr>
              <w:widowControl/>
              <w:jc w:val="center"/>
              <w:rPr>
                <w:b/>
                <w:color w:val="000000"/>
                <w:kern w:val="0"/>
                <w:szCs w:val="21"/>
              </w:rPr>
            </w:pPr>
            <w:r>
              <w:rPr>
                <w:b/>
                <w:color w:val="000000"/>
                <w:kern w:val="0"/>
                <w:szCs w:val="21"/>
              </w:rPr>
              <w:t>行政区划</w:t>
            </w:r>
          </w:p>
        </w:tc>
        <w:tc>
          <w:tcPr>
            <w:tcW w:w="850" w:type="dxa"/>
            <w:vMerge w:val="restart"/>
            <w:vAlign w:val="center"/>
          </w:tcPr>
          <w:p>
            <w:pPr>
              <w:widowControl/>
              <w:jc w:val="center"/>
              <w:rPr>
                <w:b/>
                <w:color w:val="000000"/>
                <w:kern w:val="0"/>
                <w:szCs w:val="21"/>
              </w:rPr>
            </w:pPr>
            <w:r>
              <w:rPr>
                <w:b/>
                <w:color w:val="000000"/>
                <w:kern w:val="0"/>
                <w:szCs w:val="21"/>
              </w:rPr>
              <w:t>单元分类</w:t>
            </w:r>
          </w:p>
        </w:tc>
        <w:tc>
          <w:tcPr>
            <w:tcW w:w="948"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186" w:type="dxa"/>
            <w:vMerge w:val="restart"/>
            <w:vAlign w:val="center"/>
          </w:tcPr>
          <w:p>
            <w:pPr>
              <w:jc w:val="center"/>
              <w:rPr>
                <w:b/>
                <w:color w:val="000000"/>
                <w:kern w:val="0"/>
                <w:szCs w:val="21"/>
              </w:rPr>
            </w:pPr>
            <w:r>
              <w:rPr>
                <w:b/>
                <w:color w:val="000000"/>
                <w:kern w:val="0"/>
                <w:szCs w:val="21"/>
              </w:rPr>
              <w:t>涉及乡镇(街道)</w:t>
            </w:r>
          </w:p>
        </w:tc>
        <w:tc>
          <w:tcPr>
            <w:tcW w:w="1209" w:type="dxa"/>
            <w:vMerge w:val="restart"/>
            <w:vAlign w:val="center"/>
          </w:tcPr>
          <w:p>
            <w:pPr>
              <w:jc w:val="center"/>
              <w:rPr>
                <w:b/>
                <w:color w:val="000000"/>
                <w:kern w:val="0"/>
                <w:szCs w:val="21"/>
              </w:rPr>
            </w:pPr>
            <w:r>
              <w:rPr>
                <w:b/>
                <w:color w:val="000000"/>
                <w:kern w:val="0"/>
                <w:szCs w:val="21"/>
              </w:rPr>
              <w:t>主体功能定位①</w:t>
            </w:r>
          </w:p>
        </w:tc>
        <w:tc>
          <w:tcPr>
            <w:tcW w:w="2234" w:type="dxa"/>
            <w:vMerge w:val="restart"/>
            <w:vAlign w:val="center"/>
          </w:tcPr>
          <w:p>
            <w:pPr>
              <w:jc w:val="center"/>
              <w:rPr>
                <w:b/>
                <w:color w:val="000000"/>
                <w:kern w:val="0"/>
                <w:szCs w:val="21"/>
              </w:rPr>
            </w:pPr>
            <w:r>
              <w:rPr>
                <w:b/>
                <w:color w:val="000000"/>
                <w:kern w:val="0"/>
                <w:szCs w:val="21"/>
              </w:rPr>
              <w:t>经济产业布局</w:t>
            </w:r>
          </w:p>
        </w:tc>
        <w:tc>
          <w:tcPr>
            <w:tcW w:w="3357" w:type="dxa"/>
            <w:gridSpan w:val="2"/>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91" w:type="dxa"/>
            <w:vMerge w:val="continue"/>
            <w:vAlign w:val="center"/>
          </w:tcPr>
          <w:p/>
        </w:tc>
        <w:tc>
          <w:tcPr>
            <w:tcW w:w="1323" w:type="dxa"/>
            <w:vMerge w:val="continue"/>
            <w:vAlign w:val="center"/>
          </w:tcPr>
          <w:p/>
        </w:tc>
        <w:tc>
          <w:tcPr>
            <w:tcW w:w="425" w:type="dxa"/>
            <w:vAlign w:val="center"/>
          </w:tcPr>
          <w:p>
            <w:pPr>
              <w:jc w:val="center"/>
              <w:rPr>
                <w:b/>
                <w:color w:val="000000"/>
                <w:szCs w:val="21"/>
              </w:rPr>
            </w:pPr>
            <w:r>
              <w:rPr>
                <w:b/>
                <w:color w:val="000000"/>
                <w:szCs w:val="21"/>
              </w:rPr>
              <w:t>省</w:t>
            </w:r>
          </w:p>
        </w:tc>
        <w:tc>
          <w:tcPr>
            <w:tcW w:w="425" w:type="dxa"/>
            <w:vAlign w:val="center"/>
          </w:tcPr>
          <w:p>
            <w:pPr>
              <w:jc w:val="center"/>
              <w:rPr>
                <w:b/>
                <w:color w:val="000000"/>
                <w:szCs w:val="21"/>
              </w:rPr>
            </w:pPr>
            <w:r>
              <w:rPr>
                <w:b/>
                <w:color w:val="000000"/>
                <w:szCs w:val="21"/>
              </w:rPr>
              <w:t>市</w:t>
            </w:r>
          </w:p>
        </w:tc>
        <w:tc>
          <w:tcPr>
            <w:tcW w:w="426" w:type="dxa"/>
            <w:vAlign w:val="center"/>
          </w:tcPr>
          <w:p>
            <w:pPr>
              <w:jc w:val="center"/>
              <w:rPr>
                <w:b/>
                <w:color w:val="000000"/>
                <w:szCs w:val="21"/>
              </w:rPr>
            </w:pPr>
            <w:r>
              <w:rPr>
                <w:b/>
                <w:color w:val="000000"/>
                <w:szCs w:val="21"/>
              </w:rPr>
              <w:t>县</w:t>
            </w:r>
          </w:p>
        </w:tc>
        <w:tc>
          <w:tcPr>
            <w:tcW w:w="850" w:type="dxa"/>
            <w:vMerge w:val="continue"/>
            <w:vAlign w:val="center"/>
          </w:tcPr>
          <w:p/>
        </w:tc>
        <w:tc>
          <w:tcPr>
            <w:tcW w:w="948" w:type="dxa"/>
            <w:vMerge w:val="continue"/>
            <w:vAlign w:val="center"/>
          </w:tcPr>
          <w:p/>
        </w:tc>
        <w:tc>
          <w:tcPr>
            <w:tcW w:w="1186" w:type="dxa"/>
            <w:vMerge w:val="continue"/>
            <w:vAlign w:val="center"/>
          </w:tcPr>
          <w:p/>
        </w:tc>
        <w:tc>
          <w:tcPr>
            <w:tcW w:w="1209" w:type="dxa"/>
            <w:vMerge w:val="continue"/>
            <w:vAlign w:val="center"/>
          </w:tcPr>
          <w:p/>
        </w:tc>
        <w:tc>
          <w:tcPr>
            <w:tcW w:w="2234" w:type="dxa"/>
            <w:vMerge w:val="continue"/>
            <w:vAlign w:val="center"/>
          </w:tcPr>
          <w:p/>
        </w:tc>
        <w:tc>
          <w:tcPr>
            <w:tcW w:w="335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791" w:type="dxa"/>
            <w:vAlign w:val="center"/>
          </w:tcPr>
          <w:p>
            <w:pPr>
              <w:jc w:val="center"/>
              <w:rPr>
                <w:color w:val="000000"/>
                <w:szCs w:val="21"/>
              </w:rPr>
            </w:pPr>
            <w:r>
              <w:rPr>
                <w:color w:val="000000"/>
                <w:szCs w:val="21"/>
              </w:rPr>
              <w:t>ZH43052420001</w:t>
            </w:r>
          </w:p>
        </w:tc>
        <w:tc>
          <w:tcPr>
            <w:tcW w:w="1323" w:type="dxa"/>
            <w:vAlign w:val="center"/>
          </w:tcPr>
          <w:p>
            <w:pPr>
              <w:jc w:val="center"/>
              <w:rPr>
                <w:color w:val="000000"/>
                <w:szCs w:val="21"/>
              </w:rPr>
            </w:pPr>
            <w:r>
              <w:rPr>
                <w:color w:val="000000"/>
                <w:szCs w:val="21"/>
              </w:rPr>
              <w:t>花门街道/桃花坪街道/北山镇/三阁司镇/山界回族乡</w:t>
            </w:r>
          </w:p>
        </w:tc>
        <w:tc>
          <w:tcPr>
            <w:tcW w:w="425" w:type="dxa"/>
            <w:vAlign w:val="center"/>
          </w:tcPr>
          <w:p>
            <w:pPr>
              <w:jc w:val="center"/>
              <w:rPr>
                <w:color w:val="000000"/>
                <w:szCs w:val="21"/>
              </w:rPr>
            </w:pPr>
            <w:r>
              <w:rPr>
                <w:color w:val="000000"/>
                <w:szCs w:val="21"/>
              </w:rPr>
              <w:t>湖南省</w:t>
            </w:r>
          </w:p>
        </w:tc>
        <w:tc>
          <w:tcPr>
            <w:tcW w:w="425" w:type="dxa"/>
            <w:vAlign w:val="center"/>
          </w:tcPr>
          <w:p>
            <w:pPr>
              <w:jc w:val="center"/>
              <w:rPr>
                <w:color w:val="000000"/>
                <w:szCs w:val="21"/>
              </w:rPr>
            </w:pPr>
            <w:r>
              <w:rPr>
                <w:color w:val="000000"/>
                <w:szCs w:val="21"/>
              </w:rPr>
              <w:t>邵阳市</w:t>
            </w:r>
          </w:p>
        </w:tc>
        <w:tc>
          <w:tcPr>
            <w:tcW w:w="426" w:type="dxa"/>
            <w:vAlign w:val="center"/>
          </w:tcPr>
          <w:p>
            <w:pPr>
              <w:jc w:val="center"/>
              <w:rPr>
                <w:color w:val="000000"/>
                <w:szCs w:val="21"/>
              </w:rPr>
            </w:pPr>
            <w:r>
              <w:rPr>
                <w:color w:val="000000"/>
                <w:szCs w:val="21"/>
              </w:rPr>
              <w:t>隆回县</w:t>
            </w:r>
          </w:p>
        </w:tc>
        <w:tc>
          <w:tcPr>
            <w:tcW w:w="850" w:type="dxa"/>
            <w:vAlign w:val="center"/>
          </w:tcPr>
          <w:p>
            <w:pPr>
              <w:jc w:val="center"/>
              <w:rPr>
                <w:color w:val="000000"/>
                <w:szCs w:val="21"/>
              </w:rPr>
            </w:pPr>
            <w:r>
              <w:rPr>
                <w:color w:val="000000"/>
                <w:szCs w:val="21"/>
              </w:rPr>
              <w:t>重点管控单元</w:t>
            </w:r>
          </w:p>
        </w:tc>
        <w:tc>
          <w:tcPr>
            <w:tcW w:w="948" w:type="dxa"/>
            <w:vAlign w:val="center"/>
          </w:tcPr>
          <w:p>
            <w:pPr>
              <w:jc w:val="center"/>
              <w:rPr>
                <w:strike/>
                <w:color w:val="000000"/>
                <w:szCs w:val="21"/>
              </w:rPr>
            </w:pPr>
          </w:p>
          <w:p>
            <w:pPr>
              <w:jc w:val="center"/>
              <w:rPr>
                <w:color w:val="000000"/>
                <w:szCs w:val="21"/>
              </w:rPr>
            </w:pPr>
            <w:r>
              <w:rPr>
                <w:color w:val="000000"/>
                <w:szCs w:val="21"/>
              </w:rPr>
              <w:t>331.02</w:t>
            </w:r>
          </w:p>
        </w:tc>
        <w:tc>
          <w:tcPr>
            <w:tcW w:w="1186" w:type="dxa"/>
            <w:vAlign w:val="center"/>
          </w:tcPr>
          <w:p>
            <w:pPr>
              <w:jc w:val="center"/>
              <w:rPr>
                <w:color w:val="000000"/>
                <w:szCs w:val="21"/>
              </w:rPr>
            </w:pPr>
            <w:r>
              <w:rPr>
                <w:color w:val="000000"/>
                <w:szCs w:val="21"/>
              </w:rPr>
              <w:t>花门街道/桃花坪街道/北山镇/三阁司镇/山界回族乡</w:t>
            </w:r>
          </w:p>
        </w:tc>
        <w:tc>
          <w:tcPr>
            <w:tcW w:w="1209" w:type="dxa"/>
            <w:vAlign w:val="center"/>
          </w:tcPr>
          <w:p>
            <w:pPr>
              <w:jc w:val="left"/>
              <w:rPr>
                <w:color w:val="000000"/>
                <w:szCs w:val="21"/>
              </w:rPr>
            </w:pPr>
            <w:r>
              <w:rPr>
                <w:color w:val="000000"/>
                <w:szCs w:val="21"/>
              </w:rPr>
              <w:t>山界回族乡：农产品主产区；</w:t>
            </w:r>
          </w:p>
          <w:p>
            <w:pPr>
              <w:jc w:val="left"/>
              <w:rPr>
                <w:szCs w:val="21"/>
              </w:rPr>
            </w:pPr>
            <w:r>
              <w:rPr>
                <w:color w:val="000000"/>
                <w:szCs w:val="21"/>
              </w:rPr>
              <w:t>北山镇：</w:t>
            </w:r>
            <w:r>
              <w:rPr>
                <w:szCs w:val="21"/>
              </w:rPr>
              <w:t>农产品主产区；</w:t>
            </w:r>
          </w:p>
          <w:p>
            <w:pPr>
              <w:jc w:val="left"/>
              <w:rPr>
                <w:color w:val="000000"/>
                <w:szCs w:val="21"/>
              </w:rPr>
            </w:pPr>
            <w:r>
              <w:rPr>
                <w:color w:val="000000"/>
                <w:szCs w:val="21"/>
              </w:rPr>
              <w:t>三阁司镇/桃花坪街道/花门街道：城市化地区。</w:t>
            </w:r>
          </w:p>
        </w:tc>
        <w:tc>
          <w:tcPr>
            <w:tcW w:w="2234" w:type="dxa"/>
          </w:tcPr>
          <w:p>
            <w:pPr>
              <w:widowControl/>
              <w:rPr>
                <w:b/>
                <w:bCs/>
                <w:color w:val="000000"/>
                <w:szCs w:val="21"/>
              </w:rPr>
            </w:pPr>
            <w:r>
              <w:rPr>
                <w:color w:val="000000"/>
                <w:szCs w:val="21"/>
              </w:rPr>
              <w:t>农业种植、生态农业、畜禽养殖、农副产品加工、食品加工</w:t>
            </w:r>
          </w:p>
          <w:p>
            <w:pPr>
              <w:widowControl/>
              <w:rPr>
                <w:color w:val="000000"/>
                <w:szCs w:val="21"/>
              </w:rPr>
            </w:pPr>
            <w:r>
              <w:rPr>
                <w:b/>
                <w:bCs/>
                <w:color w:val="000000"/>
                <w:szCs w:val="21"/>
              </w:rPr>
              <w:t>花门街道</w:t>
            </w:r>
            <w:r>
              <w:rPr>
                <w:color w:val="000000"/>
                <w:szCs w:val="21"/>
              </w:rPr>
              <w:t>：旅游开发、建材、屠宰、水电、商贸物流业、农业种植、生态农业、畜禽养殖、农副产品加工、食品加工</w:t>
            </w:r>
          </w:p>
          <w:p>
            <w:pPr>
              <w:widowControl/>
              <w:rPr>
                <w:color w:val="000000"/>
                <w:szCs w:val="21"/>
              </w:rPr>
            </w:pPr>
            <w:r>
              <w:rPr>
                <w:b/>
                <w:bCs/>
                <w:color w:val="000000"/>
                <w:szCs w:val="21"/>
              </w:rPr>
              <w:t>桃花坪街道</w:t>
            </w:r>
            <w:r>
              <w:rPr>
                <w:color w:val="000000"/>
                <w:szCs w:val="21"/>
              </w:rPr>
              <w:t>：旅游开发、建材、商贸物流业农业种植、生态农业、畜禽养殖、农副产品加工、食品加工</w:t>
            </w:r>
          </w:p>
          <w:p>
            <w:pPr>
              <w:widowControl/>
              <w:rPr>
                <w:color w:val="000000"/>
                <w:szCs w:val="21"/>
              </w:rPr>
            </w:pPr>
            <w:r>
              <w:rPr>
                <w:b/>
                <w:bCs/>
                <w:color w:val="000000"/>
                <w:szCs w:val="21"/>
              </w:rPr>
              <w:t>北山镇</w:t>
            </w:r>
            <w:r>
              <w:rPr>
                <w:color w:val="000000"/>
                <w:szCs w:val="21"/>
              </w:rPr>
              <w:t>：旅游开发、建材、水电、农业种植、生态农业、畜禽养殖、农副产品加工、食品加工</w:t>
            </w:r>
          </w:p>
          <w:p>
            <w:pPr>
              <w:widowControl/>
              <w:rPr>
                <w:color w:val="000000"/>
                <w:szCs w:val="21"/>
              </w:rPr>
            </w:pPr>
            <w:r>
              <w:rPr>
                <w:b/>
                <w:bCs/>
                <w:color w:val="000000"/>
                <w:szCs w:val="21"/>
              </w:rPr>
              <w:t>三阁司镇</w:t>
            </w:r>
            <w:r>
              <w:rPr>
                <w:color w:val="000000"/>
                <w:szCs w:val="21"/>
              </w:rPr>
              <w:t>：建材、旅游开发、塑料制品、竹木加工、水电、农业种植、生态农业、畜禽养殖、农副产品加工、食品加工</w:t>
            </w:r>
          </w:p>
        </w:tc>
        <w:tc>
          <w:tcPr>
            <w:tcW w:w="3357" w:type="dxa"/>
            <w:gridSpan w:val="2"/>
          </w:tcPr>
          <w:p>
            <w:pPr>
              <w:widowControl/>
              <w:rPr>
                <w:b/>
                <w:color w:val="000000"/>
                <w:kern w:val="0"/>
                <w:szCs w:val="21"/>
              </w:rPr>
            </w:pPr>
            <w:r>
              <w:rPr>
                <w:b/>
                <w:color w:val="000000"/>
                <w:kern w:val="0"/>
                <w:szCs w:val="21"/>
              </w:rPr>
              <w:t>主要环境问题：</w:t>
            </w:r>
          </w:p>
          <w:p>
            <w:pPr>
              <w:widowControl/>
              <w:rPr>
                <w:color w:val="000000"/>
                <w:szCs w:val="21"/>
              </w:rPr>
            </w:pPr>
            <w:r>
              <w:rPr>
                <w:b/>
                <w:bCs/>
                <w:color w:val="000000"/>
                <w:szCs w:val="21"/>
              </w:rPr>
              <w:t>花门街道/桃花坪街道</w:t>
            </w:r>
            <w:r>
              <w:rPr>
                <w:color w:val="000000"/>
                <w:szCs w:val="21"/>
              </w:rPr>
              <w:t>：</w:t>
            </w:r>
          </w:p>
          <w:p>
            <w:pPr>
              <w:widowControl/>
              <w:numPr>
                <w:ilvl w:val="0"/>
                <w:numId w:val="26"/>
              </w:numPr>
            </w:pPr>
            <w:r>
              <w:t>城区生活污水处理能力不足；</w:t>
            </w:r>
          </w:p>
          <w:p>
            <w:pPr>
              <w:widowControl/>
              <w:numPr>
                <w:ilvl w:val="0"/>
                <w:numId w:val="26"/>
              </w:numPr>
            </w:pPr>
            <w:r>
              <w:t>城区管网建设及雨污分流不完善；</w:t>
            </w:r>
          </w:p>
          <w:p>
            <w:pPr>
              <w:widowControl/>
              <w:numPr>
                <w:ilvl w:val="0"/>
                <w:numId w:val="26"/>
              </w:numPr>
            </w:pPr>
            <w:r>
              <w:t>道路扬尘需进一步加强治理；</w:t>
            </w:r>
          </w:p>
          <w:p>
            <w:pPr>
              <w:widowControl/>
              <w:numPr>
                <w:ilvl w:val="0"/>
                <w:numId w:val="26"/>
              </w:numPr>
            </w:pPr>
            <w:r>
              <w:t>建材行业大气污染防治需进一步加强</w:t>
            </w:r>
          </w:p>
          <w:p>
            <w:pPr>
              <w:widowControl/>
              <w:rPr>
                <w:b/>
                <w:bCs/>
                <w:color w:val="000000"/>
                <w:szCs w:val="21"/>
              </w:rPr>
            </w:pPr>
            <w:r>
              <w:rPr>
                <w:b/>
                <w:bCs/>
                <w:color w:val="000000"/>
                <w:szCs w:val="21"/>
              </w:rPr>
              <w:t>北山镇/三阁司镇/山界回族乡：</w:t>
            </w:r>
          </w:p>
          <w:p>
            <w:pPr>
              <w:widowControl/>
              <w:numPr>
                <w:ilvl w:val="0"/>
                <w:numId w:val="27"/>
              </w:numPr>
              <w:rPr>
                <w:color w:val="000000"/>
                <w:szCs w:val="21"/>
              </w:rPr>
            </w:pPr>
            <w:r>
              <w:rPr>
                <w:color w:val="000000"/>
                <w:szCs w:val="21"/>
              </w:rPr>
              <w:t>乡镇生活污水处理厂管网待进一步完善，山界回族乡未建设</w:t>
            </w:r>
            <w:r>
              <w:t>乡生活污水处理厂</w:t>
            </w:r>
            <w:r>
              <w:rPr>
                <w:color w:val="000000"/>
                <w:szCs w:val="21"/>
              </w:rPr>
              <w:t>；</w:t>
            </w:r>
          </w:p>
          <w:p>
            <w:pPr>
              <w:widowControl/>
              <w:numPr>
                <w:ilvl w:val="0"/>
                <w:numId w:val="27"/>
              </w:numPr>
            </w:pPr>
            <w:r>
              <w:rPr>
                <w:color w:val="000000"/>
                <w:szCs w:val="21"/>
              </w:rPr>
              <w:t>农村生活污水需进一步加强治理；</w:t>
            </w:r>
          </w:p>
          <w:p>
            <w:pPr>
              <w:widowControl/>
              <w:numPr>
                <w:ilvl w:val="0"/>
                <w:numId w:val="27"/>
              </w:numPr>
            </w:pPr>
            <w:r>
              <w:rPr>
                <w:color w:val="000000"/>
                <w:szCs w:val="21"/>
              </w:rPr>
              <w:t>农村秸秆焚烧多发；</w:t>
            </w:r>
          </w:p>
          <w:p>
            <w:pPr>
              <w:widowControl/>
              <w:numPr>
                <w:ilvl w:val="0"/>
                <w:numId w:val="27"/>
              </w:numPr>
            </w:pPr>
            <w:r>
              <w:rPr>
                <w:color w:val="000000"/>
                <w:szCs w:val="21"/>
              </w:rPr>
              <w:t>道路扬尘需进一步加强治理；</w:t>
            </w:r>
          </w:p>
          <w:p>
            <w:pPr>
              <w:widowControl/>
              <w:numPr>
                <w:ilvl w:val="0"/>
                <w:numId w:val="27"/>
              </w:numPr>
            </w:pPr>
            <w:r>
              <w:rPr>
                <w:color w:val="000000"/>
                <w:szCs w:val="21"/>
              </w:rPr>
              <w:t>建材行业大气污染防治需进一步加强</w:t>
            </w:r>
          </w:p>
          <w:p>
            <w:pPr>
              <w:widowControl/>
              <w:rPr>
                <w:b/>
                <w:color w:val="000000"/>
                <w:kern w:val="0"/>
                <w:szCs w:val="21"/>
              </w:rPr>
            </w:pPr>
            <w:r>
              <w:rPr>
                <w:b/>
                <w:color w:val="000000"/>
                <w:kern w:val="0"/>
                <w:szCs w:val="21"/>
              </w:rPr>
              <w:t>重要敏感目标：</w:t>
            </w:r>
          </w:p>
          <w:p>
            <w:pPr>
              <w:widowControl/>
            </w:pPr>
            <w:r>
              <w:rPr>
                <w:b/>
                <w:bCs/>
                <w:color w:val="000000"/>
                <w:szCs w:val="21"/>
              </w:rPr>
              <w:t>花门街道</w:t>
            </w:r>
            <w:r>
              <w:rPr>
                <w:color w:val="000000"/>
                <w:szCs w:val="21"/>
              </w:rPr>
              <w:t>：</w:t>
            </w:r>
            <w:r>
              <w:t>第二水厂赧水河饮用水水源保护区</w:t>
            </w:r>
          </w:p>
          <w:p>
            <w:pPr>
              <w:widowControl/>
              <w:rPr>
                <w:color w:val="000000"/>
                <w:szCs w:val="21"/>
              </w:rPr>
            </w:pPr>
            <w:r>
              <w:rPr>
                <w:b/>
                <w:bCs/>
                <w:color w:val="000000"/>
                <w:szCs w:val="21"/>
              </w:rPr>
              <w:t>三阁司镇</w:t>
            </w:r>
            <w:r>
              <w:rPr>
                <w:color w:val="000000"/>
                <w:szCs w:val="21"/>
              </w:rPr>
              <w:t>：</w:t>
            </w:r>
          </w:p>
          <w:p>
            <w:pPr>
              <w:widowControl/>
              <w:numPr>
                <w:ilvl w:val="0"/>
                <w:numId w:val="28"/>
              </w:numPr>
            </w:pPr>
            <w:r>
              <w:t>第二水厂赧水河饮用水水源保护区；</w:t>
            </w:r>
          </w:p>
          <w:p>
            <w:pPr>
              <w:widowControl/>
              <w:numPr>
                <w:ilvl w:val="0"/>
                <w:numId w:val="28"/>
              </w:numPr>
            </w:pPr>
            <w:r>
              <w:t>龙河水厂地下水饮用水水源保护区；</w:t>
            </w:r>
          </w:p>
          <w:p>
            <w:pPr>
              <w:widowControl/>
              <w:numPr>
                <w:ilvl w:val="0"/>
                <w:numId w:val="28"/>
              </w:numPr>
            </w:pPr>
            <w:r>
              <w:t>三阁司镇赧水饮用水水源保护区</w:t>
            </w:r>
          </w:p>
          <w:p>
            <w:pPr>
              <w:widowControl/>
            </w:pPr>
            <w:r>
              <w:rPr>
                <w:b/>
                <w:bCs/>
                <w:color w:val="000000"/>
                <w:szCs w:val="21"/>
              </w:rPr>
              <w:t>山界回族乡：</w:t>
            </w:r>
            <w:r>
              <w:rPr>
                <w:color w:val="000000"/>
                <w:szCs w:val="21"/>
              </w:rPr>
              <w:t>莫洛田水库饮用水水源保护区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line="400" w:lineRule="exact"/>
              <w:jc w:val="center"/>
              <w:rPr>
                <w:b/>
                <w:color w:val="000000"/>
                <w:kern w:val="0"/>
                <w:szCs w:val="21"/>
              </w:rPr>
            </w:pPr>
            <w:r>
              <w:rPr>
                <w:b/>
                <w:color w:val="000000"/>
                <w:kern w:val="0"/>
                <w:szCs w:val="21"/>
              </w:rPr>
              <w:t>主要属性</w:t>
            </w:r>
          </w:p>
        </w:tc>
        <w:tc>
          <w:tcPr>
            <w:tcW w:w="12383" w:type="dxa"/>
            <w:gridSpan w:val="11"/>
            <w:vAlign w:val="center"/>
          </w:tcPr>
          <w:p>
            <w:pPr>
              <w:spacing w:line="400" w:lineRule="exact"/>
              <w:rPr>
                <w:b/>
                <w:bCs/>
                <w:color w:val="000000"/>
                <w:szCs w:val="21"/>
              </w:rPr>
            </w:pPr>
            <w:r>
              <w:rPr>
                <w:b/>
                <w:bCs/>
                <w:color w:val="000000"/>
                <w:szCs w:val="21"/>
              </w:rPr>
              <w:t>花门街道：</w:t>
            </w:r>
          </w:p>
          <w:p>
            <w:pPr>
              <w:numPr>
                <w:ilvl w:val="0"/>
                <w:numId w:val="29"/>
              </w:numPr>
              <w:spacing w:line="400" w:lineRule="exact"/>
              <w:rPr>
                <w:color w:val="000000"/>
                <w:szCs w:val="21"/>
              </w:rPr>
            </w:pPr>
            <w:r>
              <w:rPr>
                <w:color w:val="000000"/>
                <w:szCs w:val="21"/>
              </w:rPr>
              <w:t>红线/一般生态空间/三区三线生态红线/水源涵养重要区/生物多样性保护功能重要区/原生态红线/水土流失敏感区/水环境优先保护区</w:t>
            </w:r>
          </w:p>
          <w:p>
            <w:pPr>
              <w:numPr>
                <w:ilvl w:val="0"/>
                <w:numId w:val="29"/>
              </w:numPr>
              <w:spacing w:line="400" w:lineRule="exact"/>
              <w:rPr>
                <w:color w:val="000000"/>
                <w:szCs w:val="21"/>
              </w:rPr>
            </w:pPr>
            <w:r>
              <w:rPr>
                <w:color w:val="000000"/>
                <w:szCs w:val="21"/>
              </w:rPr>
              <w:t>水环境工业污染重点管控区/水环境一般管控区；</w:t>
            </w:r>
          </w:p>
          <w:p>
            <w:pPr>
              <w:numPr>
                <w:ilvl w:val="0"/>
                <w:numId w:val="29"/>
              </w:numPr>
              <w:spacing w:line="400" w:lineRule="exact"/>
              <w:rPr>
                <w:color w:val="000000"/>
                <w:szCs w:val="21"/>
              </w:rPr>
            </w:pPr>
            <w:r>
              <w:rPr>
                <w:color w:val="000000"/>
                <w:szCs w:val="21"/>
              </w:rPr>
              <w:t>大气环境高排放重点管控区/大气环境受体敏感重点管控区/大气环境弱扩散重点管控区/其他区域；</w:t>
            </w:r>
          </w:p>
          <w:p>
            <w:pPr>
              <w:numPr>
                <w:ilvl w:val="0"/>
                <w:numId w:val="29"/>
              </w:numPr>
              <w:spacing w:line="400" w:lineRule="exact"/>
              <w:rPr>
                <w:color w:val="000000"/>
                <w:szCs w:val="21"/>
              </w:rPr>
            </w:pPr>
            <w:r>
              <w:rPr>
                <w:color w:val="000000"/>
                <w:szCs w:val="21"/>
              </w:rPr>
              <w:t>农用地优先保护区/建设用地重点管控区/其他重点管控区/一般管控区；</w:t>
            </w:r>
          </w:p>
          <w:p>
            <w:pPr>
              <w:numPr>
                <w:ilvl w:val="0"/>
                <w:numId w:val="29"/>
              </w:numPr>
              <w:spacing w:line="400" w:lineRule="exact"/>
            </w:pPr>
            <w:r>
              <w:rPr>
                <w:color w:val="000000"/>
                <w:szCs w:val="21"/>
              </w:rPr>
              <w:t>城市化地区</w:t>
            </w:r>
          </w:p>
          <w:p>
            <w:pPr>
              <w:spacing w:line="400" w:lineRule="exact"/>
              <w:rPr>
                <w:b/>
                <w:bCs/>
                <w:color w:val="000000"/>
                <w:szCs w:val="21"/>
              </w:rPr>
            </w:pPr>
            <w:r>
              <w:rPr>
                <w:b/>
                <w:bCs/>
                <w:color w:val="000000"/>
                <w:szCs w:val="21"/>
              </w:rPr>
              <w:t>桃花坪街道：</w:t>
            </w:r>
          </w:p>
          <w:p>
            <w:pPr>
              <w:numPr>
                <w:ilvl w:val="0"/>
                <w:numId w:val="30"/>
              </w:numPr>
              <w:spacing w:line="400" w:lineRule="exact"/>
              <w:rPr>
                <w:color w:val="000000"/>
                <w:szCs w:val="21"/>
              </w:rPr>
            </w:pPr>
            <w:r>
              <w:rPr>
                <w:color w:val="000000"/>
                <w:szCs w:val="21"/>
              </w:rPr>
              <w:t>红线/一般生态空间/水源涵养重要区/三区三线生态红线/生物多样性保护功能重要区/原生态红线/水土流失敏感区</w:t>
            </w:r>
          </w:p>
          <w:p>
            <w:pPr>
              <w:numPr>
                <w:ilvl w:val="0"/>
                <w:numId w:val="30"/>
              </w:numPr>
              <w:spacing w:line="400" w:lineRule="exact"/>
              <w:rPr>
                <w:color w:val="000000"/>
                <w:szCs w:val="21"/>
              </w:rPr>
            </w:pPr>
            <w:r>
              <w:rPr>
                <w:color w:val="000000"/>
                <w:szCs w:val="21"/>
              </w:rPr>
              <w:t>水环境工业污染重点管控区/水环境一般管控区；</w:t>
            </w:r>
          </w:p>
          <w:p>
            <w:pPr>
              <w:numPr>
                <w:ilvl w:val="0"/>
                <w:numId w:val="30"/>
              </w:numPr>
              <w:spacing w:line="400" w:lineRule="exact"/>
              <w:rPr>
                <w:color w:val="000000"/>
                <w:szCs w:val="21"/>
              </w:rPr>
            </w:pPr>
            <w:r>
              <w:rPr>
                <w:color w:val="000000"/>
                <w:szCs w:val="21"/>
              </w:rPr>
              <w:t>大气环境高排放重点管控区/大气环境受体敏感重点管控区/大气环境弱扩散重点管控区/其他区域；</w:t>
            </w:r>
          </w:p>
          <w:p>
            <w:pPr>
              <w:numPr>
                <w:ilvl w:val="0"/>
                <w:numId w:val="30"/>
              </w:numPr>
              <w:spacing w:line="400" w:lineRule="exact"/>
              <w:rPr>
                <w:color w:val="000000"/>
                <w:szCs w:val="21"/>
              </w:rPr>
            </w:pPr>
            <w:r>
              <w:rPr>
                <w:color w:val="000000"/>
                <w:szCs w:val="21"/>
              </w:rPr>
              <w:t>农用地优先保护区/建设用地重点管控区/其他重点管控区/一般管控区；</w:t>
            </w:r>
          </w:p>
          <w:p>
            <w:pPr>
              <w:numPr>
                <w:ilvl w:val="0"/>
                <w:numId w:val="30"/>
              </w:numPr>
              <w:spacing w:line="400" w:lineRule="exact"/>
            </w:pPr>
            <w:r>
              <w:rPr>
                <w:color w:val="000000"/>
                <w:szCs w:val="21"/>
              </w:rPr>
              <w:t>城市化地区；高污染燃料禁燃区</w:t>
            </w:r>
          </w:p>
          <w:p>
            <w:pPr>
              <w:spacing w:line="400" w:lineRule="exact"/>
              <w:rPr>
                <w:b/>
                <w:bCs/>
                <w:color w:val="000000"/>
                <w:szCs w:val="21"/>
              </w:rPr>
            </w:pPr>
            <w:r>
              <w:rPr>
                <w:b/>
                <w:bCs/>
                <w:color w:val="000000"/>
                <w:szCs w:val="21"/>
              </w:rPr>
              <w:t>北山镇：</w:t>
            </w:r>
          </w:p>
          <w:p>
            <w:pPr>
              <w:numPr>
                <w:ilvl w:val="0"/>
                <w:numId w:val="31"/>
              </w:numPr>
              <w:spacing w:line="400" w:lineRule="exact"/>
              <w:rPr>
                <w:color w:val="000000"/>
                <w:szCs w:val="21"/>
              </w:rPr>
            </w:pPr>
            <w:r>
              <w:rPr>
                <w:color w:val="000000"/>
                <w:szCs w:val="21"/>
              </w:rPr>
              <w:t>红线/一般生态空间/三区三线生态红线/水源涵养重要区/生物多样性保护功能重要区/原生态红线/水土流失敏感区</w:t>
            </w:r>
          </w:p>
          <w:p>
            <w:pPr>
              <w:numPr>
                <w:ilvl w:val="0"/>
                <w:numId w:val="31"/>
              </w:numPr>
              <w:spacing w:line="400" w:lineRule="exact"/>
              <w:rPr>
                <w:color w:val="000000"/>
                <w:szCs w:val="21"/>
              </w:rPr>
            </w:pPr>
            <w:r>
              <w:rPr>
                <w:color w:val="000000"/>
                <w:szCs w:val="21"/>
              </w:rPr>
              <w:t>水环境一般管控区；</w:t>
            </w:r>
          </w:p>
          <w:p>
            <w:pPr>
              <w:numPr>
                <w:ilvl w:val="0"/>
                <w:numId w:val="31"/>
              </w:numPr>
              <w:spacing w:line="400" w:lineRule="exact"/>
              <w:rPr>
                <w:color w:val="000000"/>
                <w:szCs w:val="21"/>
              </w:rPr>
            </w:pPr>
            <w:r>
              <w:rPr>
                <w:color w:val="000000"/>
                <w:szCs w:val="21"/>
              </w:rPr>
              <w:t>大气环境高排放重点管控区/大气环境受体敏感重点管控区/大气环境弱扩散重点管控区/其他区域；</w:t>
            </w:r>
          </w:p>
          <w:p>
            <w:pPr>
              <w:numPr>
                <w:ilvl w:val="0"/>
                <w:numId w:val="31"/>
              </w:numPr>
              <w:spacing w:line="400" w:lineRule="exact"/>
              <w:rPr>
                <w:color w:val="000000"/>
                <w:szCs w:val="21"/>
              </w:rPr>
            </w:pPr>
            <w:r>
              <w:rPr>
                <w:color w:val="000000"/>
                <w:szCs w:val="21"/>
              </w:rPr>
              <w:t>农用地优先保护区/建设用地重点管控区/其他重点管控区/一般管控区；</w:t>
            </w:r>
          </w:p>
          <w:p>
            <w:pPr>
              <w:numPr>
                <w:ilvl w:val="0"/>
                <w:numId w:val="31"/>
              </w:numPr>
              <w:spacing w:line="400" w:lineRule="exact"/>
              <w:rPr>
                <w:color w:val="000000"/>
                <w:szCs w:val="21"/>
              </w:rPr>
            </w:pPr>
            <w:r>
              <w:rPr>
                <w:color w:val="000000"/>
                <w:szCs w:val="21"/>
              </w:rPr>
              <w:t>城市化地区</w:t>
            </w:r>
          </w:p>
          <w:p>
            <w:pPr>
              <w:spacing w:line="400" w:lineRule="exact"/>
              <w:rPr>
                <w:b/>
                <w:bCs/>
                <w:color w:val="000000"/>
                <w:szCs w:val="21"/>
              </w:rPr>
            </w:pPr>
            <w:r>
              <w:rPr>
                <w:b/>
                <w:bCs/>
                <w:color w:val="000000"/>
                <w:szCs w:val="21"/>
              </w:rPr>
              <w:t>三阁司镇：</w:t>
            </w:r>
          </w:p>
          <w:p>
            <w:pPr>
              <w:numPr>
                <w:ilvl w:val="0"/>
                <w:numId w:val="32"/>
              </w:numPr>
              <w:spacing w:line="400" w:lineRule="exact"/>
              <w:rPr>
                <w:color w:val="000000"/>
                <w:szCs w:val="21"/>
              </w:rPr>
            </w:pPr>
            <w:r>
              <w:rPr>
                <w:color w:val="000000"/>
                <w:szCs w:val="21"/>
              </w:rPr>
              <w:t>红线/一般生态空间/三区三线生态红线/水源涵养重要区/生物多样性保护功能重要区/原生态红线/水土流失敏感区</w:t>
            </w:r>
          </w:p>
          <w:p>
            <w:pPr>
              <w:numPr>
                <w:ilvl w:val="0"/>
                <w:numId w:val="32"/>
              </w:numPr>
              <w:spacing w:line="400" w:lineRule="exact"/>
              <w:rPr>
                <w:color w:val="000000"/>
                <w:szCs w:val="21"/>
              </w:rPr>
            </w:pPr>
            <w:r>
              <w:rPr>
                <w:color w:val="000000"/>
                <w:szCs w:val="21"/>
              </w:rPr>
              <w:t>水环境优先保护区/水环境一般管控区；</w:t>
            </w:r>
          </w:p>
          <w:p>
            <w:pPr>
              <w:numPr>
                <w:ilvl w:val="0"/>
                <w:numId w:val="32"/>
              </w:numPr>
              <w:spacing w:line="400" w:lineRule="exact"/>
              <w:rPr>
                <w:color w:val="000000"/>
                <w:szCs w:val="21"/>
              </w:rPr>
            </w:pPr>
            <w:r>
              <w:rPr>
                <w:color w:val="000000"/>
                <w:szCs w:val="21"/>
              </w:rPr>
              <w:t>大气环境高排放重点管控区/大气环境受体敏感重点管控区/大气环境弱扩散重点管控区/其他区域；</w:t>
            </w:r>
          </w:p>
          <w:p>
            <w:pPr>
              <w:numPr>
                <w:ilvl w:val="0"/>
                <w:numId w:val="32"/>
              </w:numPr>
              <w:spacing w:line="400" w:lineRule="exact"/>
              <w:rPr>
                <w:color w:val="000000"/>
                <w:szCs w:val="21"/>
              </w:rPr>
            </w:pPr>
            <w:r>
              <w:rPr>
                <w:color w:val="000000"/>
                <w:szCs w:val="21"/>
              </w:rPr>
              <w:t>农用地优先保护区/建设用地重点管控区/其他重点管控区/一般管控区；</w:t>
            </w:r>
          </w:p>
          <w:p>
            <w:pPr>
              <w:numPr>
                <w:ilvl w:val="0"/>
                <w:numId w:val="32"/>
              </w:numPr>
              <w:spacing w:line="400" w:lineRule="exact"/>
              <w:rPr>
                <w:color w:val="000000"/>
                <w:szCs w:val="21"/>
              </w:rPr>
            </w:pPr>
            <w:r>
              <w:rPr>
                <w:color w:val="000000"/>
                <w:szCs w:val="21"/>
              </w:rPr>
              <w:t>城市化地区</w:t>
            </w:r>
          </w:p>
          <w:p>
            <w:pPr>
              <w:spacing w:line="400" w:lineRule="exact"/>
              <w:rPr>
                <w:b/>
                <w:bCs/>
                <w:color w:val="000000"/>
                <w:szCs w:val="21"/>
              </w:rPr>
            </w:pPr>
            <w:r>
              <w:rPr>
                <w:b/>
                <w:bCs/>
                <w:color w:val="000000"/>
                <w:szCs w:val="21"/>
              </w:rPr>
              <w:t>山界回族乡：</w:t>
            </w:r>
          </w:p>
          <w:p>
            <w:pPr>
              <w:numPr>
                <w:ilvl w:val="0"/>
                <w:numId w:val="33"/>
              </w:numPr>
              <w:spacing w:line="400" w:lineRule="exact"/>
              <w:rPr>
                <w:color w:val="000000"/>
                <w:szCs w:val="21"/>
              </w:rPr>
            </w:pPr>
            <w:r>
              <w:rPr>
                <w:color w:val="000000"/>
                <w:szCs w:val="21"/>
              </w:rPr>
              <w:t>红线/三区三线生态红线</w:t>
            </w:r>
          </w:p>
          <w:p>
            <w:pPr>
              <w:numPr>
                <w:ilvl w:val="0"/>
                <w:numId w:val="33"/>
              </w:numPr>
              <w:spacing w:line="400" w:lineRule="exact"/>
              <w:rPr>
                <w:color w:val="000000"/>
                <w:szCs w:val="21"/>
              </w:rPr>
            </w:pPr>
            <w:r>
              <w:rPr>
                <w:color w:val="000000"/>
                <w:szCs w:val="21"/>
              </w:rPr>
              <w:t>水环境一般管控区；</w:t>
            </w:r>
          </w:p>
          <w:p>
            <w:pPr>
              <w:numPr>
                <w:ilvl w:val="0"/>
                <w:numId w:val="33"/>
              </w:numPr>
              <w:spacing w:line="400" w:lineRule="exact"/>
              <w:rPr>
                <w:color w:val="000000"/>
                <w:szCs w:val="21"/>
              </w:rPr>
            </w:pPr>
            <w:r>
              <w:rPr>
                <w:color w:val="000000"/>
                <w:szCs w:val="21"/>
              </w:rPr>
              <w:t>大气环境受体敏感重点管控区/大气环境弱扩散重点管控区/其他区域；</w:t>
            </w:r>
          </w:p>
          <w:p>
            <w:pPr>
              <w:numPr>
                <w:ilvl w:val="0"/>
                <w:numId w:val="33"/>
              </w:numPr>
              <w:spacing w:line="400" w:lineRule="exact"/>
              <w:rPr>
                <w:color w:val="000000"/>
                <w:szCs w:val="21"/>
              </w:rPr>
            </w:pPr>
            <w:r>
              <w:rPr>
                <w:color w:val="000000"/>
                <w:szCs w:val="21"/>
              </w:rPr>
              <w:t>农用地优先保护区/建设用地重点管控区/其他重点管控区/一般管控区；</w:t>
            </w:r>
          </w:p>
          <w:p>
            <w:pPr>
              <w:numPr>
                <w:ilvl w:val="0"/>
                <w:numId w:val="33"/>
              </w:numPr>
              <w:spacing w:line="400" w:lineRule="exact"/>
              <w:rPr>
                <w:color w:val="000000"/>
                <w:szCs w:val="21"/>
              </w:rPr>
            </w:pPr>
            <w:r>
              <w:rPr>
                <w:color w:val="000000"/>
                <w:szCs w:val="21"/>
              </w:rPr>
              <w:t>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line="400" w:lineRule="exact"/>
              <w:jc w:val="center"/>
              <w:rPr>
                <w:b/>
                <w:color w:val="000000"/>
                <w:szCs w:val="21"/>
              </w:rPr>
            </w:pPr>
            <w:r>
              <w:rPr>
                <w:b/>
                <w:color w:val="000000"/>
                <w:szCs w:val="21"/>
              </w:rPr>
              <w:t>管控维度</w:t>
            </w:r>
          </w:p>
        </w:tc>
        <w:tc>
          <w:tcPr>
            <w:tcW w:w="9647" w:type="dxa"/>
            <w:gridSpan w:val="10"/>
            <w:vAlign w:val="center"/>
          </w:tcPr>
          <w:p>
            <w:pPr>
              <w:spacing w:line="400" w:lineRule="exact"/>
              <w:jc w:val="center"/>
              <w:rPr>
                <w:b/>
                <w:color w:val="000000"/>
                <w:szCs w:val="21"/>
              </w:rPr>
            </w:pPr>
            <w:r>
              <w:rPr>
                <w:b/>
                <w:color w:val="000000"/>
                <w:kern w:val="0"/>
                <w:szCs w:val="21"/>
              </w:rPr>
              <w:t>管控要求</w:t>
            </w:r>
          </w:p>
        </w:tc>
        <w:tc>
          <w:tcPr>
            <w:tcW w:w="2736" w:type="dxa"/>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line="400" w:lineRule="exact"/>
              <w:jc w:val="center"/>
              <w:rPr>
                <w:color w:val="000000"/>
                <w:szCs w:val="21"/>
              </w:rPr>
            </w:pPr>
            <w:r>
              <w:rPr>
                <w:color w:val="000000"/>
                <w:szCs w:val="21"/>
              </w:rPr>
              <w:t>空间布局约束</w:t>
            </w:r>
          </w:p>
        </w:tc>
        <w:tc>
          <w:tcPr>
            <w:tcW w:w="9647" w:type="dxa"/>
            <w:gridSpan w:val="10"/>
            <w:vAlign w:val="center"/>
          </w:tcPr>
          <w:p>
            <w:pPr>
              <w:tabs>
                <w:tab w:val="left" w:pos="1021"/>
              </w:tabs>
              <w:spacing w:line="40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40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400" w:lineRule="exact"/>
              <w:rPr>
                <w:szCs w:val="21"/>
              </w:rPr>
            </w:pPr>
            <w:r>
              <w:rPr>
                <w:szCs w:val="21"/>
              </w:rPr>
              <w:t>（1.3）严禁在饮用水源保护区、自然保护地等环境敏感区、重要生态功能保护区内开发利用矿产资源。</w:t>
            </w:r>
          </w:p>
          <w:p>
            <w:pPr>
              <w:tabs>
                <w:tab w:val="left" w:pos="1021"/>
              </w:tabs>
              <w:spacing w:line="400" w:lineRule="exact"/>
              <w:rPr>
                <w:szCs w:val="21"/>
              </w:rPr>
            </w:pPr>
            <w:r>
              <w:rPr>
                <w:szCs w:val="21"/>
              </w:rPr>
              <w:t>（1.4）在城市紫线范围</w:t>
            </w:r>
            <w:r>
              <w:rPr>
                <w:rFonts w:hint="eastAsia"/>
                <w:szCs w:val="21"/>
              </w:rPr>
              <w:t>（包包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40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40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tc>
        <w:tc>
          <w:tcPr>
            <w:tcW w:w="2736" w:type="dxa"/>
            <w:vMerge w:val="restart"/>
          </w:tcPr>
          <w:p>
            <w:pPr>
              <w:widowControl/>
              <w:tabs>
                <w:tab w:val="left" w:pos="1021"/>
              </w:tabs>
              <w:spacing w:line="400" w:lineRule="exact"/>
              <w:rPr>
                <w:color w:val="000000"/>
                <w:szCs w:val="21"/>
              </w:rPr>
            </w:pPr>
            <w:r>
              <w:rPr>
                <w:rStyle w:val="12"/>
                <w:b w:val="0"/>
                <w:color w:val="000000"/>
              </w:rPr>
              <w:t>（1.1</w:t>
            </w:r>
            <w:r>
              <w:rPr>
                <w:szCs w:val="21"/>
              </w:rPr>
              <w:t>）（1.2）（1.3）（1.4）（1.5）</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400" w:lineRule="exact"/>
              <w:rPr>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line="400" w:lineRule="exact"/>
              <w:jc w:val="center"/>
              <w:rPr>
                <w:color w:val="000000"/>
                <w:szCs w:val="21"/>
              </w:rPr>
            </w:pPr>
            <w:r>
              <w:rPr>
                <w:color w:val="000000"/>
                <w:szCs w:val="21"/>
              </w:rPr>
              <w:t>污染物排放管控</w:t>
            </w:r>
          </w:p>
        </w:tc>
        <w:tc>
          <w:tcPr>
            <w:tcW w:w="9647" w:type="dxa"/>
            <w:gridSpan w:val="10"/>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400" w:lineRule="exact"/>
              <w:ind w:firstLine="420" w:firstLineChars="200"/>
              <w:rPr>
                <w:color w:val="000000"/>
                <w:szCs w:val="21"/>
              </w:rPr>
            </w:pPr>
            <w:r>
              <w:rPr>
                <w:bCs/>
                <w:szCs w:val="30"/>
              </w:rPr>
              <w:t>（2.1.2）全面实施《隆回县隆回县县域农村生活污水处理专项规划》，加快推进乡镇污水处理厂建设，实现污水处理设施乡镇全覆盖。</w:t>
            </w:r>
          </w:p>
          <w:p>
            <w:pPr>
              <w:tabs>
                <w:tab w:val="left" w:pos="1021"/>
              </w:tabs>
              <w:spacing w:line="40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40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400" w:lineRule="exact"/>
              <w:ind w:firstLine="420" w:firstLineChars="200"/>
              <w:rPr>
                <w:bCs/>
                <w:szCs w:val="30"/>
              </w:rPr>
            </w:pPr>
            <w:r>
              <w:rPr>
                <w:bCs/>
                <w:szCs w:val="30"/>
              </w:rPr>
              <w:t>（2.2.3）推进PM2.5与臭氧协同治理，强化重点行业NOx深度治理，控制挥发性有机物排放，加强扬尘污染治理，兼顾移动源污染治理，积极应对重污染天气。</w:t>
            </w:r>
          </w:p>
          <w:p>
            <w:pPr>
              <w:tabs>
                <w:tab w:val="left" w:pos="1021"/>
              </w:tabs>
              <w:spacing w:line="400" w:lineRule="exact"/>
              <w:ind w:firstLine="420" w:firstLineChars="200"/>
              <w:rPr>
                <w:bCs/>
                <w:szCs w:val="30"/>
              </w:rPr>
            </w:pPr>
            <w:r>
              <w:rPr>
                <w:bCs/>
                <w:szCs w:val="30"/>
              </w:rPr>
              <w:t>（2.2.4）到2025年，县城空气质量指数达到优良天数占比90%以上。</w:t>
            </w:r>
          </w:p>
          <w:p>
            <w:pPr>
              <w:tabs>
                <w:tab w:val="left" w:pos="1021"/>
              </w:tabs>
              <w:spacing w:line="40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2736"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line="400" w:lineRule="exact"/>
              <w:jc w:val="center"/>
              <w:rPr>
                <w:color w:val="000000"/>
                <w:szCs w:val="21"/>
              </w:rPr>
            </w:pPr>
            <w:r>
              <w:rPr>
                <w:color w:val="000000"/>
                <w:szCs w:val="21"/>
              </w:rPr>
              <w:t>环境风险防控</w:t>
            </w:r>
          </w:p>
        </w:tc>
        <w:tc>
          <w:tcPr>
            <w:tcW w:w="9647" w:type="dxa"/>
            <w:gridSpan w:val="10"/>
            <w:vAlign w:val="center"/>
          </w:tcPr>
          <w:p>
            <w:pPr>
              <w:tabs>
                <w:tab w:val="left" w:pos="1021"/>
              </w:tabs>
              <w:spacing w:line="400" w:lineRule="exact"/>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tabs>
                <w:tab w:val="left" w:pos="1021"/>
              </w:tabs>
              <w:spacing w:line="400" w:lineRule="exact"/>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tabs>
                <w:tab w:val="left" w:pos="1021"/>
              </w:tabs>
              <w:spacing w:line="400" w:lineRule="exact"/>
              <w:rPr>
                <w:color w:val="000000"/>
                <w:szCs w:val="21"/>
              </w:rPr>
            </w:pPr>
            <w:r>
              <w:rPr>
                <w:color w:val="000000"/>
                <w:szCs w:val="21"/>
              </w:rPr>
              <w:t>（3.3）</w:t>
            </w:r>
            <w:r>
              <w:rPr>
                <w:bCs/>
                <w:szCs w:val="30"/>
              </w:rPr>
              <w:t>加强重点城镇饮用水源地一级保护区隔离工程、饮用水源地环境监管能力建设。</w:t>
            </w:r>
          </w:p>
          <w:p>
            <w:pPr>
              <w:tabs>
                <w:tab w:val="left" w:pos="1021"/>
              </w:tabs>
              <w:spacing w:line="400" w:lineRule="exact"/>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p>
            <w:pPr>
              <w:tabs>
                <w:tab w:val="left" w:pos="1021"/>
              </w:tabs>
              <w:spacing w:line="400" w:lineRule="exact"/>
              <w:rPr>
                <w:bCs/>
                <w:szCs w:val="30"/>
              </w:rPr>
            </w:pPr>
            <w:r>
              <w:rPr>
                <w:bCs/>
                <w:szCs w:val="30"/>
              </w:rPr>
              <w:t>（3.5）加强对工业园区、饮用水水源保护区、自然保护地等重点地区和砖瓦、造纸等重点行业的监管。</w:t>
            </w:r>
          </w:p>
        </w:tc>
        <w:tc>
          <w:tcPr>
            <w:tcW w:w="2736"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line="400" w:lineRule="exact"/>
              <w:jc w:val="center"/>
              <w:rPr>
                <w:color w:val="000000"/>
                <w:szCs w:val="21"/>
              </w:rPr>
            </w:pPr>
            <w:r>
              <w:rPr>
                <w:color w:val="000000"/>
                <w:szCs w:val="21"/>
              </w:rPr>
              <w:t>资源开发效率要求</w:t>
            </w:r>
          </w:p>
        </w:tc>
        <w:tc>
          <w:tcPr>
            <w:tcW w:w="9647" w:type="dxa"/>
            <w:gridSpan w:val="10"/>
          </w:tcPr>
          <w:p>
            <w:pPr>
              <w:tabs>
                <w:tab w:val="left" w:pos="1021"/>
              </w:tabs>
              <w:spacing w:line="400" w:lineRule="exact"/>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tabs>
                <w:tab w:val="left" w:pos="1021"/>
              </w:tabs>
              <w:spacing w:line="400" w:lineRule="exact"/>
              <w:rPr>
                <w:bCs/>
                <w:color w:val="000000"/>
                <w:szCs w:val="21"/>
              </w:rPr>
            </w:pPr>
            <w:r>
              <w:rPr>
                <w:bCs/>
                <w:color w:val="000000"/>
                <w:szCs w:val="21"/>
              </w:rPr>
              <w:t>（4.2）水资源：</w:t>
            </w:r>
          </w:p>
          <w:p>
            <w:pPr>
              <w:tabs>
                <w:tab w:val="left" w:pos="1021"/>
              </w:tabs>
              <w:spacing w:line="400" w:lineRule="exact"/>
              <w:ind w:firstLine="420" w:firstLineChars="200"/>
              <w:rPr>
                <w:bCs/>
                <w:color w:val="000000"/>
                <w:szCs w:val="21"/>
              </w:rPr>
            </w:pPr>
            <w:r>
              <w:rPr>
                <w:bCs/>
                <w:color w:val="000000"/>
                <w:szCs w:val="21"/>
              </w:rPr>
              <w:t>（4.2.1）加强水资源、集约高效利用，执行最严格的水资源保护管理制度。</w:t>
            </w:r>
          </w:p>
          <w:p>
            <w:pPr>
              <w:tabs>
                <w:tab w:val="left" w:pos="1021"/>
              </w:tabs>
              <w:spacing w:line="400" w:lineRule="exact"/>
              <w:ind w:firstLine="420" w:firstLineChars="200"/>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tabs>
                <w:tab w:val="left" w:pos="1021"/>
              </w:tabs>
              <w:spacing w:line="400" w:lineRule="exact"/>
              <w:rPr>
                <w:bCs/>
                <w:color w:val="000000"/>
                <w:szCs w:val="21"/>
              </w:rPr>
            </w:pPr>
            <w:r>
              <w:rPr>
                <w:bCs/>
                <w:color w:val="000000"/>
                <w:szCs w:val="21"/>
              </w:rPr>
              <w:t>（4.3）土地资源：</w:t>
            </w:r>
          </w:p>
          <w:p>
            <w:pPr>
              <w:tabs>
                <w:tab w:val="left" w:pos="1021"/>
              </w:tabs>
              <w:spacing w:line="400" w:lineRule="exact"/>
              <w:ind w:firstLine="420" w:firstLineChars="200"/>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tabs>
                <w:tab w:val="left" w:pos="1021"/>
              </w:tabs>
              <w:spacing w:line="400" w:lineRule="exact"/>
              <w:ind w:firstLine="420" w:firstLineChars="200"/>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tabs>
                <w:tab w:val="left" w:pos="1021"/>
              </w:tabs>
              <w:spacing w:line="400" w:lineRule="exact"/>
              <w:ind w:firstLine="420" w:firstLineChars="200"/>
              <w:rPr>
                <w:bCs/>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2736" w:type="dxa"/>
            <w:vMerge w:val="continue"/>
            <w:vAlign w:val="center"/>
          </w:tcPr>
          <w:p>
            <w:pPr>
              <w:spacing w:line="400" w:lineRule="exact"/>
            </w:pPr>
          </w:p>
        </w:tc>
      </w:tr>
    </w:tbl>
    <w:p>
      <w:pPr>
        <w:spacing w:line="400" w:lineRule="exact"/>
        <w:rPr>
          <w:color w:val="000000"/>
          <w:szCs w:val="21"/>
        </w:rPr>
      </w:pPr>
    </w:p>
    <w:p>
      <w:pPr>
        <w:widowControl/>
        <w:jc w:val="left"/>
        <w:rPr>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924"/>
        <w:gridCol w:w="489"/>
        <w:gridCol w:w="489"/>
        <w:gridCol w:w="489"/>
        <w:gridCol w:w="581"/>
        <w:gridCol w:w="906"/>
        <w:gridCol w:w="983"/>
        <w:gridCol w:w="1217"/>
        <w:gridCol w:w="2665"/>
        <w:gridCol w:w="19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8" w:type="dxa"/>
            <w:vMerge w:val="restart"/>
            <w:vAlign w:val="center"/>
          </w:tcPr>
          <w:p>
            <w:pPr>
              <w:widowControl/>
              <w:jc w:val="center"/>
              <w:rPr>
                <w:b/>
                <w:color w:val="000000"/>
                <w:kern w:val="0"/>
                <w:szCs w:val="21"/>
              </w:rPr>
            </w:pPr>
            <w:r>
              <w:rPr>
                <w:b/>
                <w:color w:val="000000"/>
                <w:kern w:val="0"/>
                <w:szCs w:val="21"/>
              </w:rPr>
              <w:t>环境管控单元编码</w:t>
            </w:r>
          </w:p>
        </w:tc>
        <w:tc>
          <w:tcPr>
            <w:tcW w:w="924" w:type="dxa"/>
            <w:vMerge w:val="restart"/>
            <w:vAlign w:val="center"/>
          </w:tcPr>
          <w:p>
            <w:pPr>
              <w:widowControl/>
              <w:jc w:val="center"/>
              <w:rPr>
                <w:b/>
                <w:color w:val="000000"/>
                <w:kern w:val="0"/>
                <w:szCs w:val="21"/>
              </w:rPr>
            </w:pPr>
            <w:r>
              <w:rPr>
                <w:b/>
                <w:color w:val="000000"/>
                <w:kern w:val="0"/>
                <w:szCs w:val="21"/>
              </w:rPr>
              <w:t>单元名称</w:t>
            </w:r>
          </w:p>
        </w:tc>
        <w:tc>
          <w:tcPr>
            <w:tcW w:w="1467" w:type="dxa"/>
            <w:gridSpan w:val="3"/>
            <w:vAlign w:val="center"/>
          </w:tcPr>
          <w:p>
            <w:pPr>
              <w:widowControl/>
              <w:jc w:val="center"/>
              <w:rPr>
                <w:b/>
                <w:color w:val="000000"/>
                <w:kern w:val="0"/>
                <w:szCs w:val="21"/>
              </w:rPr>
            </w:pPr>
            <w:r>
              <w:rPr>
                <w:b/>
                <w:color w:val="000000"/>
                <w:kern w:val="0"/>
                <w:szCs w:val="21"/>
              </w:rPr>
              <w:t>行政区划</w:t>
            </w:r>
          </w:p>
        </w:tc>
        <w:tc>
          <w:tcPr>
            <w:tcW w:w="581" w:type="dxa"/>
            <w:vMerge w:val="restart"/>
            <w:vAlign w:val="center"/>
          </w:tcPr>
          <w:p>
            <w:pPr>
              <w:widowControl/>
              <w:jc w:val="center"/>
              <w:rPr>
                <w:b/>
                <w:color w:val="000000"/>
                <w:kern w:val="0"/>
                <w:szCs w:val="21"/>
              </w:rPr>
            </w:pPr>
            <w:r>
              <w:rPr>
                <w:b/>
                <w:color w:val="000000"/>
                <w:kern w:val="0"/>
                <w:szCs w:val="21"/>
              </w:rPr>
              <w:t>单元分类</w:t>
            </w:r>
          </w:p>
        </w:tc>
        <w:tc>
          <w:tcPr>
            <w:tcW w:w="906"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983" w:type="dxa"/>
            <w:vMerge w:val="restart"/>
            <w:vAlign w:val="center"/>
          </w:tcPr>
          <w:p>
            <w:pPr>
              <w:jc w:val="center"/>
              <w:rPr>
                <w:b/>
                <w:color w:val="000000"/>
                <w:kern w:val="0"/>
                <w:szCs w:val="21"/>
              </w:rPr>
            </w:pPr>
            <w:r>
              <w:rPr>
                <w:b/>
                <w:color w:val="000000"/>
                <w:kern w:val="0"/>
                <w:szCs w:val="21"/>
              </w:rPr>
              <w:t>涉及乡镇(街道)</w:t>
            </w:r>
          </w:p>
        </w:tc>
        <w:tc>
          <w:tcPr>
            <w:tcW w:w="1217" w:type="dxa"/>
            <w:vMerge w:val="restart"/>
            <w:vAlign w:val="center"/>
          </w:tcPr>
          <w:p>
            <w:pPr>
              <w:jc w:val="center"/>
              <w:rPr>
                <w:b/>
                <w:color w:val="000000"/>
                <w:kern w:val="0"/>
                <w:szCs w:val="21"/>
              </w:rPr>
            </w:pPr>
            <w:r>
              <w:rPr>
                <w:b/>
                <w:color w:val="000000"/>
                <w:kern w:val="0"/>
                <w:szCs w:val="21"/>
              </w:rPr>
              <w:t>主体功能定位①</w:t>
            </w:r>
          </w:p>
        </w:tc>
        <w:tc>
          <w:tcPr>
            <w:tcW w:w="2855" w:type="dxa"/>
            <w:gridSpan w:val="2"/>
            <w:vMerge w:val="restart"/>
            <w:vAlign w:val="center"/>
          </w:tcPr>
          <w:p>
            <w:pPr>
              <w:jc w:val="center"/>
              <w:rPr>
                <w:b/>
                <w:color w:val="000000"/>
                <w:kern w:val="0"/>
                <w:szCs w:val="21"/>
              </w:rPr>
            </w:pPr>
            <w:r>
              <w:rPr>
                <w:b/>
                <w:color w:val="000000"/>
                <w:kern w:val="0"/>
                <w:szCs w:val="21"/>
              </w:rPr>
              <w:t>经济产业布局</w:t>
            </w:r>
          </w:p>
        </w:tc>
        <w:tc>
          <w:tcPr>
            <w:tcW w:w="3553" w:type="dxa"/>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88" w:type="dxa"/>
            <w:vMerge w:val="continue"/>
            <w:vAlign w:val="center"/>
          </w:tcPr>
          <w:p/>
        </w:tc>
        <w:tc>
          <w:tcPr>
            <w:tcW w:w="924" w:type="dxa"/>
            <w:vMerge w:val="continue"/>
            <w:vAlign w:val="center"/>
          </w:tcPr>
          <w:p/>
        </w:tc>
        <w:tc>
          <w:tcPr>
            <w:tcW w:w="489" w:type="dxa"/>
            <w:vAlign w:val="center"/>
          </w:tcPr>
          <w:p>
            <w:pPr>
              <w:jc w:val="center"/>
              <w:rPr>
                <w:b/>
                <w:color w:val="000000"/>
                <w:szCs w:val="21"/>
              </w:rPr>
            </w:pPr>
            <w:r>
              <w:rPr>
                <w:b/>
                <w:color w:val="000000"/>
                <w:szCs w:val="21"/>
              </w:rPr>
              <w:t>省</w:t>
            </w:r>
          </w:p>
        </w:tc>
        <w:tc>
          <w:tcPr>
            <w:tcW w:w="489" w:type="dxa"/>
            <w:vAlign w:val="center"/>
          </w:tcPr>
          <w:p>
            <w:pPr>
              <w:jc w:val="center"/>
              <w:rPr>
                <w:b/>
                <w:color w:val="000000"/>
                <w:szCs w:val="21"/>
              </w:rPr>
            </w:pPr>
            <w:r>
              <w:rPr>
                <w:b/>
                <w:color w:val="000000"/>
                <w:szCs w:val="21"/>
              </w:rPr>
              <w:t>市</w:t>
            </w:r>
          </w:p>
        </w:tc>
        <w:tc>
          <w:tcPr>
            <w:tcW w:w="489" w:type="dxa"/>
            <w:vAlign w:val="center"/>
          </w:tcPr>
          <w:p>
            <w:pPr>
              <w:jc w:val="center"/>
              <w:rPr>
                <w:b/>
                <w:color w:val="000000"/>
                <w:szCs w:val="21"/>
              </w:rPr>
            </w:pPr>
            <w:r>
              <w:rPr>
                <w:b/>
                <w:color w:val="000000"/>
                <w:szCs w:val="21"/>
              </w:rPr>
              <w:t>县</w:t>
            </w:r>
          </w:p>
        </w:tc>
        <w:tc>
          <w:tcPr>
            <w:tcW w:w="581" w:type="dxa"/>
            <w:vMerge w:val="continue"/>
            <w:vAlign w:val="center"/>
          </w:tcPr>
          <w:p/>
        </w:tc>
        <w:tc>
          <w:tcPr>
            <w:tcW w:w="906" w:type="dxa"/>
            <w:vMerge w:val="continue"/>
            <w:vAlign w:val="center"/>
          </w:tcPr>
          <w:p/>
        </w:tc>
        <w:tc>
          <w:tcPr>
            <w:tcW w:w="983" w:type="dxa"/>
            <w:vMerge w:val="continue"/>
            <w:vAlign w:val="center"/>
          </w:tcPr>
          <w:p/>
        </w:tc>
        <w:tc>
          <w:tcPr>
            <w:tcW w:w="1217" w:type="dxa"/>
            <w:vMerge w:val="continue"/>
            <w:vAlign w:val="center"/>
          </w:tcPr>
          <w:p/>
        </w:tc>
        <w:tc>
          <w:tcPr>
            <w:tcW w:w="2855" w:type="dxa"/>
            <w:gridSpan w:val="2"/>
            <w:vMerge w:val="continue"/>
            <w:vAlign w:val="center"/>
          </w:tcPr>
          <w:p/>
        </w:tc>
        <w:tc>
          <w:tcPr>
            <w:tcW w:w="3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2" w:hRule="atLeast"/>
          <w:jc w:val="center"/>
        </w:trPr>
        <w:tc>
          <w:tcPr>
            <w:tcW w:w="1688" w:type="dxa"/>
            <w:vAlign w:val="center"/>
          </w:tcPr>
          <w:p>
            <w:pPr>
              <w:jc w:val="center"/>
              <w:rPr>
                <w:color w:val="000000"/>
                <w:szCs w:val="21"/>
              </w:rPr>
            </w:pPr>
            <w:r>
              <w:rPr>
                <w:color w:val="000000"/>
                <w:szCs w:val="21"/>
              </w:rPr>
              <w:t>ZH43052430001</w:t>
            </w:r>
          </w:p>
        </w:tc>
        <w:tc>
          <w:tcPr>
            <w:tcW w:w="924" w:type="dxa"/>
            <w:vAlign w:val="center"/>
          </w:tcPr>
          <w:p>
            <w:pPr>
              <w:jc w:val="center"/>
              <w:rPr>
                <w:color w:val="000000"/>
                <w:szCs w:val="21"/>
              </w:rPr>
            </w:pPr>
            <w:r>
              <w:rPr>
                <w:color w:val="000000"/>
                <w:szCs w:val="21"/>
              </w:rPr>
              <w:t>高平镇/罗洪镇/七江镇/鸭田镇/羊古坳镇</w:t>
            </w:r>
          </w:p>
        </w:tc>
        <w:tc>
          <w:tcPr>
            <w:tcW w:w="489" w:type="dxa"/>
            <w:vAlign w:val="center"/>
          </w:tcPr>
          <w:p>
            <w:pPr>
              <w:jc w:val="center"/>
              <w:rPr>
                <w:color w:val="000000"/>
                <w:szCs w:val="21"/>
              </w:rPr>
            </w:pPr>
            <w:r>
              <w:rPr>
                <w:color w:val="000000"/>
                <w:szCs w:val="21"/>
              </w:rPr>
              <w:t>湖南省</w:t>
            </w:r>
          </w:p>
        </w:tc>
        <w:tc>
          <w:tcPr>
            <w:tcW w:w="489" w:type="dxa"/>
            <w:vAlign w:val="center"/>
          </w:tcPr>
          <w:p>
            <w:pPr>
              <w:jc w:val="center"/>
              <w:rPr>
                <w:color w:val="000000"/>
                <w:szCs w:val="21"/>
              </w:rPr>
            </w:pPr>
            <w:r>
              <w:rPr>
                <w:color w:val="000000"/>
                <w:szCs w:val="21"/>
              </w:rPr>
              <w:t>邵阳市</w:t>
            </w:r>
          </w:p>
        </w:tc>
        <w:tc>
          <w:tcPr>
            <w:tcW w:w="489" w:type="dxa"/>
            <w:vAlign w:val="center"/>
          </w:tcPr>
          <w:p>
            <w:pPr>
              <w:jc w:val="center"/>
              <w:rPr>
                <w:color w:val="000000"/>
                <w:szCs w:val="21"/>
              </w:rPr>
            </w:pPr>
            <w:r>
              <w:rPr>
                <w:color w:val="000000"/>
                <w:szCs w:val="21"/>
              </w:rPr>
              <w:t>隆回县</w:t>
            </w:r>
          </w:p>
        </w:tc>
        <w:tc>
          <w:tcPr>
            <w:tcW w:w="581" w:type="dxa"/>
            <w:vAlign w:val="center"/>
          </w:tcPr>
          <w:p>
            <w:pPr>
              <w:jc w:val="center"/>
              <w:rPr>
                <w:color w:val="000000"/>
                <w:szCs w:val="21"/>
              </w:rPr>
            </w:pPr>
            <w:r>
              <w:rPr>
                <w:color w:val="000000"/>
                <w:szCs w:val="21"/>
              </w:rPr>
              <w:t>一般管控单元</w:t>
            </w:r>
          </w:p>
        </w:tc>
        <w:tc>
          <w:tcPr>
            <w:tcW w:w="906" w:type="dxa"/>
            <w:vAlign w:val="center"/>
          </w:tcPr>
          <w:p>
            <w:pPr>
              <w:jc w:val="center"/>
              <w:rPr>
                <w:color w:val="000000"/>
                <w:szCs w:val="21"/>
              </w:rPr>
            </w:pPr>
            <w:r>
              <w:rPr>
                <w:color w:val="000000"/>
                <w:szCs w:val="21"/>
              </w:rPr>
              <w:t>466.27</w:t>
            </w:r>
          </w:p>
        </w:tc>
        <w:tc>
          <w:tcPr>
            <w:tcW w:w="983" w:type="dxa"/>
            <w:vAlign w:val="center"/>
          </w:tcPr>
          <w:p>
            <w:pPr>
              <w:jc w:val="center"/>
              <w:rPr>
                <w:color w:val="000000"/>
                <w:szCs w:val="21"/>
              </w:rPr>
            </w:pPr>
            <w:r>
              <w:rPr>
                <w:color w:val="000000"/>
                <w:szCs w:val="21"/>
              </w:rPr>
              <w:t>高平镇/罗洪镇/七江镇/鸭田镇/羊古坳镇</w:t>
            </w:r>
          </w:p>
        </w:tc>
        <w:tc>
          <w:tcPr>
            <w:tcW w:w="1217" w:type="dxa"/>
            <w:vAlign w:val="center"/>
          </w:tcPr>
          <w:p>
            <w:pPr>
              <w:jc w:val="center"/>
              <w:rPr>
                <w:szCs w:val="21"/>
              </w:rPr>
            </w:pPr>
            <w:r>
              <w:rPr>
                <w:color w:val="000000"/>
                <w:szCs w:val="21"/>
              </w:rPr>
              <w:t>罗洪镇：农产品主产区/历史文化资源富集区</w:t>
            </w:r>
            <w:r>
              <w:rPr>
                <w:szCs w:val="21"/>
              </w:rPr>
              <w:t>七</w:t>
            </w:r>
            <w:r>
              <w:rPr>
                <w:szCs w:val="21"/>
              </w:rPr>
              <w:br w:type="textWrapping"/>
            </w:r>
            <w:r>
              <w:rPr>
                <w:szCs w:val="21"/>
              </w:rPr>
              <w:t>江镇/鸭田镇/羊古坳镇：农产品主产区</w:t>
            </w:r>
          </w:p>
          <w:p>
            <w:pPr>
              <w:jc w:val="center"/>
              <w:rPr>
                <w:color w:val="000000"/>
                <w:szCs w:val="21"/>
              </w:rPr>
            </w:pPr>
            <w:r>
              <w:rPr>
                <w:szCs w:val="21"/>
              </w:rPr>
              <w:t>高平镇：农产品主产区</w:t>
            </w:r>
          </w:p>
        </w:tc>
        <w:tc>
          <w:tcPr>
            <w:tcW w:w="2855" w:type="dxa"/>
            <w:gridSpan w:val="2"/>
          </w:tcPr>
          <w:p>
            <w:pPr>
              <w:widowControl/>
              <w:rPr>
                <w:szCs w:val="21"/>
              </w:rPr>
            </w:pPr>
            <w:r>
              <w:rPr>
                <w:b/>
                <w:bCs/>
                <w:color w:val="000000"/>
                <w:szCs w:val="21"/>
              </w:rPr>
              <w:t>高平镇：</w:t>
            </w:r>
            <w:r>
              <w:rPr>
                <w:color w:val="000000"/>
                <w:szCs w:val="21"/>
              </w:rPr>
              <w:t>农业种植、生态农业、畜禽养殖、食品加工、农产品加工、中药材种植、中药材加工、箱包、</w:t>
            </w:r>
            <w:r>
              <w:rPr>
                <w:szCs w:val="21"/>
              </w:rPr>
              <w:t>制鞋、屠宰、</w:t>
            </w:r>
            <w:r>
              <w:t>风电、水电、旅游业、建材</w:t>
            </w:r>
          </w:p>
          <w:p>
            <w:pPr>
              <w:widowControl/>
              <w:rPr>
                <w:rStyle w:val="12"/>
                <w:b w:val="0"/>
              </w:rPr>
            </w:pPr>
            <w:r>
              <w:rPr>
                <w:b/>
                <w:bCs/>
                <w:szCs w:val="21"/>
              </w:rPr>
              <w:t>罗洪镇：</w:t>
            </w:r>
            <w:r>
              <w:rPr>
                <w:kern w:val="0"/>
                <w:szCs w:val="21"/>
              </w:rPr>
              <w:t>农业种植、生态农业、畜禽养殖、</w:t>
            </w:r>
            <w:r>
              <w:rPr>
                <w:rStyle w:val="12"/>
                <w:b w:val="0"/>
              </w:rPr>
              <w:t>农产品加工、中药材种植、中药材加工、</w:t>
            </w:r>
            <w:r>
              <w:t>水电、建材</w:t>
            </w:r>
          </w:p>
          <w:p>
            <w:pPr>
              <w:widowControl/>
              <w:rPr>
                <w:rStyle w:val="12"/>
                <w:b w:val="0"/>
              </w:rPr>
            </w:pPr>
            <w:r>
              <w:rPr>
                <w:b/>
                <w:bCs/>
                <w:szCs w:val="21"/>
              </w:rPr>
              <w:t>七江镇：</w:t>
            </w:r>
            <w:r>
              <w:rPr>
                <w:kern w:val="0"/>
                <w:szCs w:val="21"/>
              </w:rPr>
              <w:t>农业种植、生态农业、畜禽养殖、</w:t>
            </w:r>
            <w:r>
              <w:rPr>
                <w:rStyle w:val="12"/>
                <w:b w:val="0"/>
              </w:rPr>
              <w:t>农产品加工、中药材种植、中药材加工、屠宰、</w:t>
            </w:r>
            <w:r>
              <w:t>风电、纸制品制造、建材</w:t>
            </w:r>
          </w:p>
          <w:p>
            <w:pPr>
              <w:widowControl/>
              <w:rPr>
                <w:rStyle w:val="12"/>
                <w:b w:val="0"/>
              </w:rPr>
            </w:pPr>
            <w:r>
              <w:rPr>
                <w:b/>
                <w:bCs/>
                <w:color w:val="000000"/>
                <w:szCs w:val="21"/>
              </w:rPr>
              <w:t>鸭田镇：</w:t>
            </w:r>
            <w:r>
              <w:rPr>
                <w:color w:val="000000"/>
                <w:kern w:val="0"/>
                <w:szCs w:val="21"/>
              </w:rPr>
              <w:t>农业种植、生态农业、畜禽养</w:t>
            </w:r>
            <w:r>
              <w:rPr>
                <w:kern w:val="0"/>
                <w:szCs w:val="21"/>
              </w:rPr>
              <w:t>殖、</w:t>
            </w:r>
            <w:r>
              <w:rPr>
                <w:rStyle w:val="12"/>
                <w:b w:val="0"/>
              </w:rPr>
              <w:t>农产品加工、中药材种植、中药材加工、建材、</w:t>
            </w:r>
            <w:r>
              <w:t>风电、水电</w:t>
            </w:r>
            <w:r>
              <w:rPr>
                <w:rStyle w:val="12"/>
                <w:b w:val="0"/>
              </w:rPr>
              <w:t>、体育用品制造</w:t>
            </w:r>
          </w:p>
          <w:p>
            <w:pPr>
              <w:widowControl/>
              <w:rPr>
                <w:rStyle w:val="12"/>
                <w:b w:val="0"/>
                <w:color w:val="000000"/>
              </w:rPr>
            </w:pPr>
            <w:r>
              <w:rPr>
                <w:b/>
                <w:bCs/>
                <w:szCs w:val="21"/>
              </w:rPr>
              <w:t>羊古坳镇：</w:t>
            </w:r>
            <w:r>
              <w:rPr>
                <w:kern w:val="0"/>
                <w:szCs w:val="21"/>
              </w:rPr>
              <w:t>农业种植、生态农业、畜禽养殖、</w:t>
            </w:r>
            <w:r>
              <w:rPr>
                <w:rStyle w:val="12"/>
                <w:b w:val="0"/>
              </w:rPr>
              <w:t>农产品加工、中药材种植、中药材加工、</w:t>
            </w:r>
            <w:r>
              <w:t>风电、建材</w:t>
            </w:r>
          </w:p>
        </w:tc>
        <w:tc>
          <w:tcPr>
            <w:tcW w:w="3553" w:type="dxa"/>
          </w:tcPr>
          <w:p>
            <w:pPr>
              <w:widowControl/>
              <w:rPr>
                <w:b/>
                <w:color w:val="000000"/>
                <w:kern w:val="0"/>
                <w:szCs w:val="21"/>
              </w:rPr>
            </w:pPr>
            <w:r>
              <w:rPr>
                <w:b/>
                <w:color w:val="000000"/>
                <w:kern w:val="0"/>
                <w:szCs w:val="21"/>
              </w:rPr>
              <w:t>主要环境问题：</w:t>
            </w:r>
          </w:p>
          <w:p>
            <w:pPr>
              <w:widowControl/>
              <w:rPr>
                <w:color w:val="000000"/>
                <w:szCs w:val="21"/>
              </w:rPr>
            </w:pPr>
            <w:r>
              <w:rPr>
                <w:color w:val="000000"/>
                <w:szCs w:val="21"/>
              </w:rPr>
              <w:t>1、乡镇生活污水处理厂管网待进一步完善，山界回族乡未建设乡生活污水处理厂；</w:t>
            </w:r>
          </w:p>
          <w:p>
            <w:pPr>
              <w:widowControl/>
              <w:rPr>
                <w:color w:val="000000"/>
                <w:szCs w:val="21"/>
              </w:rPr>
            </w:pPr>
            <w:r>
              <w:rPr>
                <w:color w:val="000000"/>
                <w:szCs w:val="21"/>
              </w:rPr>
              <w:t>2、农村生活污水需进一步加强治理；</w:t>
            </w:r>
          </w:p>
          <w:p>
            <w:pPr>
              <w:widowControl/>
              <w:rPr>
                <w:color w:val="000000"/>
                <w:szCs w:val="21"/>
              </w:rPr>
            </w:pPr>
            <w:r>
              <w:rPr>
                <w:color w:val="000000"/>
                <w:szCs w:val="21"/>
              </w:rPr>
              <w:t>3、农村秸秆焚烧多发；</w:t>
            </w:r>
          </w:p>
          <w:p>
            <w:pPr>
              <w:widowControl/>
              <w:rPr>
                <w:color w:val="000000"/>
                <w:szCs w:val="21"/>
              </w:rPr>
            </w:pPr>
            <w:r>
              <w:rPr>
                <w:color w:val="000000"/>
                <w:szCs w:val="21"/>
              </w:rPr>
              <w:t>4、道路扬尘需进一步加强治理；</w:t>
            </w:r>
          </w:p>
          <w:p>
            <w:pPr>
              <w:widowControl/>
              <w:rPr>
                <w:color w:val="000000"/>
                <w:szCs w:val="21"/>
              </w:rPr>
            </w:pPr>
            <w:r>
              <w:rPr>
                <w:color w:val="000000"/>
                <w:szCs w:val="21"/>
              </w:rPr>
              <w:t>5、建材行业大气污染防治需进一步加强</w:t>
            </w:r>
          </w:p>
          <w:p>
            <w:pPr>
              <w:widowControl/>
              <w:rPr>
                <w:b/>
                <w:color w:val="000000"/>
                <w:kern w:val="0"/>
                <w:szCs w:val="21"/>
              </w:rPr>
            </w:pPr>
            <w:r>
              <w:rPr>
                <w:b/>
                <w:color w:val="000000"/>
                <w:kern w:val="0"/>
                <w:szCs w:val="21"/>
              </w:rPr>
              <w:t>重要敏感目标：</w:t>
            </w:r>
          </w:p>
          <w:p>
            <w:pPr>
              <w:widowControl/>
              <w:numPr>
                <w:ilvl w:val="0"/>
                <w:numId w:val="34"/>
              </w:numPr>
              <w:rPr>
                <w:color w:val="000000"/>
                <w:szCs w:val="21"/>
              </w:rPr>
            </w:pPr>
            <w:r>
              <w:rPr>
                <w:b/>
                <w:bCs/>
                <w:color w:val="000000"/>
                <w:szCs w:val="21"/>
              </w:rPr>
              <w:t>高平镇/罗洪镇：</w:t>
            </w:r>
            <w:r>
              <w:rPr>
                <w:color w:val="000000"/>
                <w:szCs w:val="21"/>
              </w:rPr>
              <w:t>望云山省级森林公园</w:t>
            </w:r>
          </w:p>
          <w:p>
            <w:pPr>
              <w:widowControl/>
              <w:numPr>
                <w:ilvl w:val="0"/>
                <w:numId w:val="34"/>
              </w:numPr>
              <w:rPr>
                <w:color w:val="000000"/>
                <w:szCs w:val="21"/>
              </w:rPr>
            </w:pPr>
            <w:r>
              <w:rPr>
                <w:b/>
                <w:bCs/>
                <w:color w:val="000000"/>
                <w:szCs w:val="21"/>
              </w:rPr>
              <w:t>七江镇：</w:t>
            </w:r>
            <w:r>
              <w:rPr>
                <w:color w:val="000000"/>
                <w:szCs w:val="21"/>
              </w:rPr>
              <w:t>云山溪饮用水水源保护区、魏源湖国家湿地公园、望云山省级森林公园</w:t>
            </w:r>
          </w:p>
          <w:p>
            <w:pPr>
              <w:widowControl/>
              <w:numPr>
                <w:ilvl w:val="0"/>
                <w:numId w:val="34"/>
              </w:numPr>
              <w:rPr>
                <w:color w:val="000000"/>
                <w:szCs w:val="21"/>
              </w:rPr>
            </w:pPr>
            <w:r>
              <w:rPr>
                <w:b/>
                <w:bCs/>
                <w:color w:val="000000"/>
                <w:szCs w:val="21"/>
              </w:rPr>
              <w:t>鸭田镇：</w:t>
            </w:r>
            <w:r>
              <w:rPr>
                <w:kern w:val="0"/>
                <w:sz w:val="24"/>
              </w:rPr>
              <w:t>梅树坳水库饮用水源保护区</w:t>
            </w:r>
            <w:r>
              <w:rPr>
                <w:szCs w:val="21"/>
              </w:rPr>
              <w:t>、望云山省级森林公园</w:t>
            </w:r>
          </w:p>
          <w:p>
            <w:pPr>
              <w:widowControl/>
              <w:numPr>
                <w:ilvl w:val="0"/>
                <w:numId w:val="34"/>
              </w:numPr>
              <w:rPr>
                <w:color w:val="000000"/>
                <w:szCs w:val="21"/>
              </w:rPr>
            </w:pPr>
            <w:r>
              <w:rPr>
                <w:b/>
                <w:bCs/>
                <w:color w:val="000000"/>
                <w:szCs w:val="21"/>
              </w:rPr>
              <w:t>羊古坳镇：</w:t>
            </w:r>
            <w:r>
              <w:rPr>
                <w:szCs w:val="21"/>
              </w:rPr>
              <w:t>望云山林场山溪水饮用水水源保护区、望云山省级森林公园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widowControl/>
              <w:spacing w:line="400" w:lineRule="exact"/>
              <w:jc w:val="center"/>
              <w:rPr>
                <w:b/>
                <w:color w:val="000000"/>
                <w:kern w:val="0"/>
                <w:szCs w:val="21"/>
              </w:rPr>
            </w:pPr>
            <w:r>
              <w:rPr>
                <w:b/>
                <w:color w:val="000000"/>
                <w:kern w:val="0"/>
                <w:szCs w:val="21"/>
              </w:rPr>
              <w:t>主要属性</w:t>
            </w:r>
          </w:p>
        </w:tc>
        <w:tc>
          <w:tcPr>
            <w:tcW w:w="12486" w:type="dxa"/>
            <w:gridSpan w:val="11"/>
            <w:vAlign w:val="center"/>
          </w:tcPr>
          <w:p>
            <w:pPr>
              <w:spacing w:line="400" w:lineRule="exact"/>
              <w:rPr>
                <w:b/>
                <w:bCs/>
                <w:color w:val="000000"/>
                <w:szCs w:val="21"/>
              </w:rPr>
            </w:pPr>
            <w:r>
              <w:rPr>
                <w:b/>
                <w:bCs/>
                <w:color w:val="000000"/>
                <w:szCs w:val="21"/>
              </w:rPr>
              <w:t>高平镇：</w:t>
            </w:r>
          </w:p>
          <w:p>
            <w:pPr>
              <w:numPr>
                <w:ilvl w:val="0"/>
                <w:numId w:val="35"/>
              </w:numPr>
              <w:spacing w:line="400" w:lineRule="exact"/>
              <w:rPr>
                <w:color w:val="000000"/>
                <w:szCs w:val="21"/>
              </w:rPr>
            </w:pPr>
            <w:r>
              <w:rPr>
                <w:color w:val="000000"/>
                <w:szCs w:val="21"/>
              </w:rPr>
              <w:t>红线/一般生态空间/三区三线生态红线/水源涵养重要区/原生态红线/生物多样性保护功能重要区/森林公园/水土流失敏感区</w:t>
            </w:r>
          </w:p>
          <w:p>
            <w:pPr>
              <w:numPr>
                <w:ilvl w:val="0"/>
                <w:numId w:val="35"/>
              </w:numPr>
              <w:spacing w:line="400" w:lineRule="exact"/>
              <w:rPr>
                <w:color w:val="000000"/>
                <w:szCs w:val="21"/>
              </w:rPr>
            </w:pPr>
            <w:r>
              <w:rPr>
                <w:color w:val="000000"/>
                <w:szCs w:val="21"/>
              </w:rPr>
              <w:t>水环境一般管控区；</w:t>
            </w:r>
          </w:p>
          <w:p>
            <w:pPr>
              <w:numPr>
                <w:ilvl w:val="0"/>
                <w:numId w:val="35"/>
              </w:numPr>
              <w:spacing w:line="400" w:lineRule="exact"/>
              <w:rPr>
                <w:color w:val="000000"/>
                <w:szCs w:val="21"/>
              </w:rPr>
            </w:pPr>
            <w:r>
              <w:rPr>
                <w:color w:val="000000"/>
                <w:szCs w:val="21"/>
              </w:rPr>
              <w:t>大气环境优先保护区/大气环境受体敏感重点管控区/其他区域；</w:t>
            </w:r>
          </w:p>
          <w:p>
            <w:pPr>
              <w:numPr>
                <w:ilvl w:val="0"/>
                <w:numId w:val="35"/>
              </w:numPr>
              <w:spacing w:line="400" w:lineRule="exact"/>
              <w:rPr>
                <w:color w:val="000000"/>
                <w:szCs w:val="21"/>
              </w:rPr>
            </w:pPr>
            <w:r>
              <w:rPr>
                <w:color w:val="000000"/>
                <w:szCs w:val="21"/>
              </w:rPr>
              <w:t>农用地优先保护区/建设用地重点管控区/其他重点管控区/一般管控区；</w:t>
            </w:r>
          </w:p>
          <w:p>
            <w:pPr>
              <w:numPr>
                <w:ilvl w:val="0"/>
                <w:numId w:val="35"/>
              </w:numPr>
              <w:spacing w:line="400" w:lineRule="exact"/>
              <w:rPr>
                <w:color w:val="000000"/>
                <w:szCs w:val="21"/>
              </w:rPr>
            </w:pPr>
            <w:r>
              <w:rPr>
                <w:color w:val="000000"/>
                <w:szCs w:val="21"/>
              </w:rPr>
              <w:t>重点生态功能区/能源资源富集区</w:t>
            </w:r>
          </w:p>
          <w:p>
            <w:pPr>
              <w:spacing w:line="400" w:lineRule="exact"/>
              <w:rPr>
                <w:b/>
                <w:bCs/>
                <w:color w:val="000000"/>
                <w:szCs w:val="21"/>
              </w:rPr>
            </w:pPr>
            <w:r>
              <w:rPr>
                <w:b/>
                <w:bCs/>
                <w:color w:val="000000"/>
                <w:szCs w:val="21"/>
              </w:rPr>
              <w:t>罗洪镇：</w:t>
            </w:r>
          </w:p>
          <w:p>
            <w:pPr>
              <w:numPr>
                <w:ilvl w:val="0"/>
                <w:numId w:val="36"/>
              </w:numPr>
              <w:spacing w:line="400" w:lineRule="exact"/>
              <w:rPr>
                <w:color w:val="000000"/>
                <w:szCs w:val="21"/>
              </w:rPr>
            </w:pPr>
            <w:r>
              <w:rPr>
                <w:color w:val="000000"/>
                <w:szCs w:val="21"/>
              </w:rPr>
              <w:t>红线/一般生态空间/三区三线生态红线/水源涵养重要区/森林公园/生物多样性保护功能重要区/原生态红线/水土流失敏感区</w:t>
            </w:r>
          </w:p>
          <w:p>
            <w:pPr>
              <w:numPr>
                <w:ilvl w:val="0"/>
                <w:numId w:val="36"/>
              </w:numPr>
              <w:spacing w:line="400" w:lineRule="exact"/>
              <w:rPr>
                <w:color w:val="000000"/>
                <w:szCs w:val="21"/>
              </w:rPr>
            </w:pPr>
            <w:r>
              <w:rPr>
                <w:color w:val="000000"/>
                <w:szCs w:val="21"/>
              </w:rPr>
              <w:t>水环境一般管控区；</w:t>
            </w:r>
          </w:p>
          <w:p>
            <w:pPr>
              <w:numPr>
                <w:ilvl w:val="0"/>
                <w:numId w:val="36"/>
              </w:numPr>
              <w:spacing w:line="400" w:lineRule="exact"/>
              <w:rPr>
                <w:color w:val="000000"/>
                <w:szCs w:val="21"/>
              </w:rPr>
            </w:pPr>
            <w:r>
              <w:rPr>
                <w:color w:val="000000"/>
                <w:szCs w:val="21"/>
              </w:rPr>
              <w:t>大气环境优先保护区/大气环境受体敏感重点管控区/其他区域；</w:t>
            </w:r>
          </w:p>
          <w:p>
            <w:pPr>
              <w:numPr>
                <w:ilvl w:val="0"/>
                <w:numId w:val="36"/>
              </w:numPr>
              <w:spacing w:line="400" w:lineRule="exact"/>
              <w:rPr>
                <w:color w:val="000000"/>
                <w:szCs w:val="21"/>
              </w:rPr>
            </w:pPr>
            <w:r>
              <w:rPr>
                <w:color w:val="000000"/>
                <w:szCs w:val="21"/>
              </w:rPr>
              <w:t>农用地优先保护区/一般管控区；</w:t>
            </w:r>
          </w:p>
          <w:p>
            <w:pPr>
              <w:spacing w:line="400" w:lineRule="exact"/>
              <w:rPr>
                <w:b/>
                <w:bCs/>
                <w:color w:val="000000"/>
                <w:szCs w:val="21"/>
              </w:rPr>
            </w:pPr>
            <w:r>
              <w:rPr>
                <w:b/>
                <w:bCs/>
                <w:color w:val="000000"/>
                <w:szCs w:val="21"/>
              </w:rPr>
              <w:t>七江镇：</w:t>
            </w:r>
          </w:p>
          <w:p>
            <w:pPr>
              <w:numPr>
                <w:ilvl w:val="0"/>
                <w:numId w:val="37"/>
              </w:numPr>
              <w:spacing w:line="400" w:lineRule="exact"/>
              <w:rPr>
                <w:color w:val="000000"/>
                <w:szCs w:val="21"/>
              </w:rPr>
            </w:pPr>
            <w:r>
              <w:rPr>
                <w:color w:val="000000"/>
                <w:szCs w:val="21"/>
              </w:rPr>
              <w:t>红线/一般生态空间/三区三线生态红线/湿地公园/水源涵养重要区/原生态红线/森林公园/生物多样性保护功能重要区/水土保持功能重要区</w:t>
            </w:r>
          </w:p>
          <w:p>
            <w:pPr>
              <w:numPr>
                <w:ilvl w:val="0"/>
                <w:numId w:val="37"/>
              </w:numPr>
              <w:spacing w:line="400" w:lineRule="exact"/>
              <w:rPr>
                <w:color w:val="000000"/>
                <w:szCs w:val="21"/>
              </w:rPr>
            </w:pPr>
            <w:r>
              <w:rPr>
                <w:color w:val="000000"/>
                <w:szCs w:val="21"/>
              </w:rPr>
              <w:t>水环境优先保护区/水环境其他重点管控区/水环境一般管控区；</w:t>
            </w:r>
          </w:p>
          <w:p>
            <w:pPr>
              <w:numPr>
                <w:ilvl w:val="0"/>
                <w:numId w:val="37"/>
              </w:numPr>
              <w:spacing w:line="400" w:lineRule="exact"/>
              <w:rPr>
                <w:color w:val="000000"/>
                <w:szCs w:val="21"/>
              </w:rPr>
            </w:pPr>
            <w:r>
              <w:rPr>
                <w:color w:val="000000"/>
                <w:szCs w:val="21"/>
              </w:rPr>
              <w:t>大气环境优先保护区/大气环境受体敏感重点管控区/其他区域；</w:t>
            </w:r>
          </w:p>
          <w:p>
            <w:pPr>
              <w:numPr>
                <w:ilvl w:val="0"/>
                <w:numId w:val="37"/>
              </w:numPr>
              <w:spacing w:line="400" w:lineRule="exact"/>
              <w:rPr>
                <w:color w:val="000000"/>
                <w:szCs w:val="21"/>
              </w:rPr>
            </w:pPr>
            <w:r>
              <w:rPr>
                <w:color w:val="000000"/>
                <w:szCs w:val="21"/>
              </w:rPr>
              <w:t>农用地优先保护区/建设用地重点管控区/其他重点管控区；</w:t>
            </w:r>
          </w:p>
          <w:p>
            <w:pPr>
              <w:numPr>
                <w:ilvl w:val="0"/>
                <w:numId w:val="37"/>
              </w:numPr>
              <w:spacing w:line="400" w:lineRule="exact"/>
              <w:rPr>
                <w:color w:val="000000"/>
                <w:szCs w:val="21"/>
              </w:rPr>
            </w:pPr>
            <w:r>
              <w:rPr>
                <w:color w:val="000000"/>
                <w:szCs w:val="21"/>
              </w:rPr>
              <w:t>农产品主产区</w:t>
            </w:r>
          </w:p>
          <w:p>
            <w:pPr>
              <w:spacing w:line="400" w:lineRule="exact"/>
              <w:rPr>
                <w:b/>
                <w:bCs/>
                <w:color w:val="000000"/>
                <w:szCs w:val="21"/>
              </w:rPr>
            </w:pPr>
            <w:r>
              <w:rPr>
                <w:b/>
                <w:bCs/>
                <w:color w:val="000000"/>
                <w:szCs w:val="21"/>
              </w:rPr>
              <w:t>鸭田镇：</w:t>
            </w:r>
          </w:p>
          <w:p>
            <w:pPr>
              <w:numPr>
                <w:ilvl w:val="0"/>
                <w:numId w:val="38"/>
              </w:numPr>
              <w:spacing w:line="400" w:lineRule="exact"/>
              <w:rPr>
                <w:color w:val="000000"/>
                <w:szCs w:val="21"/>
              </w:rPr>
            </w:pPr>
            <w:r>
              <w:rPr>
                <w:color w:val="000000"/>
                <w:szCs w:val="21"/>
              </w:rPr>
              <w:t>红线/一般生态空间/三区三线生态红线/水源涵养重要区/森林公园/生物多样性保护功能重要区/原生态红线/水土流失敏感区</w:t>
            </w:r>
          </w:p>
          <w:p>
            <w:pPr>
              <w:numPr>
                <w:ilvl w:val="0"/>
                <w:numId w:val="38"/>
              </w:numPr>
              <w:spacing w:line="400" w:lineRule="exact"/>
              <w:rPr>
                <w:color w:val="000000"/>
                <w:szCs w:val="21"/>
              </w:rPr>
            </w:pPr>
            <w:r>
              <w:rPr>
                <w:color w:val="000000"/>
                <w:szCs w:val="21"/>
              </w:rPr>
              <w:t>水环境一般管控区；</w:t>
            </w:r>
          </w:p>
          <w:p>
            <w:pPr>
              <w:numPr>
                <w:ilvl w:val="0"/>
                <w:numId w:val="38"/>
              </w:numPr>
              <w:spacing w:line="400" w:lineRule="exact"/>
              <w:rPr>
                <w:color w:val="000000"/>
                <w:szCs w:val="21"/>
              </w:rPr>
            </w:pPr>
            <w:r>
              <w:rPr>
                <w:color w:val="000000"/>
                <w:szCs w:val="21"/>
              </w:rPr>
              <w:t>大气环境优先保护区/大气环境受体敏感重点管控区/其他区域；</w:t>
            </w:r>
          </w:p>
          <w:p>
            <w:pPr>
              <w:numPr>
                <w:ilvl w:val="0"/>
                <w:numId w:val="38"/>
              </w:numPr>
              <w:spacing w:line="400" w:lineRule="exact"/>
              <w:rPr>
                <w:color w:val="000000"/>
                <w:szCs w:val="21"/>
              </w:rPr>
            </w:pPr>
            <w:r>
              <w:rPr>
                <w:color w:val="000000"/>
                <w:szCs w:val="21"/>
              </w:rPr>
              <w:t>农用地优先保护区/建设用地重点管控区/其他重点管控区；</w:t>
            </w:r>
          </w:p>
          <w:p>
            <w:pPr>
              <w:numPr>
                <w:ilvl w:val="0"/>
                <w:numId w:val="38"/>
              </w:numPr>
              <w:spacing w:line="400" w:lineRule="exact"/>
              <w:rPr>
                <w:color w:val="000000"/>
                <w:szCs w:val="21"/>
              </w:rPr>
            </w:pPr>
            <w:r>
              <w:rPr>
                <w:color w:val="000000"/>
                <w:szCs w:val="21"/>
              </w:rPr>
              <w:t>农产品主产区</w:t>
            </w:r>
          </w:p>
          <w:p>
            <w:pPr>
              <w:spacing w:line="400" w:lineRule="exact"/>
              <w:rPr>
                <w:b/>
                <w:bCs/>
                <w:color w:val="000000"/>
                <w:szCs w:val="21"/>
              </w:rPr>
            </w:pPr>
            <w:r>
              <w:rPr>
                <w:b/>
                <w:bCs/>
                <w:color w:val="000000"/>
                <w:szCs w:val="21"/>
              </w:rPr>
              <w:t>羊古坳镇：</w:t>
            </w:r>
          </w:p>
          <w:p>
            <w:pPr>
              <w:numPr>
                <w:ilvl w:val="0"/>
                <w:numId w:val="39"/>
              </w:numPr>
              <w:spacing w:line="400" w:lineRule="exact"/>
              <w:rPr>
                <w:color w:val="000000"/>
                <w:szCs w:val="21"/>
              </w:rPr>
            </w:pPr>
            <w:r>
              <w:rPr>
                <w:color w:val="000000"/>
                <w:szCs w:val="21"/>
              </w:rPr>
              <w:t>红线/一般生态空间/三区三线生态红线/水源涵养重要区/原生态红线/森林公园/生物多样性保护功能重要区/湿地公园/水土流失敏感区</w:t>
            </w:r>
          </w:p>
          <w:p>
            <w:pPr>
              <w:numPr>
                <w:ilvl w:val="0"/>
                <w:numId w:val="39"/>
              </w:numPr>
              <w:spacing w:line="400" w:lineRule="exact"/>
              <w:rPr>
                <w:color w:val="000000"/>
                <w:szCs w:val="21"/>
              </w:rPr>
            </w:pPr>
            <w:r>
              <w:rPr>
                <w:color w:val="000000"/>
                <w:szCs w:val="21"/>
              </w:rPr>
              <w:t>水环境一般管控区；</w:t>
            </w:r>
          </w:p>
          <w:p>
            <w:pPr>
              <w:numPr>
                <w:ilvl w:val="0"/>
                <w:numId w:val="39"/>
              </w:numPr>
              <w:spacing w:line="400" w:lineRule="exact"/>
              <w:rPr>
                <w:color w:val="000000"/>
                <w:szCs w:val="21"/>
              </w:rPr>
            </w:pPr>
            <w:r>
              <w:rPr>
                <w:color w:val="000000"/>
                <w:szCs w:val="21"/>
              </w:rPr>
              <w:t>大气环境优先保护区/大气环境受体敏感重点管控区/其他区域；</w:t>
            </w:r>
          </w:p>
          <w:p>
            <w:pPr>
              <w:numPr>
                <w:ilvl w:val="0"/>
                <w:numId w:val="39"/>
              </w:numPr>
              <w:spacing w:line="400" w:lineRule="exact"/>
              <w:rPr>
                <w:color w:val="000000"/>
                <w:szCs w:val="21"/>
              </w:rPr>
            </w:pPr>
            <w:r>
              <w:rPr>
                <w:color w:val="000000"/>
                <w:szCs w:val="21"/>
              </w:rPr>
              <w:t>农用地优先保护区/建设用地重点管控区/一般管控区；</w:t>
            </w:r>
          </w:p>
          <w:p>
            <w:pPr>
              <w:numPr>
                <w:ilvl w:val="0"/>
                <w:numId w:val="39"/>
              </w:numPr>
              <w:spacing w:line="400" w:lineRule="exact"/>
              <w:rPr>
                <w:color w:val="000000"/>
                <w:szCs w:val="21"/>
              </w:rPr>
            </w:pPr>
            <w:r>
              <w:rPr>
                <w:color w:val="000000"/>
                <w:szCs w:val="21"/>
              </w:rPr>
              <w:t>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widowControl/>
              <w:spacing w:line="400" w:lineRule="exact"/>
              <w:jc w:val="center"/>
              <w:rPr>
                <w:b/>
                <w:color w:val="000000"/>
                <w:szCs w:val="21"/>
              </w:rPr>
            </w:pPr>
            <w:r>
              <w:rPr>
                <w:b/>
                <w:color w:val="000000"/>
                <w:szCs w:val="21"/>
              </w:rPr>
              <w:t>管控维度</w:t>
            </w:r>
          </w:p>
        </w:tc>
        <w:tc>
          <w:tcPr>
            <w:tcW w:w="8743" w:type="dxa"/>
            <w:gridSpan w:val="9"/>
            <w:vAlign w:val="center"/>
          </w:tcPr>
          <w:p>
            <w:pPr>
              <w:spacing w:line="400" w:lineRule="exact"/>
              <w:jc w:val="center"/>
              <w:rPr>
                <w:b/>
                <w:color w:val="000000"/>
                <w:szCs w:val="21"/>
              </w:rPr>
            </w:pPr>
            <w:r>
              <w:rPr>
                <w:b/>
                <w:color w:val="000000"/>
                <w:kern w:val="0"/>
                <w:szCs w:val="21"/>
              </w:rPr>
              <w:t>管控要求</w:t>
            </w:r>
          </w:p>
        </w:tc>
        <w:tc>
          <w:tcPr>
            <w:tcW w:w="3743" w:type="dxa"/>
            <w:gridSpan w:val="2"/>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widowControl/>
              <w:spacing w:line="400" w:lineRule="exact"/>
              <w:jc w:val="center"/>
              <w:rPr>
                <w:color w:val="000000"/>
                <w:szCs w:val="21"/>
              </w:rPr>
            </w:pPr>
            <w:r>
              <w:rPr>
                <w:color w:val="000000"/>
                <w:szCs w:val="21"/>
              </w:rPr>
              <w:t>空间布局约束</w:t>
            </w:r>
          </w:p>
        </w:tc>
        <w:tc>
          <w:tcPr>
            <w:tcW w:w="8743" w:type="dxa"/>
            <w:gridSpan w:val="9"/>
            <w:vAlign w:val="center"/>
          </w:tcPr>
          <w:p>
            <w:pPr>
              <w:tabs>
                <w:tab w:val="left" w:pos="1021"/>
              </w:tabs>
              <w:spacing w:line="40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40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400" w:lineRule="exact"/>
              <w:rPr>
                <w:szCs w:val="21"/>
              </w:rPr>
            </w:pPr>
            <w:r>
              <w:rPr>
                <w:szCs w:val="21"/>
              </w:rPr>
              <w:t>（1.3）严禁在饮用水源保护区、自然保护地等环境敏感区、重要生态功能保护区内开发利用矿产资源。</w:t>
            </w:r>
          </w:p>
          <w:p>
            <w:pPr>
              <w:tabs>
                <w:tab w:val="left" w:pos="1021"/>
              </w:tabs>
              <w:spacing w:line="400" w:lineRule="exact"/>
              <w:rPr>
                <w:szCs w:val="21"/>
              </w:rPr>
            </w:pPr>
            <w:r>
              <w:rPr>
                <w:szCs w:val="21"/>
              </w:rPr>
              <w:t>（1.4）在城市紫线范围</w:t>
            </w:r>
            <w:r>
              <w:rPr>
                <w:rFonts w:hint="eastAsia"/>
                <w:szCs w:val="21"/>
              </w:rPr>
              <w:t>（包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40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40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p>
            <w:pPr>
              <w:tabs>
                <w:tab w:val="left" w:pos="1021"/>
              </w:tabs>
              <w:spacing w:line="400" w:lineRule="exact"/>
              <w:rPr>
                <w:szCs w:val="21"/>
              </w:rPr>
            </w:pPr>
            <w:r>
              <w:rPr>
                <w:szCs w:val="21"/>
              </w:rPr>
              <w:t>（1.7）严格控制建设项目使用国家级森林公园林地，确需使用国家级森林公园林地的，应当避免或者减少对森林景观、生态以及旅游活动的影响，并依法办理林地占用、征收审核审批手续。</w:t>
            </w:r>
          </w:p>
        </w:tc>
        <w:tc>
          <w:tcPr>
            <w:tcW w:w="3743" w:type="dxa"/>
            <w:gridSpan w:val="2"/>
            <w:vMerge w:val="restart"/>
          </w:tcPr>
          <w:p>
            <w:pPr>
              <w:widowControl/>
              <w:tabs>
                <w:tab w:val="left" w:pos="1021"/>
              </w:tabs>
              <w:spacing w:line="400" w:lineRule="exact"/>
              <w:rPr>
                <w:color w:val="000000"/>
                <w:szCs w:val="21"/>
              </w:rPr>
            </w:pPr>
            <w:r>
              <w:rPr>
                <w:rStyle w:val="12"/>
                <w:b w:val="0"/>
                <w:color w:val="000000"/>
              </w:rPr>
              <w:t>（1.1</w:t>
            </w:r>
            <w:r>
              <w:rPr>
                <w:szCs w:val="21"/>
              </w:rPr>
              <w:t>）（1.2）（1.3）（1.4）（1.5）</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bCs/>
                <w:color w:val="000000"/>
                <w:kern w:val="0"/>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color w:val="000000"/>
                <w:szCs w:val="21"/>
              </w:rPr>
              <w:t>（1.7）</w:t>
            </w:r>
            <w:r>
              <w:rPr>
                <w:szCs w:val="21"/>
              </w:rPr>
              <w:t>《国家级森林公园管理办法》（国家林业局令第27号）</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400" w:lineRule="exact"/>
              <w:rPr>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widowControl/>
              <w:spacing w:line="400" w:lineRule="exact"/>
              <w:jc w:val="center"/>
              <w:rPr>
                <w:color w:val="000000"/>
                <w:szCs w:val="21"/>
              </w:rPr>
            </w:pPr>
            <w:r>
              <w:rPr>
                <w:color w:val="000000"/>
                <w:szCs w:val="21"/>
              </w:rPr>
              <w:t>污染物排放管控</w:t>
            </w:r>
          </w:p>
        </w:tc>
        <w:tc>
          <w:tcPr>
            <w:tcW w:w="8743" w:type="dxa"/>
            <w:gridSpan w:val="9"/>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400" w:lineRule="exact"/>
              <w:ind w:firstLine="420" w:firstLineChars="200"/>
              <w:rPr>
                <w:color w:val="000000"/>
                <w:szCs w:val="21"/>
              </w:rPr>
            </w:pPr>
            <w:r>
              <w:rPr>
                <w:bCs/>
                <w:szCs w:val="30"/>
              </w:rPr>
              <w:t>（2.1.2）全面实施《隆回县隆回县县域农村生活污水处理专项规划》，加快推进乡镇污水处理厂建设，实现污水处理设施乡镇全覆盖。</w:t>
            </w:r>
          </w:p>
          <w:p>
            <w:pPr>
              <w:tabs>
                <w:tab w:val="left" w:pos="1021"/>
              </w:tabs>
              <w:spacing w:line="40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40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400" w:lineRule="exact"/>
              <w:ind w:firstLine="420" w:firstLineChars="200"/>
              <w:rPr>
                <w:bCs/>
                <w:szCs w:val="30"/>
              </w:rPr>
            </w:pPr>
            <w:r>
              <w:rPr>
                <w:bCs/>
                <w:szCs w:val="30"/>
              </w:rPr>
              <w:t>（2.2.3）推进PM2.5与臭氧协同治理，强化重点行业NOx深度治理，控制挥发性有机物排放，加强扬尘污染治理，兼顾移动源污染治理，积极应对重污染天气。</w:t>
            </w:r>
          </w:p>
          <w:p>
            <w:pPr>
              <w:tabs>
                <w:tab w:val="left" w:pos="1021"/>
              </w:tabs>
              <w:spacing w:line="400" w:lineRule="exact"/>
              <w:ind w:firstLine="420" w:firstLineChars="200"/>
              <w:rPr>
                <w:bCs/>
                <w:szCs w:val="30"/>
              </w:rPr>
            </w:pPr>
            <w:r>
              <w:rPr>
                <w:bCs/>
                <w:szCs w:val="30"/>
              </w:rPr>
              <w:t>（2.2.4）到2025年，县城空气质量指数达到优良天数占比90%以上。</w:t>
            </w:r>
          </w:p>
          <w:p>
            <w:pPr>
              <w:tabs>
                <w:tab w:val="left" w:pos="1021"/>
              </w:tabs>
              <w:spacing w:line="40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3743" w:type="dxa"/>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widowControl/>
              <w:spacing w:line="400" w:lineRule="exact"/>
              <w:jc w:val="center"/>
              <w:rPr>
                <w:color w:val="000000"/>
                <w:szCs w:val="21"/>
              </w:rPr>
            </w:pPr>
            <w:r>
              <w:rPr>
                <w:color w:val="000000"/>
                <w:szCs w:val="21"/>
              </w:rPr>
              <w:t>环境风险防控</w:t>
            </w:r>
          </w:p>
        </w:tc>
        <w:tc>
          <w:tcPr>
            <w:tcW w:w="8743" w:type="dxa"/>
            <w:gridSpan w:val="9"/>
            <w:vAlign w:val="center"/>
          </w:tcPr>
          <w:p>
            <w:pPr>
              <w:tabs>
                <w:tab w:val="left" w:pos="1021"/>
              </w:tabs>
              <w:spacing w:line="400" w:lineRule="exact"/>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tabs>
                <w:tab w:val="left" w:pos="1021"/>
              </w:tabs>
              <w:spacing w:line="400" w:lineRule="exact"/>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tabs>
                <w:tab w:val="left" w:pos="1021"/>
              </w:tabs>
              <w:spacing w:line="400" w:lineRule="exact"/>
              <w:rPr>
                <w:color w:val="000000"/>
                <w:szCs w:val="21"/>
              </w:rPr>
            </w:pPr>
            <w:r>
              <w:rPr>
                <w:color w:val="000000"/>
                <w:szCs w:val="21"/>
              </w:rPr>
              <w:t>（3.3）</w:t>
            </w:r>
            <w:r>
              <w:rPr>
                <w:bCs/>
                <w:szCs w:val="30"/>
              </w:rPr>
              <w:t>加强重点城镇饮用水源地一级保护区隔离工程、饮用水源地环境监管能力建设。</w:t>
            </w:r>
          </w:p>
          <w:p>
            <w:pPr>
              <w:tabs>
                <w:tab w:val="left" w:pos="1021"/>
              </w:tabs>
              <w:spacing w:line="400" w:lineRule="exact"/>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p>
            <w:pPr>
              <w:tabs>
                <w:tab w:val="left" w:pos="1021"/>
              </w:tabs>
              <w:spacing w:line="400" w:lineRule="exact"/>
              <w:rPr>
                <w:bCs/>
                <w:szCs w:val="30"/>
              </w:rPr>
            </w:pPr>
            <w:r>
              <w:rPr>
                <w:bCs/>
                <w:szCs w:val="30"/>
              </w:rPr>
              <w:t>（3.5）加强对工业园区、饮用水水源保护区、自然保护地等重点地区和砖瓦、造纸等重点行业的监管。</w:t>
            </w:r>
          </w:p>
        </w:tc>
        <w:tc>
          <w:tcPr>
            <w:tcW w:w="3743" w:type="dxa"/>
            <w:gridSpan w:val="2"/>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widowControl/>
              <w:spacing w:line="400" w:lineRule="exact"/>
              <w:jc w:val="center"/>
              <w:rPr>
                <w:color w:val="000000"/>
                <w:szCs w:val="21"/>
              </w:rPr>
            </w:pPr>
            <w:r>
              <w:rPr>
                <w:color w:val="000000"/>
                <w:szCs w:val="21"/>
              </w:rPr>
              <w:t>资源开发效率要求</w:t>
            </w:r>
          </w:p>
        </w:tc>
        <w:tc>
          <w:tcPr>
            <w:tcW w:w="8743" w:type="dxa"/>
            <w:gridSpan w:val="9"/>
          </w:tcPr>
          <w:p>
            <w:pPr>
              <w:tabs>
                <w:tab w:val="left" w:pos="1021"/>
              </w:tabs>
              <w:spacing w:line="400" w:lineRule="exact"/>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tabs>
                <w:tab w:val="left" w:pos="1021"/>
              </w:tabs>
              <w:spacing w:line="400" w:lineRule="exact"/>
              <w:rPr>
                <w:bCs/>
                <w:color w:val="000000"/>
                <w:szCs w:val="21"/>
              </w:rPr>
            </w:pPr>
            <w:r>
              <w:rPr>
                <w:bCs/>
                <w:color w:val="000000"/>
                <w:szCs w:val="21"/>
              </w:rPr>
              <w:t>（4.2）水资源：</w:t>
            </w:r>
          </w:p>
          <w:p>
            <w:pPr>
              <w:tabs>
                <w:tab w:val="left" w:pos="1021"/>
              </w:tabs>
              <w:spacing w:line="400" w:lineRule="exact"/>
              <w:ind w:firstLine="420" w:firstLineChars="200"/>
              <w:rPr>
                <w:bCs/>
                <w:color w:val="000000"/>
                <w:szCs w:val="21"/>
              </w:rPr>
            </w:pPr>
            <w:r>
              <w:rPr>
                <w:bCs/>
                <w:color w:val="000000"/>
                <w:szCs w:val="21"/>
              </w:rPr>
              <w:t>（4.2.1）加强水资源、集约高效利用，执行最严格的水资源保护管理制度。</w:t>
            </w:r>
          </w:p>
          <w:p>
            <w:pPr>
              <w:tabs>
                <w:tab w:val="left" w:pos="1021"/>
              </w:tabs>
              <w:spacing w:line="400" w:lineRule="exact"/>
              <w:ind w:firstLine="420" w:firstLineChars="200"/>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tabs>
                <w:tab w:val="left" w:pos="1021"/>
              </w:tabs>
              <w:spacing w:line="400" w:lineRule="exact"/>
              <w:rPr>
                <w:bCs/>
                <w:color w:val="000000"/>
                <w:szCs w:val="21"/>
              </w:rPr>
            </w:pPr>
            <w:r>
              <w:rPr>
                <w:bCs/>
                <w:color w:val="000000"/>
                <w:szCs w:val="21"/>
              </w:rPr>
              <w:t>（4.3）土地资源：</w:t>
            </w:r>
          </w:p>
          <w:p>
            <w:pPr>
              <w:tabs>
                <w:tab w:val="left" w:pos="1021"/>
              </w:tabs>
              <w:spacing w:line="400" w:lineRule="exact"/>
              <w:ind w:firstLine="420" w:firstLineChars="200"/>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tabs>
                <w:tab w:val="left" w:pos="1021"/>
              </w:tabs>
              <w:spacing w:line="400" w:lineRule="exact"/>
              <w:ind w:firstLine="420" w:firstLineChars="200"/>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tabs>
                <w:tab w:val="left" w:pos="1021"/>
              </w:tabs>
              <w:spacing w:line="400" w:lineRule="exact"/>
              <w:ind w:firstLine="420" w:firstLineChars="200"/>
              <w:rPr>
                <w:bCs/>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3743" w:type="dxa"/>
            <w:gridSpan w:val="2"/>
            <w:vMerge w:val="continue"/>
            <w:vAlign w:val="center"/>
          </w:tcPr>
          <w:p>
            <w:pPr>
              <w:spacing w:line="400" w:lineRule="exact"/>
            </w:pPr>
          </w:p>
        </w:tc>
      </w:tr>
    </w:tbl>
    <w:p>
      <w:pPr>
        <w:widowControl/>
        <w:jc w:val="center"/>
        <w:rPr>
          <w:b/>
          <w:color w:val="000000"/>
          <w:kern w:val="0"/>
          <w:szCs w:val="21"/>
        </w:rPr>
      </w:pPr>
      <w:r>
        <w:rPr>
          <w:b/>
          <w:color w:val="000000"/>
          <w:kern w:val="0"/>
          <w:szCs w:val="21"/>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39"/>
        <w:gridCol w:w="501"/>
        <w:gridCol w:w="501"/>
        <w:gridCol w:w="501"/>
        <w:gridCol w:w="613"/>
        <w:gridCol w:w="930"/>
        <w:gridCol w:w="697"/>
        <w:gridCol w:w="1233"/>
        <w:gridCol w:w="2366"/>
        <w:gridCol w:w="1219"/>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widowControl/>
              <w:jc w:val="center"/>
              <w:rPr>
                <w:b/>
                <w:color w:val="000000"/>
                <w:kern w:val="0"/>
                <w:szCs w:val="21"/>
              </w:rPr>
            </w:pPr>
            <w:r>
              <w:rPr>
                <w:b/>
                <w:color w:val="000000"/>
                <w:kern w:val="0"/>
                <w:szCs w:val="21"/>
              </w:rPr>
              <w:t>环境管控单元编码</w:t>
            </w:r>
          </w:p>
        </w:tc>
        <w:tc>
          <w:tcPr>
            <w:tcW w:w="539" w:type="dxa"/>
            <w:vMerge w:val="restart"/>
            <w:vAlign w:val="center"/>
          </w:tcPr>
          <w:p>
            <w:pPr>
              <w:widowControl/>
              <w:jc w:val="center"/>
              <w:rPr>
                <w:b/>
                <w:color w:val="000000"/>
                <w:kern w:val="0"/>
                <w:szCs w:val="21"/>
              </w:rPr>
            </w:pPr>
            <w:r>
              <w:rPr>
                <w:b/>
                <w:color w:val="000000"/>
                <w:kern w:val="0"/>
                <w:szCs w:val="21"/>
              </w:rPr>
              <w:t>单元名称</w:t>
            </w:r>
          </w:p>
        </w:tc>
        <w:tc>
          <w:tcPr>
            <w:tcW w:w="1503" w:type="dxa"/>
            <w:gridSpan w:val="3"/>
            <w:vAlign w:val="center"/>
          </w:tcPr>
          <w:p>
            <w:pPr>
              <w:widowControl/>
              <w:jc w:val="center"/>
              <w:rPr>
                <w:b/>
                <w:color w:val="000000"/>
                <w:kern w:val="0"/>
                <w:szCs w:val="21"/>
              </w:rPr>
            </w:pPr>
            <w:r>
              <w:rPr>
                <w:b/>
                <w:color w:val="000000"/>
                <w:kern w:val="0"/>
                <w:szCs w:val="21"/>
              </w:rPr>
              <w:t>行政区划</w:t>
            </w:r>
          </w:p>
        </w:tc>
        <w:tc>
          <w:tcPr>
            <w:tcW w:w="613" w:type="dxa"/>
            <w:vMerge w:val="restart"/>
            <w:vAlign w:val="center"/>
          </w:tcPr>
          <w:p>
            <w:pPr>
              <w:widowControl/>
              <w:jc w:val="center"/>
              <w:rPr>
                <w:b/>
                <w:color w:val="000000"/>
                <w:kern w:val="0"/>
                <w:szCs w:val="21"/>
              </w:rPr>
            </w:pPr>
            <w:r>
              <w:rPr>
                <w:b/>
                <w:color w:val="000000"/>
                <w:kern w:val="0"/>
                <w:szCs w:val="21"/>
              </w:rPr>
              <w:t>单元分类</w:t>
            </w:r>
          </w:p>
        </w:tc>
        <w:tc>
          <w:tcPr>
            <w:tcW w:w="930"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697" w:type="dxa"/>
            <w:vMerge w:val="restart"/>
            <w:vAlign w:val="center"/>
          </w:tcPr>
          <w:p>
            <w:pPr>
              <w:jc w:val="center"/>
              <w:rPr>
                <w:b/>
                <w:color w:val="000000"/>
                <w:kern w:val="0"/>
                <w:szCs w:val="21"/>
              </w:rPr>
            </w:pPr>
            <w:r>
              <w:rPr>
                <w:b/>
                <w:color w:val="000000"/>
                <w:kern w:val="0"/>
                <w:szCs w:val="21"/>
              </w:rPr>
              <w:t>涉及乡镇(街道)</w:t>
            </w:r>
          </w:p>
        </w:tc>
        <w:tc>
          <w:tcPr>
            <w:tcW w:w="1233" w:type="dxa"/>
            <w:vMerge w:val="restart"/>
            <w:vAlign w:val="center"/>
          </w:tcPr>
          <w:p>
            <w:pPr>
              <w:jc w:val="center"/>
              <w:rPr>
                <w:b/>
                <w:color w:val="000000"/>
                <w:kern w:val="0"/>
                <w:szCs w:val="21"/>
              </w:rPr>
            </w:pPr>
            <w:r>
              <w:rPr>
                <w:b/>
                <w:color w:val="000000"/>
                <w:kern w:val="0"/>
                <w:szCs w:val="21"/>
              </w:rPr>
              <w:t>主体功能定位①</w:t>
            </w:r>
          </w:p>
        </w:tc>
        <w:tc>
          <w:tcPr>
            <w:tcW w:w="2366" w:type="dxa"/>
            <w:vMerge w:val="restart"/>
            <w:vAlign w:val="center"/>
          </w:tcPr>
          <w:p>
            <w:pPr>
              <w:jc w:val="center"/>
              <w:rPr>
                <w:b/>
                <w:color w:val="000000"/>
                <w:kern w:val="0"/>
                <w:szCs w:val="21"/>
              </w:rPr>
            </w:pPr>
            <w:r>
              <w:rPr>
                <w:b/>
                <w:color w:val="000000"/>
                <w:kern w:val="0"/>
                <w:szCs w:val="21"/>
              </w:rPr>
              <w:t>经济产业布局</w:t>
            </w:r>
          </w:p>
        </w:tc>
        <w:tc>
          <w:tcPr>
            <w:tcW w:w="4597" w:type="dxa"/>
            <w:gridSpan w:val="2"/>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Merge w:val="continue"/>
            <w:vAlign w:val="center"/>
          </w:tcPr>
          <w:p/>
        </w:tc>
        <w:tc>
          <w:tcPr>
            <w:tcW w:w="539" w:type="dxa"/>
            <w:vMerge w:val="continue"/>
            <w:vAlign w:val="center"/>
          </w:tcPr>
          <w:p/>
        </w:tc>
        <w:tc>
          <w:tcPr>
            <w:tcW w:w="501" w:type="dxa"/>
            <w:vAlign w:val="center"/>
          </w:tcPr>
          <w:p>
            <w:pPr>
              <w:jc w:val="center"/>
              <w:rPr>
                <w:b/>
                <w:color w:val="000000"/>
                <w:szCs w:val="21"/>
              </w:rPr>
            </w:pPr>
            <w:r>
              <w:rPr>
                <w:b/>
                <w:color w:val="000000"/>
                <w:szCs w:val="21"/>
              </w:rPr>
              <w:t>省</w:t>
            </w:r>
          </w:p>
        </w:tc>
        <w:tc>
          <w:tcPr>
            <w:tcW w:w="501" w:type="dxa"/>
            <w:vAlign w:val="center"/>
          </w:tcPr>
          <w:p>
            <w:pPr>
              <w:jc w:val="center"/>
              <w:rPr>
                <w:b/>
                <w:color w:val="000000"/>
                <w:szCs w:val="21"/>
              </w:rPr>
            </w:pPr>
            <w:r>
              <w:rPr>
                <w:b/>
                <w:color w:val="000000"/>
                <w:szCs w:val="21"/>
              </w:rPr>
              <w:t>市</w:t>
            </w:r>
          </w:p>
        </w:tc>
        <w:tc>
          <w:tcPr>
            <w:tcW w:w="501" w:type="dxa"/>
            <w:vAlign w:val="center"/>
          </w:tcPr>
          <w:p>
            <w:pPr>
              <w:jc w:val="center"/>
              <w:rPr>
                <w:b/>
                <w:color w:val="000000"/>
                <w:szCs w:val="21"/>
              </w:rPr>
            </w:pPr>
            <w:r>
              <w:rPr>
                <w:b/>
                <w:color w:val="000000"/>
                <w:szCs w:val="21"/>
              </w:rPr>
              <w:t>县</w:t>
            </w:r>
          </w:p>
        </w:tc>
        <w:tc>
          <w:tcPr>
            <w:tcW w:w="613" w:type="dxa"/>
            <w:vMerge w:val="continue"/>
            <w:vAlign w:val="center"/>
          </w:tcPr>
          <w:p/>
        </w:tc>
        <w:tc>
          <w:tcPr>
            <w:tcW w:w="930" w:type="dxa"/>
            <w:vMerge w:val="continue"/>
            <w:vAlign w:val="center"/>
          </w:tcPr>
          <w:p/>
        </w:tc>
        <w:tc>
          <w:tcPr>
            <w:tcW w:w="697" w:type="dxa"/>
            <w:vMerge w:val="continue"/>
            <w:vAlign w:val="center"/>
          </w:tcPr>
          <w:p/>
        </w:tc>
        <w:tc>
          <w:tcPr>
            <w:tcW w:w="1233" w:type="dxa"/>
            <w:vMerge w:val="continue"/>
            <w:vAlign w:val="center"/>
          </w:tcPr>
          <w:p/>
        </w:tc>
        <w:tc>
          <w:tcPr>
            <w:tcW w:w="2366" w:type="dxa"/>
            <w:vMerge w:val="continue"/>
            <w:vAlign w:val="center"/>
          </w:tcPr>
          <w:p/>
        </w:tc>
        <w:tc>
          <w:tcPr>
            <w:tcW w:w="459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color w:val="000000"/>
                <w:szCs w:val="21"/>
              </w:rPr>
            </w:pPr>
            <w:r>
              <w:rPr>
                <w:color w:val="000000"/>
                <w:szCs w:val="21"/>
              </w:rPr>
              <w:t>ZH43052430002</w:t>
            </w:r>
          </w:p>
        </w:tc>
        <w:tc>
          <w:tcPr>
            <w:tcW w:w="539" w:type="dxa"/>
            <w:vAlign w:val="center"/>
          </w:tcPr>
          <w:p>
            <w:pPr>
              <w:jc w:val="center"/>
              <w:rPr>
                <w:color w:val="000000"/>
                <w:szCs w:val="21"/>
              </w:rPr>
            </w:pPr>
            <w:r>
              <w:rPr>
                <w:color w:val="000000"/>
                <w:szCs w:val="21"/>
              </w:rPr>
              <w:t>小沙江镇</w:t>
            </w:r>
          </w:p>
        </w:tc>
        <w:tc>
          <w:tcPr>
            <w:tcW w:w="501" w:type="dxa"/>
            <w:vAlign w:val="center"/>
          </w:tcPr>
          <w:p>
            <w:pPr>
              <w:jc w:val="center"/>
              <w:rPr>
                <w:color w:val="000000"/>
                <w:szCs w:val="21"/>
              </w:rPr>
            </w:pPr>
            <w:r>
              <w:rPr>
                <w:color w:val="000000"/>
                <w:szCs w:val="21"/>
              </w:rPr>
              <w:t>湖南省</w:t>
            </w:r>
          </w:p>
        </w:tc>
        <w:tc>
          <w:tcPr>
            <w:tcW w:w="501" w:type="dxa"/>
            <w:vAlign w:val="center"/>
          </w:tcPr>
          <w:p>
            <w:pPr>
              <w:jc w:val="center"/>
              <w:rPr>
                <w:color w:val="000000"/>
                <w:szCs w:val="21"/>
              </w:rPr>
            </w:pPr>
            <w:r>
              <w:rPr>
                <w:color w:val="000000"/>
                <w:szCs w:val="21"/>
              </w:rPr>
              <w:t>邵阳市</w:t>
            </w:r>
          </w:p>
        </w:tc>
        <w:tc>
          <w:tcPr>
            <w:tcW w:w="501" w:type="dxa"/>
            <w:vAlign w:val="center"/>
          </w:tcPr>
          <w:p>
            <w:pPr>
              <w:jc w:val="center"/>
              <w:rPr>
                <w:color w:val="000000"/>
                <w:szCs w:val="21"/>
              </w:rPr>
            </w:pPr>
            <w:r>
              <w:rPr>
                <w:color w:val="000000"/>
                <w:szCs w:val="21"/>
              </w:rPr>
              <w:t>隆回县</w:t>
            </w:r>
          </w:p>
        </w:tc>
        <w:tc>
          <w:tcPr>
            <w:tcW w:w="613" w:type="dxa"/>
            <w:vAlign w:val="center"/>
          </w:tcPr>
          <w:p>
            <w:pPr>
              <w:jc w:val="center"/>
              <w:rPr>
                <w:color w:val="000000"/>
                <w:szCs w:val="21"/>
              </w:rPr>
            </w:pPr>
            <w:r>
              <w:rPr>
                <w:color w:val="000000"/>
                <w:szCs w:val="21"/>
              </w:rPr>
              <w:t>一般管控单元</w:t>
            </w:r>
          </w:p>
        </w:tc>
        <w:tc>
          <w:tcPr>
            <w:tcW w:w="930" w:type="dxa"/>
            <w:vAlign w:val="center"/>
          </w:tcPr>
          <w:p>
            <w:pPr>
              <w:jc w:val="center"/>
              <w:rPr>
                <w:color w:val="000000"/>
                <w:szCs w:val="21"/>
              </w:rPr>
            </w:pPr>
            <w:r>
              <w:rPr>
                <w:color w:val="000000"/>
                <w:szCs w:val="21"/>
              </w:rPr>
              <w:t>167.96</w:t>
            </w:r>
          </w:p>
        </w:tc>
        <w:tc>
          <w:tcPr>
            <w:tcW w:w="697" w:type="dxa"/>
            <w:vAlign w:val="center"/>
          </w:tcPr>
          <w:p>
            <w:pPr>
              <w:jc w:val="center"/>
              <w:rPr>
                <w:color w:val="000000"/>
                <w:szCs w:val="21"/>
              </w:rPr>
            </w:pPr>
            <w:r>
              <w:rPr>
                <w:color w:val="000000"/>
                <w:szCs w:val="21"/>
              </w:rPr>
              <w:t>小沙江镇</w:t>
            </w:r>
          </w:p>
        </w:tc>
        <w:tc>
          <w:tcPr>
            <w:tcW w:w="1233" w:type="dxa"/>
            <w:vAlign w:val="center"/>
          </w:tcPr>
          <w:p>
            <w:pPr>
              <w:jc w:val="center"/>
              <w:rPr>
                <w:color w:val="000000"/>
                <w:szCs w:val="21"/>
              </w:rPr>
            </w:pPr>
            <w:r>
              <w:rPr>
                <w:color w:val="000000"/>
                <w:szCs w:val="21"/>
              </w:rPr>
              <w:t>农产品主产区</w:t>
            </w:r>
          </w:p>
        </w:tc>
        <w:tc>
          <w:tcPr>
            <w:tcW w:w="2366" w:type="dxa"/>
            <w:vAlign w:val="center"/>
          </w:tcPr>
          <w:p>
            <w:pPr>
              <w:widowControl/>
              <w:jc w:val="center"/>
              <w:rPr>
                <w:rStyle w:val="12"/>
                <w:b w:val="0"/>
                <w:strike/>
                <w:color w:val="000000"/>
              </w:rPr>
            </w:pPr>
            <w:r>
              <w:rPr>
                <w:color w:val="000000"/>
                <w:kern w:val="0"/>
                <w:szCs w:val="21"/>
              </w:rPr>
              <w:t>农业种植、生态农业、畜禽养殖、</w:t>
            </w:r>
            <w:r>
              <w:rPr>
                <w:rStyle w:val="12"/>
                <w:b w:val="0"/>
                <w:color w:val="000000"/>
              </w:rPr>
              <w:t>中药材种植中药材加工仓储物流、林产品加工、</w:t>
            </w:r>
            <w:r>
              <w:rPr>
                <w:rStyle w:val="12"/>
                <w:b w:val="0"/>
              </w:rPr>
              <w:t>建材、旅游业、水电、风电</w:t>
            </w:r>
          </w:p>
        </w:tc>
        <w:tc>
          <w:tcPr>
            <w:tcW w:w="4597" w:type="dxa"/>
            <w:gridSpan w:val="2"/>
          </w:tcPr>
          <w:p>
            <w:pPr>
              <w:widowControl/>
              <w:rPr>
                <w:b/>
                <w:color w:val="000000"/>
                <w:kern w:val="0"/>
                <w:szCs w:val="21"/>
              </w:rPr>
            </w:pPr>
            <w:r>
              <w:rPr>
                <w:b/>
                <w:color w:val="000000"/>
                <w:kern w:val="0"/>
                <w:szCs w:val="21"/>
              </w:rPr>
              <w:t>主要环境问题：</w:t>
            </w:r>
          </w:p>
          <w:p>
            <w:pPr>
              <w:widowControl/>
              <w:numPr>
                <w:ilvl w:val="0"/>
                <w:numId w:val="40"/>
              </w:numPr>
            </w:pPr>
            <w:r>
              <w:t>乡镇生活污水处理厂管网待进一步完善；</w:t>
            </w:r>
          </w:p>
          <w:p>
            <w:pPr>
              <w:widowControl/>
              <w:numPr>
                <w:ilvl w:val="0"/>
                <w:numId w:val="40"/>
              </w:numPr>
            </w:pPr>
            <w:r>
              <w:t>农村秸秆焚烧多发；</w:t>
            </w:r>
          </w:p>
          <w:p>
            <w:pPr>
              <w:widowControl/>
              <w:numPr>
                <w:ilvl w:val="0"/>
                <w:numId w:val="40"/>
              </w:numPr>
            </w:pPr>
            <w:r>
              <w:t>道路扬尘需进一步加强治理</w:t>
            </w:r>
          </w:p>
          <w:p>
            <w:pPr>
              <w:widowControl/>
              <w:rPr>
                <w:b/>
                <w:color w:val="000000"/>
                <w:kern w:val="0"/>
                <w:szCs w:val="21"/>
              </w:rPr>
            </w:pPr>
            <w:r>
              <w:rPr>
                <w:b/>
                <w:color w:val="000000"/>
                <w:kern w:val="0"/>
                <w:szCs w:val="21"/>
              </w:rPr>
              <w:t>重要敏感目标：</w:t>
            </w:r>
          </w:p>
          <w:p>
            <w:pPr>
              <w:widowControl/>
              <w:rPr>
                <w:b/>
                <w:color w:val="000000"/>
                <w:kern w:val="0"/>
                <w:szCs w:val="21"/>
              </w:rPr>
            </w:pPr>
            <w:r>
              <w:t>虎形山花瑶国家级风景名胜区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400" w:lineRule="exact"/>
              <w:jc w:val="center"/>
              <w:rPr>
                <w:b/>
                <w:color w:val="000000"/>
                <w:kern w:val="0"/>
                <w:szCs w:val="21"/>
              </w:rPr>
            </w:pPr>
            <w:r>
              <w:rPr>
                <w:b/>
                <w:color w:val="000000"/>
                <w:kern w:val="0"/>
                <w:szCs w:val="21"/>
              </w:rPr>
              <w:t>主要属性</w:t>
            </w:r>
          </w:p>
        </w:tc>
        <w:tc>
          <w:tcPr>
            <w:tcW w:w="12478" w:type="dxa"/>
            <w:gridSpan w:val="11"/>
            <w:vAlign w:val="center"/>
          </w:tcPr>
          <w:p>
            <w:pPr>
              <w:spacing w:line="400" w:lineRule="exact"/>
              <w:rPr>
                <w:rStyle w:val="12"/>
                <w:bCs w:val="0"/>
                <w:color w:val="000000"/>
              </w:rPr>
            </w:pPr>
            <w:r>
              <w:rPr>
                <w:rStyle w:val="12"/>
                <w:bCs w:val="0"/>
                <w:color w:val="000000"/>
              </w:rPr>
              <w:t>小沙江镇：</w:t>
            </w:r>
          </w:p>
          <w:p>
            <w:pPr>
              <w:spacing w:line="400" w:lineRule="exact"/>
              <w:rPr>
                <w:color w:val="000000"/>
                <w:szCs w:val="21"/>
              </w:rPr>
            </w:pPr>
            <w:r>
              <w:rPr>
                <w:b/>
                <w:bCs/>
                <w:szCs w:val="21"/>
              </w:rPr>
              <w:t>生态红线：</w:t>
            </w:r>
            <w:r>
              <w:rPr>
                <w:rStyle w:val="12"/>
                <w:b w:val="0"/>
                <w:color w:val="000000"/>
              </w:rPr>
              <w:t>红线/一般生态空间/水源涵养重要区/三区三线生态红线/森林公园/风景名胜区/水土流失敏感区/生物多样性保护功能重要区/原生态红线/水土保持功能重要区</w:t>
            </w:r>
          </w:p>
          <w:p>
            <w:pPr>
              <w:spacing w:line="400" w:lineRule="exact"/>
              <w:rPr>
                <w:rStyle w:val="12"/>
                <w:b w:val="0"/>
                <w:color w:val="000000"/>
              </w:rPr>
            </w:pPr>
            <w:r>
              <w:rPr>
                <w:b/>
                <w:bCs/>
                <w:szCs w:val="21"/>
              </w:rPr>
              <w:t>环境质量底线：</w:t>
            </w:r>
            <w:r>
              <w:rPr>
                <w:rStyle w:val="12"/>
                <w:b w:val="0"/>
                <w:color w:val="000000"/>
              </w:rPr>
              <w:t>水环境一般管控区；大气环境优先保护区/大气环境受体敏感重点管控区/其他区域；农用地优先保护区/建设用地重点管控区/其他重点管控区/一般管控区；农产品主产区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400" w:lineRule="exact"/>
              <w:jc w:val="center"/>
              <w:rPr>
                <w:b/>
                <w:color w:val="000000"/>
                <w:szCs w:val="21"/>
              </w:rPr>
            </w:pPr>
            <w:r>
              <w:rPr>
                <w:b/>
                <w:color w:val="000000"/>
                <w:szCs w:val="21"/>
              </w:rPr>
              <w:t>管控维度</w:t>
            </w:r>
          </w:p>
        </w:tc>
        <w:tc>
          <w:tcPr>
            <w:tcW w:w="9100" w:type="dxa"/>
            <w:gridSpan w:val="10"/>
            <w:vAlign w:val="center"/>
          </w:tcPr>
          <w:p>
            <w:pPr>
              <w:spacing w:line="400" w:lineRule="exact"/>
              <w:jc w:val="center"/>
              <w:rPr>
                <w:b/>
                <w:color w:val="000000"/>
                <w:szCs w:val="21"/>
              </w:rPr>
            </w:pPr>
            <w:r>
              <w:rPr>
                <w:b/>
                <w:color w:val="000000"/>
                <w:kern w:val="0"/>
                <w:szCs w:val="21"/>
              </w:rPr>
              <w:t>管控要求</w:t>
            </w:r>
          </w:p>
        </w:tc>
        <w:tc>
          <w:tcPr>
            <w:tcW w:w="3378" w:type="dxa"/>
            <w:vAlign w:val="center"/>
          </w:tcPr>
          <w:p>
            <w:pPr>
              <w:spacing w:line="40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400" w:lineRule="exact"/>
              <w:jc w:val="center"/>
              <w:rPr>
                <w:color w:val="000000"/>
                <w:szCs w:val="21"/>
              </w:rPr>
            </w:pPr>
            <w:r>
              <w:rPr>
                <w:color w:val="000000"/>
                <w:szCs w:val="21"/>
              </w:rPr>
              <w:t>空间布局约束</w:t>
            </w:r>
          </w:p>
        </w:tc>
        <w:tc>
          <w:tcPr>
            <w:tcW w:w="9100" w:type="dxa"/>
            <w:gridSpan w:val="10"/>
            <w:vAlign w:val="center"/>
          </w:tcPr>
          <w:p>
            <w:pPr>
              <w:tabs>
                <w:tab w:val="left" w:pos="1021"/>
              </w:tabs>
              <w:spacing w:line="40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40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400" w:lineRule="exact"/>
              <w:rPr>
                <w:szCs w:val="21"/>
              </w:rPr>
            </w:pPr>
            <w:r>
              <w:rPr>
                <w:szCs w:val="21"/>
              </w:rPr>
              <w:t>（1.3）严禁在饮用水源保护区、自然保护地等环境敏感区、重要生态功能保护区内开发利用矿产资源。</w:t>
            </w:r>
          </w:p>
          <w:p>
            <w:pPr>
              <w:tabs>
                <w:tab w:val="left" w:pos="1021"/>
              </w:tabs>
              <w:spacing w:line="400" w:lineRule="exact"/>
              <w:rPr>
                <w:szCs w:val="21"/>
              </w:rPr>
            </w:pPr>
            <w:r>
              <w:rPr>
                <w:szCs w:val="21"/>
              </w:rPr>
              <w:t>（1.4）在城市紫线范围</w:t>
            </w:r>
            <w:r>
              <w:rPr>
                <w:rFonts w:hint="eastAsia"/>
                <w:szCs w:val="21"/>
              </w:rPr>
              <w:t>（包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40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40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p>
            <w:pPr>
              <w:tabs>
                <w:tab w:val="left" w:pos="1021"/>
              </w:tabs>
              <w:spacing w:line="400" w:lineRule="exact"/>
              <w:rPr>
                <w:szCs w:val="21"/>
              </w:rPr>
            </w:pPr>
            <w:r>
              <w:rPr>
                <w:szCs w:val="21"/>
              </w:rPr>
              <w:t>（1.7）在风景名胜区内禁止进行下列活动：（一）开山、采石、开矿、开荒、修坟立碑等破坏景观、植被和地形地貌的活动；（二）修建储存爆炸性、易燃性、放射性、毒害性、腐蚀性物品的设施。</w:t>
            </w:r>
          </w:p>
        </w:tc>
        <w:tc>
          <w:tcPr>
            <w:tcW w:w="3378" w:type="dxa"/>
            <w:vMerge w:val="restart"/>
          </w:tcPr>
          <w:p>
            <w:pPr>
              <w:widowControl/>
              <w:tabs>
                <w:tab w:val="left" w:pos="1021"/>
              </w:tabs>
              <w:spacing w:line="400" w:lineRule="exact"/>
              <w:rPr>
                <w:color w:val="000000"/>
                <w:szCs w:val="21"/>
              </w:rPr>
            </w:pPr>
            <w:r>
              <w:rPr>
                <w:rStyle w:val="12"/>
                <w:b w:val="0"/>
                <w:color w:val="000000"/>
              </w:rPr>
              <w:t>（1.1</w:t>
            </w:r>
            <w:r>
              <w:rPr>
                <w:szCs w:val="21"/>
              </w:rPr>
              <w:t>）（1.2）（1.3）（1.4）（1.5）</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bCs/>
                <w:color w:val="000000"/>
                <w:kern w:val="0"/>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color w:val="000000"/>
                <w:szCs w:val="21"/>
              </w:rPr>
              <w:t>（1.7）</w:t>
            </w:r>
            <w:r>
              <w:rPr>
                <w:szCs w:val="21"/>
              </w:rPr>
              <w:t>《风景名胜区条例》（国务院令第474号）</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400" w:lineRule="exact"/>
              <w:rPr>
                <w:strike/>
                <w:color w:val="000000"/>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400" w:lineRule="exact"/>
              <w:jc w:val="center"/>
              <w:rPr>
                <w:color w:val="000000"/>
                <w:szCs w:val="21"/>
              </w:rPr>
            </w:pPr>
            <w:r>
              <w:rPr>
                <w:color w:val="000000"/>
                <w:szCs w:val="21"/>
              </w:rPr>
              <w:t>污染物排放管控</w:t>
            </w:r>
          </w:p>
        </w:tc>
        <w:tc>
          <w:tcPr>
            <w:tcW w:w="9100" w:type="dxa"/>
            <w:gridSpan w:val="10"/>
            <w:vAlign w:val="center"/>
          </w:tcPr>
          <w:p>
            <w:pPr>
              <w:tabs>
                <w:tab w:val="left" w:pos="1021"/>
              </w:tabs>
              <w:spacing w:line="400" w:lineRule="exact"/>
              <w:rPr>
                <w:color w:val="000000"/>
                <w:szCs w:val="21"/>
              </w:rPr>
            </w:pPr>
            <w:r>
              <w:rPr>
                <w:color w:val="000000"/>
                <w:szCs w:val="21"/>
              </w:rPr>
              <w:t>（2.1）废水：</w:t>
            </w:r>
          </w:p>
          <w:p>
            <w:pPr>
              <w:tabs>
                <w:tab w:val="left" w:pos="1021"/>
              </w:tabs>
              <w:spacing w:line="40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400" w:lineRule="exact"/>
              <w:ind w:firstLine="420" w:firstLineChars="200"/>
              <w:rPr>
                <w:color w:val="000000"/>
                <w:szCs w:val="21"/>
              </w:rPr>
            </w:pPr>
            <w:r>
              <w:rPr>
                <w:bCs/>
                <w:szCs w:val="30"/>
              </w:rPr>
              <w:t>（2.1.2）全面实施《隆回县隆回县县域农村生活污水处理专项规划》，加快推进乡镇污水处理厂建设，实现污水处理设施乡镇全覆盖。</w:t>
            </w:r>
          </w:p>
          <w:p>
            <w:pPr>
              <w:tabs>
                <w:tab w:val="left" w:pos="1021"/>
              </w:tabs>
              <w:spacing w:line="40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400" w:lineRule="exact"/>
              <w:rPr>
                <w:color w:val="000000"/>
                <w:szCs w:val="21"/>
              </w:rPr>
            </w:pPr>
            <w:r>
              <w:rPr>
                <w:color w:val="000000"/>
                <w:szCs w:val="21"/>
              </w:rPr>
              <w:t>（2.2）废气：</w:t>
            </w:r>
          </w:p>
          <w:p>
            <w:pPr>
              <w:tabs>
                <w:tab w:val="left" w:pos="1021"/>
              </w:tabs>
              <w:spacing w:line="40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40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400" w:lineRule="exact"/>
              <w:ind w:firstLine="420" w:firstLineChars="200"/>
              <w:rPr>
                <w:bCs/>
                <w:szCs w:val="30"/>
              </w:rPr>
            </w:pPr>
            <w:r>
              <w:rPr>
                <w:bCs/>
                <w:szCs w:val="30"/>
              </w:rPr>
              <w:t>（2.2.3）推进PM2.5与臭氧协同治理，强化重点行业NOx深度治理，控制挥发性有机物排放，加强扬尘污染治理，兼顾移动源污染治理，积极应对重污染天气。</w:t>
            </w:r>
          </w:p>
          <w:p>
            <w:pPr>
              <w:tabs>
                <w:tab w:val="left" w:pos="1021"/>
              </w:tabs>
              <w:spacing w:line="400" w:lineRule="exact"/>
              <w:ind w:firstLine="420" w:firstLineChars="200"/>
              <w:rPr>
                <w:bCs/>
                <w:szCs w:val="30"/>
              </w:rPr>
            </w:pPr>
            <w:r>
              <w:rPr>
                <w:bCs/>
                <w:szCs w:val="30"/>
              </w:rPr>
              <w:t>（2.2.4）到2025年，县城空气质量指数达到优良天数占比90%以上。</w:t>
            </w:r>
          </w:p>
          <w:p>
            <w:pPr>
              <w:tabs>
                <w:tab w:val="left" w:pos="1021"/>
              </w:tabs>
              <w:spacing w:line="40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3378"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400" w:lineRule="exact"/>
              <w:jc w:val="center"/>
              <w:rPr>
                <w:color w:val="000000"/>
                <w:szCs w:val="21"/>
              </w:rPr>
            </w:pPr>
            <w:r>
              <w:rPr>
                <w:color w:val="000000"/>
                <w:szCs w:val="21"/>
              </w:rPr>
              <w:t>环境风险防控</w:t>
            </w:r>
          </w:p>
        </w:tc>
        <w:tc>
          <w:tcPr>
            <w:tcW w:w="9100" w:type="dxa"/>
            <w:gridSpan w:val="10"/>
            <w:vAlign w:val="center"/>
          </w:tcPr>
          <w:p>
            <w:pPr>
              <w:tabs>
                <w:tab w:val="left" w:pos="1021"/>
              </w:tabs>
              <w:spacing w:line="400" w:lineRule="exact"/>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tabs>
                <w:tab w:val="left" w:pos="1021"/>
              </w:tabs>
              <w:spacing w:line="400" w:lineRule="exact"/>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tabs>
                <w:tab w:val="left" w:pos="1021"/>
              </w:tabs>
              <w:spacing w:line="400" w:lineRule="exact"/>
              <w:rPr>
                <w:color w:val="000000"/>
                <w:szCs w:val="21"/>
              </w:rPr>
            </w:pPr>
            <w:r>
              <w:rPr>
                <w:color w:val="000000"/>
                <w:szCs w:val="21"/>
              </w:rPr>
              <w:t>（3.3）</w:t>
            </w:r>
            <w:r>
              <w:rPr>
                <w:bCs/>
                <w:szCs w:val="30"/>
              </w:rPr>
              <w:t>加强重点城镇饮用水源地一级保护区隔离工程、饮用水源地环境监管能力建设。</w:t>
            </w:r>
          </w:p>
          <w:p>
            <w:pPr>
              <w:tabs>
                <w:tab w:val="left" w:pos="1021"/>
              </w:tabs>
              <w:spacing w:line="400" w:lineRule="exact"/>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p>
            <w:pPr>
              <w:tabs>
                <w:tab w:val="left" w:pos="1021"/>
              </w:tabs>
              <w:spacing w:line="400" w:lineRule="exact"/>
              <w:rPr>
                <w:bCs/>
                <w:szCs w:val="30"/>
              </w:rPr>
            </w:pPr>
            <w:r>
              <w:rPr>
                <w:bCs/>
                <w:szCs w:val="30"/>
              </w:rPr>
              <w:t>（3.5）加强对工业园区、饮用水水源保护区、自然保护地等重点地区和砖瓦、造纸等重点行业的监管。</w:t>
            </w:r>
          </w:p>
        </w:tc>
        <w:tc>
          <w:tcPr>
            <w:tcW w:w="3378"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400" w:lineRule="exact"/>
              <w:jc w:val="center"/>
              <w:rPr>
                <w:color w:val="000000"/>
                <w:szCs w:val="21"/>
              </w:rPr>
            </w:pPr>
            <w:r>
              <w:rPr>
                <w:color w:val="000000"/>
                <w:szCs w:val="21"/>
              </w:rPr>
              <w:t>资源开发效率要求</w:t>
            </w:r>
          </w:p>
        </w:tc>
        <w:tc>
          <w:tcPr>
            <w:tcW w:w="9100" w:type="dxa"/>
            <w:gridSpan w:val="10"/>
          </w:tcPr>
          <w:p>
            <w:pPr>
              <w:tabs>
                <w:tab w:val="left" w:pos="1021"/>
              </w:tabs>
              <w:spacing w:line="400" w:lineRule="exact"/>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tabs>
                <w:tab w:val="left" w:pos="1021"/>
              </w:tabs>
              <w:spacing w:line="400" w:lineRule="exact"/>
              <w:rPr>
                <w:bCs/>
                <w:color w:val="000000"/>
                <w:szCs w:val="21"/>
              </w:rPr>
            </w:pPr>
            <w:r>
              <w:rPr>
                <w:bCs/>
                <w:color w:val="000000"/>
                <w:szCs w:val="21"/>
              </w:rPr>
              <w:t>（4.2）水资源：</w:t>
            </w:r>
          </w:p>
          <w:p>
            <w:pPr>
              <w:tabs>
                <w:tab w:val="left" w:pos="1021"/>
              </w:tabs>
              <w:spacing w:line="400" w:lineRule="exact"/>
              <w:ind w:firstLine="420" w:firstLineChars="200"/>
              <w:rPr>
                <w:bCs/>
                <w:color w:val="000000"/>
                <w:szCs w:val="21"/>
              </w:rPr>
            </w:pPr>
            <w:r>
              <w:rPr>
                <w:bCs/>
                <w:color w:val="000000"/>
                <w:szCs w:val="21"/>
              </w:rPr>
              <w:t>（4.2.1）加强水资源、集约高效利用，执行最严格的水资源保护管理制度。</w:t>
            </w:r>
          </w:p>
          <w:p>
            <w:pPr>
              <w:tabs>
                <w:tab w:val="left" w:pos="1021"/>
              </w:tabs>
              <w:spacing w:line="400" w:lineRule="exact"/>
              <w:ind w:firstLine="420" w:firstLineChars="200"/>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tabs>
                <w:tab w:val="left" w:pos="1021"/>
              </w:tabs>
              <w:spacing w:line="400" w:lineRule="exact"/>
              <w:rPr>
                <w:bCs/>
                <w:color w:val="000000"/>
                <w:szCs w:val="21"/>
              </w:rPr>
            </w:pPr>
            <w:r>
              <w:rPr>
                <w:bCs/>
                <w:color w:val="000000"/>
                <w:szCs w:val="21"/>
              </w:rPr>
              <w:t>（4.3）土地资源：</w:t>
            </w:r>
          </w:p>
          <w:p>
            <w:pPr>
              <w:tabs>
                <w:tab w:val="left" w:pos="1021"/>
              </w:tabs>
              <w:spacing w:line="400" w:lineRule="exact"/>
              <w:ind w:firstLine="420" w:firstLineChars="200"/>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tabs>
                <w:tab w:val="left" w:pos="1021"/>
              </w:tabs>
              <w:spacing w:line="400" w:lineRule="exact"/>
              <w:ind w:firstLine="420" w:firstLineChars="200"/>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tabs>
                <w:tab w:val="left" w:pos="1021"/>
              </w:tabs>
              <w:spacing w:line="400" w:lineRule="exact"/>
              <w:ind w:firstLine="420" w:firstLineChars="200"/>
              <w:rPr>
                <w:bCs/>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3378" w:type="dxa"/>
            <w:vMerge w:val="continue"/>
            <w:vAlign w:val="center"/>
          </w:tcPr>
          <w:p>
            <w:pPr>
              <w:spacing w:line="400" w:lineRule="exact"/>
            </w:pPr>
          </w:p>
        </w:tc>
      </w:tr>
    </w:tbl>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p>
      <w:pPr>
        <w:widowControl/>
        <w:spacing w:line="400" w:lineRule="exact"/>
        <w:jc w:val="left"/>
        <w:rPr>
          <w:color w:val="000000"/>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995"/>
        <w:gridCol w:w="963"/>
        <w:gridCol w:w="963"/>
        <w:gridCol w:w="963"/>
        <w:gridCol w:w="972"/>
        <w:gridCol w:w="1433"/>
        <w:gridCol w:w="1276"/>
        <w:gridCol w:w="1180"/>
        <w:gridCol w:w="335"/>
        <w:gridCol w:w="143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widowControl/>
              <w:jc w:val="center"/>
              <w:rPr>
                <w:b/>
                <w:color w:val="000000"/>
                <w:kern w:val="0"/>
                <w:szCs w:val="21"/>
              </w:rPr>
            </w:pPr>
            <w:r>
              <w:rPr>
                <w:b/>
                <w:color w:val="000000"/>
                <w:kern w:val="0"/>
                <w:szCs w:val="21"/>
              </w:rPr>
              <w:t>环境管控单元编码</w:t>
            </w:r>
          </w:p>
        </w:tc>
        <w:tc>
          <w:tcPr>
            <w:tcW w:w="995" w:type="dxa"/>
            <w:vMerge w:val="restart"/>
            <w:vAlign w:val="center"/>
          </w:tcPr>
          <w:p>
            <w:pPr>
              <w:widowControl/>
              <w:jc w:val="center"/>
              <w:rPr>
                <w:b/>
                <w:color w:val="000000"/>
                <w:kern w:val="0"/>
                <w:szCs w:val="21"/>
              </w:rPr>
            </w:pPr>
            <w:r>
              <w:rPr>
                <w:b/>
                <w:color w:val="000000"/>
                <w:kern w:val="0"/>
                <w:szCs w:val="21"/>
              </w:rPr>
              <w:t>单元名称</w:t>
            </w:r>
          </w:p>
        </w:tc>
        <w:tc>
          <w:tcPr>
            <w:tcW w:w="2889" w:type="dxa"/>
            <w:gridSpan w:val="3"/>
            <w:vAlign w:val="center"/>
          </w:tcPr>
          <w:p>
            <w:pPr>
              <w:widowControl/>
              <w:jc w:val="center"/>
              <w:rPr>
                <w:b/>
                <w:color w:val="000000"/>
                <w:kern w:val="0"/>
                <w:szCs w:val="21"/>
              </w:rPr>
            </w:pPr>
            <w:r>
              <w:rPr>
                <w:b/>
                <w:color w:val="000000"/>
                <w:kern w:val="0"/>
                <w:szCs w:val="21"/>
              </w:rPr>
              <w:t>行政区划</w:t>
            </w:r>
          </w:p>
        </w:tc>
        <w:tc>
          <w:tcPr>
            <w:tcW w:w="972" w:type="dxa"/>
            <w:vMerge w:val="restart"/>
            <w:vAlign w:val="center"/>
          </w:tcPr>
          <w:p>
            <w:pPr>
              <w:widowControl/>
              <w:jc w:val="center"/>
              <w:rPr>
                <w:b/>
                <w:color w:val="000000"/>
                <w:kern w:val="0"/>
                <w:szCs w:val="21"/>
              </w:rPr>
            </w:pPr>
            <w:r>
              <w:rPr>
                <w:b/>
                <w:color w:val="000000"/>
                <w:kern w:val="0"/>
                <w:szCs w:val="21"/>
              </w:rPr>
              <w:t>单元分类</w:t>
            </w:r>
          </w:p>
        </w:tc>
        <w:tc>
          <w:tcPr>
            <w:tcW w:w="1433"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276" w:type="dxa"/>
            <w:vMerge w:val="restart"/>
            <w:vAlign w:val="center"/>
          </w:tcPr>
          <w:p>
            <w:pPr>
              <w:jc w:val="center"/>
              <w:rPr>
                <w:b/>
                <w:color w:val="000000"/>
                <w:kern w:val="0"/>
                <w:szCs w:val="21"/>
              </w:rPr>
            </w:pPr>
            <w:r>
              <w:rPr>
                <w:b/>
                <w:color w:val="000000"/>
                <w:kern w:val="0"/>
                <w:szCs w:val="21"/>
              </w:rPr>
              <w:t>涉及乡镇(街道)</w:t>
            </w:r>
          </w:p>
        </w:tc>
        <w:tc>
          <w:tcPr>
            <w:tcW w:w="1180" w:type="dxa"/>
            <w:vMerge w:val="restart"/>
            <w:vAlign w:val="center"/>
          </w:tcPr>
          <w:p>
            <w:pPr>
              <w:jc w:val="center"/>
              <w:rPr>
                <w:b/>
                <w:color w:val="000000"/>
                <w:kern w:val="0"/>
                <w:szCs w:val="21"/>
              </w:rPr>
            </w:pPr>
            <w:r>
              <w:rPr>
                <w:b/>
                <w:color w:val="000000"/>
                <w:kern w:val="0"/>
                <w:szCs w:val="21"/>
              </w:rPr>
              <w:t>主体功能定位①</w:t>
            </w:r>
          </w:p>
        </w:tc>
        <w:tc>
          <w:tcPr>
            <w:tcW w:w="1769" w:type="dxa"/>
            <w:gridSpan w:val="2"/>
            <w:vMerge w:val="restart"/>
            <w:vAlign w:val="center"/>
          </w:tcPr>
          <w:p>
            <w:pPr>
              <w:jc w:val="center"/>
              <w:rPr>
                <w:b/>
                <w:color w:val="000000"/>
                <w:kern w:val="0"/>
                <w:szCs w:val="21"/>
              </w:rPr>
            </w:pPr>
            <w:r>
              <w:rPr>
                <w:b/>
                <w:color w:val="000000"/>
                <w:kern w:val="0"/>
                <w:szCs w:val="21"/>
              </w:rPr>
              <w:t>经济产业布局</w:t>
            </w:r>
          </w:p>
        </w:tc>
        <w:tc>
          <w:tcPr>
            <w:tcW w:w="2009" w:type="dxa"/>
            <w:vMerge w:val="restart"/>
            <w:vAlign w:val="center"/>
          </w:tcPr>
          <w:p>
            <w:pPr>
              <w:jc w:val="center"/>
              <w:rPr>
                <w:b/>
                <w:color w:val="000000"/>
                <w:kern w:val="0"/>
                <w:szCs w:val="21"/>
              </w:rPr>
            </w:pPr>
            <w:r>
              <w:rPr>
                <w:b/>
                <w:color w:val="000000"/>
                <w:kern w:val="0"/>
                <w:szCs w:val="21"/>
              </w:rPr>
              <w:t>主要环境问题和重要敏感目标②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Merge w:val="continue"/>
            <w:vAlign w:val="center"/>
          </w:tcPr>
          <w:p/>
        </w:tc>
        <w:tc>
          <w:tcPr>
            <w:tcW w:w="995" w:type="dxa"/>
            <w:vMerge w:val="continue"/>
            <w:vAlign w:val="center"/>
          </w:tcPr>
          <w:p/>
        </w:tc>
        <w:tc>
          <w:tcPr>
            <w:tcW w:w="963" w:type="dxa"/>
            <w:vAlign w:val="center"/>
          </w:tcPr>
          <w:p>
            <w:pPr>
              <w:jc w:val="center"/>
              <w:rPr>
                <w:b/>
                <w:color w:val="000000"/>
                <w:szCs w:val="21"/>
              </w:rPr>
            </w:pPr>
            <w:r>
              <w:rPr>
                <w:b/>
                <w:color w:val="000000"/>
                <w:szCs w:val="21"/>
              </w:rPr>
              <w:t>省</w:t>
            </w:r>
          </w:p>
        </w:tc>
        <w:tc>
          <w:tcPr>
            <w:tcW w:w="963" w:type="dxa"/>
            <w:vAlign w:val="center"/>
          </w:tcPr>
          <w:p>
            <w:pPr>
              <w:jc w:val="center"/>
              <w:rPr>
                <w:b/>
                <w:color w:val="000000"/>
                <w:szCs w:val="21"/>
              </w:rPr>
            </w:pPr>
            <w:r>
              <w:rPr>
                <w:b/>
                <w:color w:val="000000"/>
                <w:szCs w:val="21"/>
              </w:rPr>
              <w:t>市</w:t>
            </w:r>
          </w:p>
        </w:tc>
        <w:tc>
          <w:tcPr>
            <w:tcW w:w="963" w:type="dxa"/>
            <w:vAlign w:val="center"/>
          </w:tcPr>
          <w:p>
            <w:pPr>
              <w:jc w:val="center"/>
              <w:rPr>
                <w:b/>
                <w:color w:val="000000"/>
                <w:szCs w:val="21"/>
              </w:rPr>
            </w:pPr>
            <w:r>
              <w:rPr>
                <w:b/>
                <w:color w:val="000000"/>
                <w:szCs w:val="21"/>
              </w:rPr>
              <w:t>县</w:t>
            </w:r>
          </w:p>
        </w:tc>
        <w:tc>
          <w:tcPr>
            <w:tcW w:w="972" w:type="dxa"/>
            <w:vMerge w:val="continue"/>
            <w:vAlign w:val="center"/>
          </w:tcPr>
          <w:p/>
        </w:tc>
        <w:tc>
          <w:tcPr>
            <w:tcW w:w="1433" w:type="dxa"/>
            <w:vMerge w:val="continue"/>
            <w:vAlign w:val="center"/>
          </w:tcPr>
          <w:p/>
        </w:tc>
        <w:tc>
          <w:tcPr>
            <w:tcW w:w="1276" w:type="dxa"/>
            <w:vMerge w:val="continue"/>
            <w:vAlign w:val="center"/>
          </w:tcPr>
          <w:p/>
        </w:tc>
        <w:tc>
          <w:tcPr>
            <w:tcW w:w="1180" w:type="dxa"/>
            <w:vMerge w:val="continue"/>
            <w:vAlign w:val="center"/>
          </w:tcPr>
          <w:p/>
        </w:tc>
        <w:tc>
          <w:tcPr>
            <w:tcW w:w="1769" w:type="dxa"/>
            <w:gridSpan w:val="2"/>
            <w:vMerge w:val="continue"/>
            <w:vAlign w:val="center"/>
          </w:tcPr>
          <w:p/>
        </w:tc>
        <w:tc>
          <w:tcPr>
            <w:tcW w:w="20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0" w:type="auto"/>
            <w:vAlign w:val="center"/>
          </w:tcPr>
          <w:p>
            <w:pPr>
              <w:jc w:val="center"/>
              <w:rPr>
                <w:color w:val="000000"/>
                <w:szCs w:val="21"/>
              </w:rPr>
            </w:pPr>
            <w:r>
              <w:rPr>
                <w:color w:val="000000"/>
                <w:szCs w:val="21"/>
              </w:rPr>
              <w:t>ZH43052430003</w:t>
            </w:r>
          </w:p>
        </w:tc>
        <w:tc>
          <w:tcPr>
            <w:tcW w:w="995" w:type="dxa"/>
            <w:vAlign w:val="center"/>
          </w:tcPr>
          <w:p>
            <w:pPr>
              <w:jc w:val="center"/>
              <w:rPr>
                <w:color w:val="000000"/>
                <w:szCs w:val="21"/>
              </w:rPr>
            </w:pPr>
            <w:r>
              <w:rPr>
                <w:color w:val="000000"/>
                <w:szCs w:val="21"/>
              </w:rPr>
              <w:t>横板桥镇/南岳庙镇/滩头镇/桃花坪街道/西洋江镇/周旺镇/花门街道</w:t>
            </w:r>
          </w:p>
        </w:tc>
        <w:tc>
          <w:tcPr>
            <w:tcW w:w="963" w:type="dxa"/>
            <w:vAlign w:val="center"/>
          </w:tcPr>
          <w:p>
            <w:pPr>
              <w:jc w:val="center"/>
              <w:rPr>
                <w:color w:val="000000"/>
                <w:szCs w:val="21"/>
              </w:rPr>
            </w:pPr>
            <w:r>
              <w:rPr>
                <w:color w:val="000000"/>
                <w:szCs w:val="21"/>
              </w:rPr>
              <w:t>湖南省</w:t>
            </w:r>
          </w:p>
        </w:tc>
        <w:tc>
          <w:tcPr>
            <w:tcW w:w="963" w:type="dxa"/>
            <w:vAlign w:val="center"/>
          </w:tcPr>
          <w:p>
            <w:pPr>
              <w:jc w:val="center"/>
              <w:rPr>
                <w:color w:val="000000"/>
                <w:szCs w:val="21"/>
              </w:rPr>
            </w:pPr>
            <w:r>
              <w:rPr>
                <w:color w:val="000000"/>
                <w:szCs w:val="21"/>
              </w:rPr>
              <w:t>邵阳市</w:t>
            </w:r>
          </w:p>
        </w:tc>
        <w:tc>
          <w:tcPr>
            <w:tcW w:w="963" w:type="dxa"/>
            <w:vAlign w:val="center"/>
          </w:tcPr>
          <w:p>
            <w:pPr>
              <w:jc w:val="center"/>
              <w:rPr>
                <w:color w:val="000000"/>
                <w:szCs w:val="21"/>
              </w:rPr>
            </w:pPr>
            <w:r>
              <w:rPr>
                <w:color w:val="000000"/>
                <w:szCs w:val="21"/>
              </w:rPr>
              <w:t>隆回县</w:t>
            </w:r>
          </w:p>
        </w:tc>
        <w:tc>
          <w:tcPr>
            <w:tcW w:w="972" w:type="dxa"/>
            <w:vAlign w:val="center"/>
          </w:tcPr>
          <w:p>
            <w:pPr>
              <w:jc w:val="center"/>
              <w:rPr>
                <w:color w:val="000000"/>
                <w:szCs w:val="21"/>
              </w:rPr>
            </w:pPr>
            <w:r>
              <w:rPr>
                <w:color w:val="000000"/>
                <w:szCs w:val="21"/>
              </w:rPr>
              <w:t>一般管控单元</w:t>
            </w:r>
          </w:p>
        </w:tc>
        <w:tc>
          <w:tcPr>
            <w:tcW w:w="1433" w:type="dxa"/>
            <w:vAlign w:val="center"/>
          </w:tcPr>
          <w:p>
            <w:pPr>
              <w:jc w:val="center"/>
              <w:rPr>
                <w:color w:val="000000"/>
                <w:szCs w:val="21"/>
              </w:rPr>
            </w:pPr>
            <w:r>
              <w:rPr>
                <w:color w:val="000000"/>
                <w:szCs w:val="21"/>
              </w:rPr>
              <w:t>709.16</w:t>
            </w:r>
          </w:p>
        </w:tc>
        <w:tc>
          <w:tcPr>
            <w:tcW w:w="1276" w:type="dxa"/>
            <w:vAlign w:val="center"/>
          </w:tcPr>
          <w:p>
            <w:pPr>
              <w:jc w:val="center"/>
              <w:rPr>
                <w:color w:val="000000"/>
                <w:szCs w:val="21"/>
              </w:rPr>
            </w:pPr>
            <w:r>
              <w:rPr>
                <w:color w:val="000000"/>
                <w:szCs w:val="21"/>
              </w:rPr>
              <w:t>横板桥镇/南岳庙镇/滩头镇/桃花坪街道/西洋江镇/周旺镇/花门街道</w:t>
            </w:r>
          </w:p>
        </w:tc>
        <w:tc>
          <w:tcPr>
            <w:tcW w:w="1180" w:type="dxa"/>
            <w:vAlign w:val="center"/>
          </w:tcPr>
          <w:p>
            <w:pPr>
              <w:jc w:val="left"/>
              <w:rPr>
                <w:color w:val="000000"/>
                <w:szCs w:val="21"/>
              </w:rPr>
            </w:pPr>
            <w:r>
              <w:rPr>
                <w:b/>
                <w:bCs/>
                <w:color w:val="000000"/>
                <w:szCs w:val="21"/>
              </w:rPr>
              <w:t>横板桥镇/南岳庙镇/滩头镇/西洋江镇/周旺镇：</w:t>
            </w:r>
            <w:r>
              <w:rPr>
                <w:color w:val="000000"/>
                <w:szCs w:val="21"/>
              </w:rPr>
              <w:t>农产品主产区</w:t>
            </w:r>
          </w:p>
          <w:p>
            <w:pPr>
              <w:jc w:val="left"/>
              <w:rPr>
                <w:szCs w:val="21"/>
              </w:rPr>
            </w:pPr>
            <w:r>
              <w:rPr>
                <w:b/>
                <w:bCs/>
                <w:color w:val="000000"/>
                <w:szCs w:val="21"/>
              </w:rPr>
              <w:t>滩头镇</w:t>
            </w:r>
            <w:r>
              <w:rPr>
                <w:color w:val="000000"/>
                <w:szCs w:val="21"/>
              </w:rPr>
              <w:t>：农产品主产</w:t>
            </w:r>
            <w:r>
              <w:rPr>
                <w:szCs w:val="21"/>
              </w:rPr>
              <w:t>区/历史文化资源富集区</w:t>
            </w:r>
          </w:p>
          <w:p>
            <w:pPr>
              <w:jc w:val="left"/>
              <w:rPr>
                <w:color w:val="000000"/>
                <w:szCs w:val="21"/>
              </w:rPr>
            </w:pPr>
            <w:r>
              <w:rPr>
                <w:b/>
                <w:bCs/>
                <w:szCs w:val="21"/>
              </w:rPr>
              <w:t>桃花坪街道</w:t>
            </w:r>
            <w:r>
              <w:rPr>
                <w:b/>
                <w:bCs/>
                <w:color w:val="000000"/>
                <w:szCs w:val="21"/>
              </w:rPr>
              <w:t>：</w:t>
            </w:r>
            <w:r>
              <w:rPr>
                <w:color w:val="000000"/>
                <w:szCs w:val="21"/>
              </w:rPr>
              <w:t>城市化地区</w:t>
            </w:r>
          </w:p>
          <w:p>
            <w:pPr>
              <w:jc w:val="center"/>
              <w:rPr>
                <w:color w:val="000000"/>
                <w:szCs w:val="21"/>
              </w:rPr>
            </w:pPr>
          </w:p>
        </w:tc>
        <w:tc>
          <w:tcPr>
            <w:tcW w:w="1769" w:type="dxa"/>
            <w:gridSpan w:val="2"/>
            <w:vAlign w:val="center"/>
          </w:tcPr>
          <w:p>
            <w:pPr>
              <w:widowControl/>
              <w:jc w:val="left"/>
              <w:rPr>
                <w:color w:val="000000"/>
                <w:kern w:val="0"/>
                <w:szCs w:val="21"/>
              </w:rPr>
            </w:pPr>
            <w:r>
              <w:rPr>
                <w:b/>
                <w:bCs/>
                <w:color w:val="000000"/>
                <w:kern w:val="0"/>
                <w:szCs w:val="21"/>
              </w:rPr>
              <w:t>横板桥镇：</w:t>
            </w:r>
            <w:r>
              <w:rPr>
                <w:color w:val="000000"/>
                <w:kern w:val="0"/>
                <w:szCs w:val="21"/>
              </w:rPr>
              <w:t>农副产品加工、水电、</w:t>
            </w:r>
            <w:r>
              <w:rPr>
                <w:bCs/>
                <w:color w:val="000000"/>
                <w:kern w:val="0"/>
                <w:szCs w:val="21"/>
              </w:rPr>
              <w:t>建材开发加工、屠宰、</w:t>
            </w:r>
            <w:r>
              <w:rPr>
                <w:color w:val="000000"/>
                <w:kern w:val="0"/>
                <w:szCs w:val="21"/>
              </w:rPr>
              <w:t>农业种植、水电、商贸物流、</w:t>
            </w:r>
            <w:bookmarkStart w:id="45" w:name="__DdeLink__41164_4111846386"/>
            <w:r>
              <w:rPr>
                <w:color w:val="000000"/>
                <w:kern w:val="0"/>
                <w:szCs w:val="21"/>
              </w:rPr>
              <w:t>林产品加工</w:t>
            </w:r>
            <w:bookmarkEnd w:id="45"/>
          </w:p>
          <w:p>
            <w:pPr>
              <w:widowControl/>
              <w:jc w:val="left"/>
              <w:rPr>
                <w:color w:val="000000"/>
                <w:kern w:val="0"/>
                <w:szCs w:val="21"/>
              </w:rPr>
            </w:pPr>
            <w:r>
              <w:rPr>
                <w:b/>
                <w:bCs/>
                <w:color w:val="000000"/>
                <w:kern w:val="0"/>
                <w:szCs w:val="21"/>
              </w:rPr>
              <w:t>南岳庙镇：</w:t>
            </w:r>
            <w:r>
              <w:rPr>
                <w:bCs/>
                <w:color w:val="000000"/>
                <w:kern w:val="0"/>
                <w:szCs w:val="21"/>
              </w:rPr>
              <w:t>建材开发加工、玩具制造业、 农业种植、畜禽养殖</w:t>
            </w:r>
          </w:p>
          <w:p>
            <w:pPr>
              <w:widowControl/>
              <w:jc w:val="left"/>
              <w:rPr>
                <w:color w:val="000000"/>
                <w:kern w:val="0"/>
                <w:szCs w:val="21"/>
              </w:rPr>
            </w:pPr>
            <w:r>
              <w:rPr>
                <w:b/>
                <w:bCs/>
                <w:color w:val="000000"/>
                <w:kern w:val="0"/>
                <w:szCs w:val="21"/>
              </w:rPr>
              <w:t>滩头镇：</w:t>
            </w:r>
            <w:r>
              <w:rPr>
                <w:color w:val="000000"/>
                <w:kern w:val="0"/>
                <w:szCs w:val="21"/>
              </w:rPr>
              <w:t>特色纸业、农业种植、旅游、建材</w:t>
            </w:r>
            <w:r>
              <w:rPr>
                <w:bCs/>
                <w:color w:val="000000"/>
                <w:kern w:val="0"/>
                <w:szCs w:val="21"/>
              </w:rPr>
              <w:t>、水电、林产品加工、再生资源利用、</w:t>
            </w:r>
          </w:p>
          <w:p>
            <w:pPr>
              <w:widowControl/>
              <w:jc w:val="left"/>
              <w:rPr>
                <w:color w:val="000000"/>
                <w:kern w:val="0"/>
                <w:szCs w:val="21"/>
              </w:rPr>
            </w:pPr>
            <w:r>
              <w:rPr>
                <w:b/>
                <w:bCs/>
                <w:color w:val="000000"/>
                <w:kern w:val="0"/>
                <w:szCs w:val="21"/>
              </w:rPr>
              <w:t>桃花坪街道：</w:t>
            </w:r>
            <w:r>
              <w:rPr>
                <w:bCs/>
                <w:color w:val="000000"/>
                <w:kern w:val="0"/>
                <w:szCs w:val="21"/>
              </w:rPr>
              <w:t>商贸物流、建材开发加工、</w:t>
            </w:r>
            <w:r>
              <w:rPr>
                <w:color w:val="000000"/>
                <w:kern w:val="0"/>
                <w:szCs w:val="21"/>
              </w:rPr>
              <w:t>农业种植</w:t>
            </w:r>
            <w:r>
              <w:rPr>
                <w:bCs/>
                <w:color w:val="000000"/>
                <w:kern w:val="0"/>
                <w:szCs w:val="21"/>
              </w:rPr>
              <w:t>、水电、畜禽养殖、有机肥制造</w:t>
            </w:r>
          </w:p>
          <w:p>
            <w:pPr>
              <w:widowControl/>
              <w:jc w:val="left"/>
              <w:rPr>
                <w:color w:val="000000"/>
                <w:kern w:val="0"/>
                <w:szCs w:val="21"/>
              </w:rPr>
            </w:pPr>
            <w:r>
              <w:rPr>
                <w:b/>
                <w:bCs/>
                <w:color w:val="000000"/>
                <w:kern w:val="0"/>
                <w:szCs w:val="21"/>
              </w:rPr>
              <w:t>西洋江镇</w:t>
            </w:r>
            <w:r>
              <w:rPr>
                <w:color w:val="000000"/>
                <w:kern w:val="0"/>
                <w:szCs w:val="21"/>
              </w:rPr>
              <w:t>：</w:t>
            </w:r>
            <w:r>
              <w:rPr>
                <w:bCs/>
                <w:color w:val="000000"/>
                <w:kern w:val="0"/>
                <w:szCs w:val="21"/>
              </w:rPr>
              <w:t>建材开发加工、</w:t>
            </w:r>
            <w:r>
              <w:rPr>
                <w:color w:val="000000"/>
                <w:kern w:val="0"/>
                <w:szCs w:val="21"/>
              </w:rPr>
              <w:t>农业种植、水电、</w:t>
            </w:r>
            <w:r>
              <w:rPr>
                <w:bCs/>
                <w:color w:val="000000"/>
                <w:kern w:val="0"/>
                <w:szCs w:val="21"/>
              </w:rPr>
              <w:t>畜禽养殖</w:t>
            </w:r>
          </w:p>
          <w:p>
            <w:pPr>
              <w:widowControl/>
              <w:jc w:val="left"/>
              <w:rPr>
                <w:rStyle w:val="12"/>
                <w:b w:val="0"/>
                <w:color w:val="000000"/>
              </w:rPr>
            </w:pPr>
            <w:r>
              <w:rPr>
                <w:b/>
                <w:bCs/>
                <w:color w:val="000000"/>
                <w:kern w:val="0"/>
                <w:szCs w:val="21"/>
              </w:rPr>
              <w:t>周旺镇：</w:t>
            </w:r>
            <w:r>
              <w:rPr>
                <w:color w:val="000000"/>
                <w:kern w:val="0"/>
                <w:szCs w:val="21"/>
              </w:rPr>
              <w:t>纸制品制造、农业种植、建材</w:t>
            </w:r>
            <w:r>
              <w:rPr>
                <w:bCs/>
                <w:color w:val="000000"/>
                <w:kern w:val="0"/>
                <w:szCs w:val="21"/>
              </w:rPr>
              <w:t>、再生资源利用、畜禽养殖</w:t>
            </w:r>
          </w:p>
        </w:tc>
        <w:tc>
          <w:tcPr>
            <w:tcW w:w="2009" w:type="dxa"/>
          </w:tcPr>
          <w:p>
            <w:pPr>
              <w:widowControl/>
              <w:rPr>
                <w:b/>
                <w:color w:val="000000"/>
                <w:kern w:val="0"/>
                <w:szCs w:val="21"/>
              </w:rPr>
            </w:pPr>
            <w:r>
              <w:rPr>
                <w:b/>
                <w:color w:val="000000"/>
                <w:kern w:val="0"/>
                <w:szCs w:val="21"/>
              </w:rPr>
              <w:t>主要环境问题：</w:t>
            </w:r>
          </w:p>
          <w:p>
            <w:pPr>
              <w:widowControl/>
            </w:pPr>
            <w:r>
              <w:t>1、乡镇生活污水处理厂管网待进一步完善；</w:t>
            </w:r>
          </w:p>
          <w:p>
            <w:pPr>
              <w:widowControl/>
            </w:pPr>
            <w:r>
              <w:t>2、农村秸秆焚烧多发、道路扬尘需进一步加强治理；</w:t>
            </w:r>
          </w:p>
          <w:p>
            <w:pPr>
              <w:widowControl/>
            </w:pPr>
            <w:r>
              <w:t>3、建材行业大气污染防治需进一步加强。</w:t>
            </w:r>
          </w:p>
          <w:p>
            <w:pPr>
              <w:widowControl/>
              <w:rPr>
                <w:b/>
                <w:color w:val="000000"/>
                <w:kern w:val="0"/>
                <w:szCs w:val="21"/>
              </w:rPr>
            </w:pPr>
            <w:r>
              <w:rPr>
                <w:b/>
                <w:color w:val="000000"/>
                <w:kern w:val="0"/>
                <w:szCs w:val="21"/>
              </w:rPr>
              <w:t>重要敏感目标：</w:t>
            </w:r>
          </w:p>
          <w:p>
            <w:pPr>
              <w:widowControl/>
              <w:numPr>
                <w:ilvl w:val="0"/>
                <w:numId w:val="41"/>
              </w:numPr>
              <w:rPr>
                <w:bCs/>
                <w:color w:val="000000"/>
                <w:kern w:val="0"/>
                <w:szCs w:val="21"/>
              </w:rPr>
            </w:pPr>
            <w:r>
              <w:rPr>
                <w:b/>
                <w:bCs/>
                <w:color w:val="000000"/>
                <w:szCs w:val="21"/>
              </w:rPr>
              <w:t>横板桥镇：</w:t>
            </w:r>
            <w:r>
              <w:rPr>
                <w:bCs/>
                <w:color w:val="000000"/>
                <w:kern w:val="0"/>
                <w:szCs w:val="21"/>
              </w:rPr>
              <w:t>横板桥水厂西洋江饮用水水源保护区、罗子团水厂西洋江饮用水水源保护区</w:t>
            </w:r>
          </w:p>
          <w:p>
            <w:pPr>
              <w:widowControl/>
              <w:numPr>
                <w:ilvl w:val="0"/>
                <w:numId w:val="41"/>
              </w:numPr>
              <w:rPr>
                <w:bCs/>
                <w:color w:val="000000"/>
                <w:kern w:val="0"/>
                <w:szCs w:val="21"/>
              </w:rPr>
            </w:pPr>
            <w:r>
              <w:rPr>
                <w:b/>
                <w:bCs/>
                <w:color w:val="000000"/>
                <w:szCs w:val="21"/>
              </w:rPr>
              <w:t>南岳庙镇：</w:t>
            </w:r>
            <w:r>
              <w:rPr>
                <w:color w:val="000000"/>
                <w:szCs w:val="21"/>
              </w:rPr>
              <w:t>南岳庙镇水厂饮用水水源保护区、三阁司镇赧水饮用水水源保护区</w:t>
            </w:r>
          </w:p>
          <w:p>
            <w:pPr>
              <w:widowControl/>
              <w:numPr>
                <w:ilvl w:val="0"/>
                <w:numId w:val="41"/>
              </w:numPr>
              <w:rPr>
                <w:bCs/>
                <w:color w:val="000000"/>
                <w:kern w:val="0"/>
                <w:szCs w:val="21"/>
              </w:rPr>
            </w:pPr>
            <w:r>
              <w:rPr>
                <w:b/>
                <w:bCs/>
                <w:color w:val="000000"/>
                <w:szCs w:val="21"/>
              </w:rPr>
              <w:t>西洋江镇</w:t>
            </w:r>
            <w:r>
              <w:rPr>
                <w:color w:val="000000"/>
                <w:szCs w:val="21"/>
              </w:rPr>
              <w:t>：</w:t>
            </w:r>
            <w:r>
              <w:rPr>
                <w:szCs w:val="21"/>
              </w:rPr>
              <w:t>西洋江镇木瓜山水库引水渠饮用水水源保护区</w:t>
            </w:r>
          </w:p>
          <w:p>
            <w:pPr>
              <w:widowControl/>
              <w:numPr>
                <w:ilvl w:val="0"/>
                <w:numId w:val="41"/>
              </w:numPr>
              <w:rPr>
                <w:bCs/>
                <w:color w:val="000000"/>
                <w:kern w:val="0"/>
                <w:szCs w:val="21"/>
              </w:rPr>
            </w:pPr>
            <w:r>
              <w:rPr>
                <w:b/>
                <w:color w:val="000000"/>
                <w:kern w:val="0"/>
                <w:szCs w:val="21"/>
              </w:rPr>
              <w:t>花门街道：</w:t>
            </w:r>
            <w:r>
              <w:rPr>
                <w:bCs/>
                <w:color w:val="000000"/>
                <w:kern w:val="0"/>
                <w:szCs w:val="21"/>
              </w:rPr>
              <w:t>第二水厂赧水河饮用水水源保护区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80" w:lineRule="exact"/>
              <w:jc w:val="center"/>
              <w:rPr>
                <w:b/>
                <w:color w:val="000000"/>
                <w:kern w:val="0"/>
                <w:szCs w:val="21"/>
              </w:rPr>
            </w:pPr>
            <w:r>
              <w:rPr>
                <w:b/>
                <w:color w:val="000000"/>
                <w:kern w:val="0"/>
                <w:szCs w:val="21"/>
              </w:rPr>
              <w:t>主要属性</w:t>
            </w:r>
          </w:p>
        </w:tc>
        <w:tc>
          <w:tcPr>
            <w:tcW w:w="0" w:type="auto"/>
            <w:gridSpan w:val="11"/>
            <w:vAlign w:val="center"/>
          </w:tcPr>
          <w:p>
            <w:pPr>
              <w:spacing w:line="380" w:lineRule="exact"/>
              <w:rPr>
                <w:b/>
                <w:bCs/>
                <w:color w:val="000000"/>
                <w:szCs w:val="21"/>
              </w:rPr>
            </w:pPr>
            <w:r>
              <w:rPr>
                <w:b/>
                <w:bCs/>
                <w:color w:val="000000"/>
                <w:szCs w:val="21"/>
              </w:rPr>
              <w:t>横板桥镇：</w:t>
            </w:r>
          </w:p>
          <w:p>
            <w:pPr>
              <w:numPr>
                <w:ilvl w:val="0"/>
                <w:numId w:val="42"/>
              </w:numPr>
              <w:spacing w:line="380" w:lineRule="exact"/>
              <w:rPr>
                <w:color w:val="000000"/>
                <w:szCs w:val="21"/>
              </w:rPr>
            </w:pPr>
            <w:r>
              <w:rPr>
                <w:color w:val="000000"/>
                <w:szCs w:val="21"/>
              </w:rPr>
              <w:t>红线/一般生态空间/三区三线生态红线/水源涵养重要区/原生态红线/水土流失敏感区/生物多样性保护功能重要区</w:t>
            </w:r>
          </w:p>
          <w:p>
            <w:pPr>
              <w:numPr>
                <w:ilvl w:val="0"/>
                <w:numId w:val="42"/>
              </w:numPr>
              <w:spacing w:line="380" w:lineRule="exact"/>
              <w:rPr>
                <w:color w:val="000000"/>
                <w:szCs w:val="21"/>
              </w:rPr>
            </w:pPr>
            <w:r>
              <w:rPr>
                <w:color w:val="000000"/>
                <w:szCs w:val="21"/>
              </w:rPr>
              <w:t>水环境一般管控区；</w:t>
            </w:r>
          </w:p>
          <w:p>
            <w:pPr>
              <w:numPr>
                <w:ilvl w:val="0"/>
                <w:numId w:val="42"/>
              </w:numPr>
              <w:spacing w:line="380" w:lineRule="exact"/>
              <w:rPr>
                <w:color w:val="000000"/>
                <w:szCs w:val="21"/>
              </w:rPr>
            </w:pPr>
            <w:r>
              <w:rPr>
                <w:color w:val="000000"/>
                <w:szCs w:val="21"/>
              </w:rPr>
              <w:t>大气环境受体敏感重点管控区/其他区域；</w:t>
            </w:r>
          </w:p>
          <w:p>
            <w:pPr>
              <w:numPr>
                <w:ilvl w:val="0"/>
                <w:numId w:val="42"/>
              </w:numPr>
              <w:spacing w:line="380" w:lineRule="exact"/>
              <w:rPr>
                <w:color w:val="000000"/>
                <w:szCs w:val="21"/>
              </w:rPr>
            </w:pPr>
            <w:r>
              <w:rPr>
                <w:color w:val="000000"/>
                <w:szCs w:val="21"/>
              </w:rPr>
              <w:t>农用地优先保护区/建设用地重点管控区/其他重点管控区/一般管控区；</w:t>
            </w:r>
          </w:p>
          <w:p>
            <w:pPr>
              <w:numPr>
                <w:ilvl w:val="0"/>
                <w:numId w:val="42"/>
              </w:numPr>
              <w:spacing w:line="380" w:lineRule="exact"/>
              <w:rPr>
                <w:color w:val="000000"/>
                <w:szCs w:val="21"/>
              </w:rPr>
            </w:pPr>
            <w:r>
              <w:rPr>
                <w:color w:val="000000"/>
                <w:szCs w:val="21"/>
              </w:rPr>
              <w:t>农产品主产区；高污染燃料禁燃区</w:t>
            </w:r>
          </w:p>
          <w:p>
            <w:pPr>
              <w:spacing w:line="380" w:lineRule="exact"/>
              <w:rPr>
                <w:b/>
                <w:bCs/>
                <w:color w:val="000000"/>
                <w:szCs w:val="21"/>
              </w:rPr>
            </w:pPr>
            <w:r>
              <w:rPr>
                <w:b/>
                <w:bCs/>
                <w:color w:val="000000"/>
                <w:szCs w:val="21"/>
              </w:rPr>
              <w:t>南岳庙镇：</w:t>
            </w:r>
          </w:p>
          <w:p>
            <w:pPr>
              <w:numPr>
                <w:ilvl w:val="0"/>
                <w:numId w:val="42"/>
              </w:numPr>
              <w:spacing w:line="380" w:lineRule="exact"/>
              <w:rPr>
                <w:color w:val="000000"/>
                <w:szCs w:val="21"/>
              </w:rPr>
            </w:pPr>
            <w:r>
              <w:rPr>
                <w:color w:val="000000"/>
                <w:szCs w:val="21"/>
              </w:rPr>
              <w:t>红线/一般生态空间/三区三线生态红线/水源涵养重要区/生物多样性保护功能重要区/原生态红线/水土流失敏感区</w:t>
            </w:r>
          </w:p>
          <w:p>
            <w:pPr>
              <w:numPr>
                <w:ilvl w:val="0"/>
                <w:numId w:val="42"/>
              </w:numPr>
              <w:spacing w:line="380" w:lineRule="exact"/>
              <w:rPr>
                <w:color w:val="000000"/>
                <w:szCs w:val="21"/>
              </w:rPr>
            </w:pPr>
            <w:r>
              <w:rPr>
                <w:color w:val="000000"/>
                <w:szCs w:val="21"/>
              </w:rPr>
              <w:t>水环境优先保护区/水环境一般管控区；</w:t>
            </w:r>
          </w:p>
          <w:p>
            <w:pPr>
              <w:numPr>
                <w:ilvl w:val="0"/>
                <w:numId w:val="42"/>
              </w:numPr>
              <w:spacing w:line="380" w:lineRule="exact"/>
              <w:rPr>
                <w:color w:val="000000"/>
                <w:szCs w:val="21"/>
              </w:rPr>
            </w:pPr>
            <w:r>
              <w:rPr>
                <w:color w:val="000000"/>
                <w:szCs w:val="21"/>
              </w:rPr>
              <w:t>大气环境受体敏感重点管控区/大气环境弱扩散重点管控区/其他区域；</w:t>
            </w:r>
          </w:p>
          <w:p>
            <w:pPr>
              <w:numPr>
                <w:ilvl w:val="0"/>
                <w:numId w:val="42"/>
              </w:numPr>
              <w:spacing w:line="380" w:lineRule="exact"/>
              <w:rPr>
                <w:color w:val="000000"/>
                <w:szCs w:val="21"/>
              </w:rPr>
            </w:pPr>
            <w:r>
              <w:rPr>
                <w:color w:val="000000"/>
                <w:szCs w:val="21"/>
              </w:rPr>
              <w:t>农用地优先保护区/建设用地重点管控区/其他重点管控区/一般管控区；</w:t>
            </w:r>
          </w:p>
          <w:p>
            <w:pPr>
              <w:numPr>
                <w:ilvl w:val="0"/>
                <w:numId w:val="42"/>
              </w:numPr>
              <w:spacing w:line="380" w:lineRule="exact"/>
              <w:rPr>
                <w:color w:val="000000"/>
                <w:szCs w:val="21"/>
              </w:rPr>
            </w:pPr>
            <w:r>
              <w:rPr>
                <w:color w:val="000000"/>
                <w:szCs w:val="21"/>
              </w:rPr>
              <w:t>农产品主产区</w:t>
            </w:r>
          </w:p>
          <w:p>
            <w:pPr>
              <w:spacing w:line="380" w:lineRule="exact"/>
              <w:rPr>
                <w:b/>
                <w:bCs/>
                <w:color w:val="000000"/>
                <w:szCs w:val="21"/>
              </w:rPr>
            </w:pPr>
            <w:r>
              <w:rPr>
                <w:b/>
                <w:bCs/>
                <w:color w:val="000000"/>
                <w:szCs w:val="21"/>
              </w:rPr>
              <w:t>滩头镇：</w:t>
            </w:r>
          </w:p>
          <w:p>
            <w:pPr>
              <w:numPr>
                <w:ilvl w:val="0"/>
                <w:numId w:val="42"/>
              </w:numPr>
              <w:spacing w:line="380" w:lineRule="exact"/>
              <w:rPr>
                <w:color w:val="000000"/>
                <w:szCs w:val="21"/>
              </w:rPr>
            </w:pPr>
            <w:r>
              <w:rPr>
                <w:color w:val="000000"/>
                <w:szCs w:val="21"/>
              </w:rPr>
              <w:t>红线/一般生态空间/水源涵养重要区/三区三线生态红线/水土流失敏感区/原生态红线/生物多样性保护功能重要区</w:t>
            </w:r>
          </w:p>
          <w:p>
            <w:pPr>
              <w:numPr>
                <w:ilvl w:val="0"/>
                <w:numId w:val="42"/>
              </w:numPr>
              <w:spacing w:line="380" w:lineRule="exact"/>
              <w:rPr>
                <w:color w:val="000000"/>
                <w:szCs w:val="21"/>
              </w:rPr>
            </w:pPr>
            <w:r>
              <w:rPr>
                <w:color w:val="000000"/>
                <w:szCs w:val="21"/>
              </w:rPr>
              <w:t>水环境一般管控区；</w:t>
            </w:r>
          </w:p>
          <w:p>
            <w:pPr>
              <w:numPr>
                <w:ilvl w:val="0"/>
                <w:numId w:val="42"/>
              </w:numPr>
              <w:spacing w:line="380" w:lineRule="exact"/>
              <w:rPr>
                <w:color w:val="000000"/>
                <w:szCs w:val="21"/>
              </w:rPr>
            </w:pPr>
            <w:r>
              <w:rPr>
                <w:color w:val="000000"/>
                <w:szCs w:val="21"/>
              </w:rPr>
              <w:t>大气环境受体敏感重点管控区/大气环境弱扩散重点管控区/其他区域；</w:t>
            </w:r>
          </w:p>
          <w:p>
            <w:pPr>
              <w:numPr>
                <w:ilvl w:val="0"/>
                <w:numId w:val="42"/>
              </w:numPr>
              <w:spacing w:line="380" w:lineRule="exact"/>
              <w:rPr>
                <w:color w:val="000000"/>
                <w:szCs w:val="21"/>
              </w:rPr>
            </w:pPr>
            <w:r>
              <w:rPr>
                <w:color w:val="000000"/>
                <w:szCs w:val="21"/>
              </w:rPr>
              <w:t>农用地优先保护区/建设用地重点管控区/其他重点管控区/一般管控区；</w:t>
            </w:r>
          </w:p>
          <w:p>
            <w:pPr>
              <w:numPr>
                <w:ilvl w:val="0"/>
                <w:numId w:val="42"/>
              </w:numPr>
              <w:spacing w:line="380" w:lineRule="exact"/>
              <w:rPr>
                <w:color w:val="000000"/>
                <w:szCs w:val="21"/>
              </w:rPr>
            </w:pPr>
            <w:r>
              <w:rPr>
                <w:color w:val="000000"/>
                <w:szCs w:val="21"/>
              </w:rPr>
              <w:t>农产品主产区；高污染燃料禁燃区</w:t>
            </w:r>
          </w:p>
          <w:p>
            <w:pPr>
              <w:spacing w:line="380" w:lineRule="exact"/>
              <w:rPr>
                <w:b/>
                <w:bCs/>
                <w:color w:val="000000"/>
                <w:szCs w:val="21"/>
              </w:rPr>
            </w:pPr>
            <w:r>
              <w:rPr>
                <w:b/>
                <w:bCs/>
                <w:color w:val="000000"/>
                <w:szCs w:val="21"/>
              </w:rPr>
              <w:t>桃花坪街道：</w:t>
            </w:r>
          </w:p>
          <w:p>
            <w:pPr>
              <w:numPr>
                <w:ilvl w:val="0"/>
                <w:numId w:val="42"/>
              </w:numPr>
              <w:spacing w:line="380" w:lineRule="exact"/>
              <w:rPr>
                <w:color w:val="000000"/>
                <w:szCs w:val="21"/>
              </w:rPr>
            </w:pPr>
            <w:r>
              <w:rPr>
                <w:color w:val="000000"/>
                <w:szCs w:val="21"/>
              </w:rPr>
              <w:t>红线/一般生态空间/水源涵养重要区/三区三线生态红线/生物多样性保护功能重要区/原生态红线/水土流失敏感区</w:t>
            </w:r>
          </w:p>
          <w:p>
            <w:pPr>
              <w:numPr>
                <w:ilvl w:val="0"/>
                <w:numId w:val="42"/>
              </w:numPr>
              <w:spacing w:line="380" w:lineRule="exact"/>
              <w:rPr>
                <w:color w:val="000000"/>
                <w:szCs w:val="21"/>
              </w:rPr>
            </w:pPr>
            <w:r>
              <w:rPr>
                <w:color w:val="000000"/>
                <w:szCs w:val="21"/>
              </w:rPr>
              <w:t>水环境工业污染重点管控区/水环境一般管控区；</w:t>
            </w:r>
          </w:p>
          <w:p>
            <w:pPr>
              <w:numPr>
                <w:ilvl w:val="0"/>
                <w:numId w:val="42"/>
              </w:numPr>
              <w:spacing w:line="380" w:lineRule="exact"/>
              <w:rPr>
                <w:color w:val="000000"/>
                <w:szCs w:val="21"/>
              </w:rPr>
            </w:pPr>
            <w:r>
              <w:rPr>
                <w:color w:val="000000"/>
                <w:szCs w:val="21"/>
              </w:rPr>
              <w:t>大气环境高排放重点管控区/大气环境受体敏感重点管控区/大气环境弱扩散重点管控区/其他区域；</w:t>
            </w:r>
          </w:p>
          <w:p>
            <w:pPr>
              <w:numPr>
                <w:ilvl w:val="0"/>
                <w:numId w:val="42"/>
              </w:numPr>
              <w:spacing w:line="380" w:lineRule="exact"/>
              <w:rPr>
                <w:color w:val="000000"/>
                <w:szCs w:val="21"/>
              </w:rPr>
            </w:pPr>
            <w:r>
              <w:rPr>
                <w:color w:val="000000"/>
                <w:szCs w:val="21"/>
              </w:rPr>
              <w:t>农用地优先保护区/建设用地重点管控区/其他重点管控区/一般管控区；</w:t>
            </w:r>
          </w:p>
          <w:p>
            <w:pPr>
              <w:numPr>
                <w:ilvl w:val="0"/>
                <w:numId w:val="42"/>
              </w:numPr>
              <w:spacing w:line="380" w:lineRule="exact"/>
              <w:rPr>
                <w:color w:val="000000"/>
                <w:szCs w:val="21"/>
              </w:rPr>
            </w:pPr>
            <w:r>
              <w:rPr>
                <w:color w:val="000000"/>
                <w:szCs w:val="21"/>
              </w:rPr>
              <w:t>农产品主产区</w:t>
            </w:r>
          </w:p>
          <w:p>
            <w:pPr>
              <w:spacing w:line="380" w:lineRule="exact"/>
              <w:rPr>
                <w:b/>
                <w:bCs/>
                <w:color w:val="000000"/>
                <w:szCs w:val="21"/>
              </w:rPr>
            </w:pPr>
            <w:r>
              <w:rPr>
                <w:b/>
                <w:bCs/>
                <w:color w:val="000000"/>
                <w:szCs w:val="21"/>
              </w:rPr>
              <w:t>西洋江镇：</w:t>
            </w:r>
          </w:p>
          <w:p>
            <w:pPr>
              <w:numPr>
                <w:ilvl w:val="0"/>
                <w:numId w:val="42"/>
              </w:numPr>
              <w:spacing w:line="380" w:lineRule="exact"/>
              <w:rPr>
                <w:color w:val="000000"/>
                <w:szCs w:val="21"/>
              </w:rPr>
            </w:pPr>
            <w:r>
              <w:rPr>
                <w:color w:val="000000"/>
                <w:szCs w:val="21"/>
              </w:rPr>
              <w:t>红线/一般生态空间/三区三线生态红线/水源涵养重要区/生物多样性保护功能重要区/原生态红线/森林公园/水土流失敏感区</w:t>
            </w:r>
          </w:p>
          <w:p>
            <w:pPr>
              <w:numPr>
                <w:ilvl w:val="0"/>
                <w:numId w:val="42"/>
              </w:numPr>
              <w:spacing w:line="380" w:lineRule="exact"/>
              <w:rPr>
                <w:color w:val="000000"/>
                <w:szCs w:val="21"/>
              </w:rPr>
            </w:pPr>
            <w:r>
              <w:rPr>
                <w:color w:val="000000"/>
                <w:szCs w:val="21"/>
              </w:rPr>
              <w:t>水环境一般管控区/</w:t>
            </w:r>
          </w:p>
          <w:p>
            <w:pPr>
              <w:numPr>
                <w:ilvl w:val="0"/>
                <w:numId w:val="42"/>
              </w:numPr>
              <w:spacing w:line="380" w:lineRule="exact"/>
              <w:rPr>
                <w:color w:val="000000"/>
                <w:szCs w:val="21"/>
              </w:rPr>
            </w:pPr>
            <w:r>
              <w:rPr>
                <w:color w:val="000000"/>
                <w:szCs w:val="21"/>
              </w:rPr>
              <w:t>大气环境受体敏感重点管控区/其他区域/</w:t>
            </w:r>
          </w:p>
          <w:p>
            <w:pPr>
              <w:numPr>
                <w:ilvl w:val="0"/>
                <w:numId w:val="42"/>
              </w:numPr>
              <w:spacing w:line="380" w:lineRule="exact"/>
              <w:rPr>
                <w:color w:val="000000"/>
                <w:szCs w:val="21"/>
              </w:rPr>
            </w:pPr>
            <w:r>
              <w:rPr>
                <w:color w:val="000000"/>
                <w:szCs w:val="21"/>
              </w:rPr>
              <w:t>农用地优先保护区/建设用地重点管控区/其他重点管控区/一般管控区；</w:t>
            </w:r>
          </w:p>
          <w:p>
            <w:pPr>
              <w:numPr>
                <w:ilvl w:val="0"/>
                <w:numId w:val="42"/>
              </w:numPr>
              <w:spacing w:line="380" w:lineRule="exact"/>
              <w:rPr>
                <w:color w:val="000000"/>
                <w:szCs w:val="21"/>
              </w:rPr>
            </w:pPr>
            <w:r>
              <w:rPr>
                <w:color w:val="000000"/>
                <w:szCs w:val="21"/>
              </w:rPr>
              <w:t>农产品主产区</w:t>
            </w:r>
          </w:p>
          <w:p>
            <w:pPr>
              <w:spacing w:line="380" w:lineRule="exact"/>
              <w:rPr>
                <w:b/>
                <w:bCs/>
                <w:color w:val="000000"/>
                <w:szCs w:val="21"/>
              </w:rPr>
            </w:pPr>
            <w:r>
              <w:rPr>
                <w:b/>
                <w:bCs/>
                <w:color w:val="000000"/>
                <w:szCs w:val="21"/>
              </w:rPr>
              <w:t>周旺镇：</w:t>
            </w:r>
          </w:p>
          <w:p>
            <w:pPr>
              <w:numPr>
                <w:ilvl w:val="0"/>
                <w:numId w:val="42"/>
              </w:numPr>
              <w:spacing w:line="380" w:lineRule="exact"/>
              <w:rPr>
                <w:color w:val="000000"/>
                <w:szCs w:val="21"/>
              </w:rPr>
            </w:pPr>
            <w:r>
              <w:rPr>
                <w:color w:val="000000"/>
                <w:szCs w:val="21"/>
              </w:rPr>
              <w:t>红线/一般生态空间/三区三线生态红线/水源涵养重要区/水土流失敏感区/生物多样性保护功能重要区/原生态红线</w:t>
            </w:r>
          </w:p>
          <w:p>
            <w:pPr>
              <w:numPr>
                <w:ilvl w:val="0"/>
                <w:numId w:val="42"/>
              </w:numPr>
              <w:spacing w:line="380" w:lineRule="exact"/>
              <w:rPr>
                <w:color w:val="000000"/>
                <w:szCs w:val="21"/>
              </w:rPr>
            </w:pPr>
            <w:r>
              <w:rPr>
                <w:color w:val="000000"/>
                <w:szCs w:val="21"/>
              </w:rPr>
              <w:t>水环境一般管控区；</w:t>
            </w:r>
          </w:p>
          <w:p>
            <w:pPr>
              <w:numPr>
                <w:ilvl w:val="0"/>
                <w:numId w:val="42"/>
              </w:numPr>
              <w:spacing w:line="380" w:lineRule="exact"/>
              <w:rPr>
                <w:color w:val="000000"/>
                <w:szCs w:val="21"/>
              </w:rPr>
            </w:pPr>
            <w:r>
              <w:rPr>
                <w:color w:val="000000"/>
                <w:szCs w:val="21"/>
              </w:rPr>
              <w:t>大气环境高排放重点管控区/大气环境受体敏感重点管控区/大气环境弱扩散重点管控区/其他区域；</w:t>
            </w:r>
          </w:p>
          <w:p>
            <w:pPr>
              <w:numPr>
                <w:ilvl w:val="0"/>
                <w:numId w:val="42"/>
              </w:numPr>
              <w:spacing w:line="380" w:lineRule="exact"/>
              <w:rPr>
                <w:color w:val="000000"/>
                <w:szCs w:val="21"/>
              </w:rPr>
            </w:pPr>
            <w:r>
              <w:rPr>
                <w:color w:val="000000"/>
                <w:szCs w:val="21"/>
              </w:rPr>
              <w:t>农用地优先保护区/建设用地重点管控区/一般管控区；</w:t>
            </w:r>
          </w:p>
          <w:p>
            <w:pPr>
              <w:numPr>
                <w:ilvl w:val="0"/>
                <w:numId w:val="42"/>
              </w:numPr>
              <w:spacing w:line="380" w:lineRule="exact"/>
              <w:rPr>
                <w:color w:val="000000"/>
                <w:szCs w:val="21"/>
              </w:rPr>
            </w:pPr>
            <w:r>
              <w:rPr>
                <w:color w:val="000000"/>
                <w:szCs w:val="21"/>
              </w:rPr>
              <w:t>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80" w:lineRule="exact"/>
              <w:jc w:val="center"/>
              <w:rPr>
                <w:b/>
                <w:color w:val="000000"/>
                <w:szCs w:val="21"/>
              </w:rPr>
            </w:pPr>
            <w:r>
              <w:rPr>
                <w:b/>
                <w:color w:val="000000"/>
                <w:szCs w:val="21"/>
              </w:rPr>
              <w:t>管控维度</w:t>
            </w:r>
          </w:p>
        </w:tc>
        <w:tc>
          <w:tcPr>
            <w:tcW w:w="9080" w:type="dxa"/>
            <w:gridSpan w:val="9"/>
            <w:vAlign w:val="center"/>
          </w:tcPr>
          <w:p>
            <w:pPr>
              <w:spacing w:line="380" w:lineRule="exact"/>
              <w:jc w:val="center"/>
              <w:rPr>
                <w:b/>
                <w:color w:val="000000"/>
                <w:szCs w:val="21"/>
              </w:rPr>
            </w:pPr>
            <w:r>
              <w:rPr>
                <w:b/>
                <w:color w:val="000000"/>
                <w:kern w:val="0"/>
                <w:szCs w:val="21"/>
              </w:rPr>
              <w:t>管控要求</w:t>
            </w:r>
          </w:p>
        </w:tc>
        <w:tc>
          <w:tcPr>
            <w:tcW w:w="3443" w:type="dxa"/>
            <w:gridSpan w:val="2"/>
            <w:vAlign w:val="center"/>
          </w:tcPr>
          <w:p>
            <w:pPr>
              <w:spacing w:line="380" w:lineRule="exact"/>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80" w:lineRule="exact"/>
              <w:jc w:val="center"/>
              <w:rPr>
                <w:color w:val="000000"/>
                <w:szCs w:val="21"/>
              </w:rPr>
            </w:pPr>
            <w:r>
              <w:rPr>
                <w:color w:val="000000"/>
                <w:szCs w:val="21"/>
              </w:rPr>
              <w:t>空间布局约束</w:t>
            </w:r>
          </w:p>
        </w:tc>
        <w:tc>
          <w:tcPr>
            <w:tcW w:w="9080" w:type="dxa"/>
            <w:gridSpan w:val="9"/>
            <w:vAlign w:val="center"/>
          </w:tcPr>
          <w:p>
            <w:pPr>
              <w:tabs>
                <w:tab w:val="left" w:pos="1021"/>
              </w:tabs>
              <w:spacing w:line="380" w:lineRule="exact"/>
              <w:rPr>
                <w:bCs/>
                <w:color w:val="000000"/>
                <w:szCs w:val="21"/>
              </w:rPr>
            </w:pPr>
            <w:r>
              <w:rPr>
                <w:rStyle w:val="12"/>
                <w:b w:val="0"/>
                <w:color w:val="000000"/>
              </w:rPr>
              <w:t>（1.1</w:t>
            </w:r>
            <w:r>
              <w:rPr>
                <w:szCs w:val="21"/>
              </w:rPr>
              <w:t>）严格河道岸线等水生态空间管控，落实岸线分区管理，禁止不符合河道功能定位的涉河开发活动，强化岸线保护。</w:t>
            </w:r>
          </w:p>
          <w:p>
            <w:pPr>
              <w:widowControl/>
              <w:spacing w:line="380" w:lineRule="exact"/>
              <w:jc w:val="left"/>
              <w:rPr>
                <w:szCs w:val="21"/>
              </w:rPr>
            </w:pPr>
            <w:r>
              <w:rPr>
                <w:szCs w:val="21"/>
              </w:rPr>
              <w:t>（1.2）在城市蓝线（指规划确定的主要的江、河、湖、库、渠、湿地的城市地表水体保护和控制的地域界线）内禁止进行下列活动：违反城市蓝线保护和控制要求的建设活动；擅自填埋、占用城市蓝线内水域；影响水系安全的爆破、采石、取土；擅自建设各类排污设施；其它对城市水系保护构成破坏的活动。</w:t>
            </w:r>
          </w:p>
          <w:p>
            <w:pPr>
              <w:tabs>
                <w:tab w:val="left" w:pos="1021"/>
              </w:tabs>
              <w:spacing w:line="380" w:lineRule="exact"/>
              <w:rPr>
                <w:szCs w:val="21"/>
              </w:rPr>
            </w:pPr>
            <w:r>
              <w:rPr>
                <w:szCs w:val="21"/>
              </w:rPr>
              <w:t>（1.3）严禁在饮用水源保护区、自然保护地等环境敏感区、重要生态功能保护区内开发利用矿产资源。</w:t>
            </w:r>
          </w:p>
          <w:p>
            <w:pPr>
              <w:tabs>
                <w:tab w:val="left" w:pos="1021"/>
              </w:tabs>
              <w:spacing w:line="380" w:lineRule="exact"/>
              <w:rPr>
                <w:szCs w:val="21"/>
              </w:rPr>
            </w:pPr>
            <w:r>
              <w:rPr>
                <w:szCs w:val="21"/>
              </w:rPr>
              <w:t>（1.4）在城市紫线范围</w:t>
            </w:r>
            <w:r>
              <w:rPr>
                <w:rFonts w:hint="eastAsia"/>
                <w:szCs w:val="21"/>
              </w:rPr>
              <w:t>（包</w:t>
            </w:r>
            <w:r>
              <w:rPr>
                <w:szCs w:val="21"/>
              </w:rPr>
              <w:t>括经县级以上人民政府公布保护的保护范围界线）内禁止进行下列活动：损坏或者拆毁保护规划确定保护的建筑物、构筑物和其他设施；修建破坏传统风貌的建筑物、构筑物和其他设施；占用或者破坏保护规划确定保留的园林绿地、河湖水系、道路和古树名木等活动；以及其他对保护构成破坏性影响的活动。</w:t>
            </w:r>
          </w:p>
          <w:p>
            <w:pPr>
              <w:tabs>
                <w:tab w:val="left" w:pos="1021"/>
              </w:tabs>
              <w:spacing w:line="380" w:lineRule="exact"/>
              <w:rPr>
                <w:szCs w:val="21"/>
              </w:rPr>
            </w:pPr>
            <w:r>
              <w:rPr>
                <w:szCs w:val="21"/>
              </w:rPr>
              <w:t>（1.5）严格落实</w:t>
            </w:r>
            <w:r>
              <w:rPr>
                <w:color w:val="000000"/>
                <w:szCs w:val="21"/>
              </w:rPr>
              <w:t>《</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r>
              <w:rPr>
                <w:szCs w:val="21"/>
              </w:rPr>
              <w:t>合理划分规划分区。</w:t>
            </w:r>
          </w:p>
          <w:p>
            <w:pPr>
              <w:tabs>
                <w:tab w:val="left" w:pos="1021"/>
              </w:tabs>
              <w:spacing w:line="380" w:lineRule="exact"/>
              <w:rPr>
                <w:szCs w:val="21"/>
              </w:rPr>
            </w:pPr>
            <w:r>
              <w:rPr>
                <w:szCs w:val="21"/>
              </w:rPr>
              <w:t>（1.6）全面推广节能、节水产品，扩大中水回用，限制高耗能、高耗水行业的发展，切实严控污染物排放增量，有效减少污染物存量，加快形成绿色发展方式，构建绿色产业体系。</w:t>
            </w:r>
          </w:p>
        </w:tc>
        <w:tc>
          <w:tcPr>
            <w:tcW w:w="3443" w:type="dxa"/>
            <w:gridSpan w:val="2"/>
            <w:vMerge w:val="restart"/>
          </w:tcPr>
          <w:p>
            <w:pPr>
              <w:widowControl/>
              <w:tabs>
                <w:tab w:val="left" w:pos="1021"/>
              </w:tabs>
              <w:spacing w:line="400" w:lineRule="exact"/>
              <w:rPr>
                <w:color w:val="000000"/>
                <w:szCs w:val="21"/>
              </w:rPr>
            </w:pPr>
            <w:r>
              <w:rPr>
                <w:rStyle w:val="12"/>
                <w:b w:val="0"/>
                <w:color w:val="000000"/>
              </w:rPr>
              <w:t>（1.1</w:t>
            </w:r>
            <w:r>
              <w:rPr>
                <w:szCs w:val="21"/>
              </w:rPr>
              <w:t>）（1.2）（1.3）（1.4）（1.5）</w:t>
            </w:r>
            <w:r>
              <w:rPr>
                <w:bCs/>
                <w:szCs w:val="30"/>
              </w:rPr>
              <w:t>（2.2.3）</w:t>
            </w:r>
            <w:r>
              <w:rPr>
                <w:color w:val="000000"/>
                <w:szCs w:val="21"/>
              </w:rPr>
              <w:t>（3.2）（3.4）</w:t>
            </w:r>
            <w:r>
              <w:rPr>
                <w:bCs/>
                <w:color w:val="000000"/>
                <w:szCs w:val="21"/>
              </w:rPr>
              <w:t>（4.1）（4.2.1）（4.3.1）（4.3.2）</w:t>
            </w:r>
            <w:r>
              <w:rPr>
                <w:color w:val="000000"/>
                <w:szCs w:val="21"/>
              </w:rPr>
              <w:t>（4.3.3）《</w:t>
            </w:r>
            <w:r>
              <w:rPr>
                <w:bCs/>
                <w:color w:val="000000"/>
                <w:kern w:val="0"/>
                <w:szCs w:val="21"/>
              </w:rPr>
              <w:t>隆回县国土空间总体规划》（2021</w:t>
            </w:r>
            <w:r>
              <w:rPr>
                <w:rFonts w:hint="eastAsia"/>
                <w:bCs/>
                <w:color w:val="000000"/>
                <w:kern w:val="0"/>
                <w:szCs w:val="21"/>
              </w:rPr>
              <w:t>—</w:t>
            </w:r>
            <w:r>
              <w:rPr>
                <w:bCs/>
                <w:color w:val="000000"/>
                <w:kern w:val="0"/>
                <w:szCs w:val="21"/>
              </w:rPr>
              <w:t>2035年）</w:t>
            </w:r>
          </w:p>
          <w:p>
            <w:pPr>
              <w:widowControl/>
              <w:tabs>
                <w:tab w:val="left" w:pos="1021"/>
              </w:tabs>
              <w:spacing w:line="400" w:lineRule="exact"/>
              <w:rPr>
                <w:szCs w:val="21"/>
              </w:rPr>
            </w:pPr>
            <w:r>
              <w:rPr>
                <w:szCs w:val="21"/>
              </w:rPr>
              <w:t>（1.6）《</w:t>
            </w:r>
            <w:r>
              <w:rPr>
                <w:bCs/>
                <w:color w:val="000000"/>
                <w:kern w:val="0"/>
                <w:szCs w:val="21"/>
              </w:rPr>
              <w:t>隆回县国民经济和社会发展第十四个五年规划和二〇三五年远景目标纲要》</w:t>
            </w:r>
          </w:p>
          <w:p>
            <w:pPr>
              <w:widowControl/>
              <w:tabs>
                <w:tab w:val="left" w:pos="1021"/>
              </w:tabs>
              <w:spacing w:line="400" w:lineRule="exact"/>
              <w:rPr>
                <w:szCs w:val="21"/>
              </w:rPr>
            </w:pPr>
            <w:r>
              <w:rPr>
                <w:rFonts w:hint="eastAsia"/>
                <w:bCs/>
                <w:color w:val="000000"/>
                <w:kern w:val="0"/>
                <w:szCs w:val="21"/>
                <w:lang w:eastAsia="zh-CN"/>
              </w:rPr>
              <w:t>（</w:t>
            </w:r>
            <w:r>
              <w:rPr>
                <w:rFonts w:hint="eastAsia"/>
                <w:bCs/>
                <w:color w:val="000000"/>
                <w:kern w:val="0"/>
                <w:szCs w:val="21"/>
                <w:lang w:val="en-US" w:eastAsia="zh-CN"/>
              </w:rPr>
              <w:t>2.1</w:t>
            </w:r>
            <w:r>
              <w:rPr>
                <w:rFonts w:hint="eastAsia"/>
                <w:bCs/>
                <w:color w:val="000000"/>
                <w:kern w:val="0"/>
                <w:szCs w:val="21"/>
                <w:lang w:eastAsia="zh-CN"/>
              </w:rPr>
              <w:t>）</w:t>
            </w:r>
            <w:r>
              <w:rPr>
                <w:color w:val="000000"/>
                <w:szCs w:val="21"/>
              </w:rPr>
              <w:t>（2.1.1）（2.1.2）（2.1.3）（2.2.1）（2.2.2）</w:t>
            </w:r>
            <w:r>
              <w:rPr>
                <w:bCs/>
                <w:szCs w:val="30"/>
              </w:rPr>
              <w:t>（2.2.4）</w:t>
            </w:r>
            <w:r>
              <w:rPr>
                <w:color w:val="000000"/>
                <w:szCs w:val="21"/>
              </w:rPr>
              <w:t>（2.3）（3.1）（3.3）</w:t>
            </w:r>
            <w:r>
              <w:rPr>
                <w:bCs/>
                <w:color w:val="000000"/>
                <w:kern w:val="0"/>
                <w:szCs w:val="21"/>
              </w:rPr>
              <w:t>《隆回县“十四五”生态环境保护规划》</w:t>
            </w:r>
          </w:p>
          <w:p>
            <w:pPr>
              <w:widowControl/>
              <w:tabs>
                <w:tab w:val="left" w:pos="1021"/>
              </w:tabs>
              <w:spacing w:line="380" w:lineRule="exact"/>
              <w:rPr>
                <w:szCs w:val="21"/>
              </w:rPr>
            </w:pPr>
            <w:r>
              <w:rPr>
                <w:color w:val="000000"/>
                <w:szCs w:val="21"/>
              </w:rPr>
              <w:t>（4.2.2）</w:t>
            </w:r>
            <w:r>
              <w:rPr>
                <w:bCs/>
                <w:color w:val="000000"/>
                <w:szCs w:val="21"/>
              </w:rPr>
              <w:t>关于印发《邵阳市“十四五”用水总量和强度双控目标》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80" w:lineRule="exact"/>
              <w:jc w:val="center"/>
              <w:rPr>
                <w:color w:val="000000"/>
                <w:szCs w:val="21"/>
              </w:rPr>
            </w:pPr>
            <w:r>
              <w:rPr>
                <w:color w:val="000000"/>
                <w:szCs w:val="21"/>
              </w:rPr>
              <w:t>污染物排放管控</w:t>
            </w:r>
          </w:p>
        </w:tc>
        <w:tc>
          <w:tcPr>
            <w:tcW w:w="9080" w:type="dxa"/>
            <w:gridSpan w:val="9"/>
            <w:vAlign w:val="center"/>
          </w:tcPr>
          <w:p>
            <w:pPr>
              <w:tabs>
                <w:tab w:val="left" w:pos="1021"/>
              </w:tabs>
              <w:spacing w:line="380" w:lineRule="exact"/>
              <w:rPr>
                <w:color w:val="000000"/>
                <w:szCs w:val="21"/>
              </w:rPr>
            </w:pPr>
            <w:r>
              <w:rPr>
                <w:color w:val="000000"/>
                <w:szCs w:val="21"/>
              </w:rPr>
              <w:t>（2.1）废水：</w:t>
            </w:r>
          </w:p>
          <w:p>
            <w:pPr>
              <w:tabs>
                <w:tab w:val="left" w:pos="1021"/>
              </w:tabs>
              <w:spacing w:line="380" w:lineRule="exact"/>
              <w:ind w:firstLine="420" w:firstLineChars="200"/>
              <w:rPr>
                <w:color w:val="000000"/>
                <w:szCs w:val="21"/>
              </w:rPr>
            </w:pPr>
            <w:r>
              <w:rPr>
                <w:color w:val="000000"/>
                <w:szCs w:val="21"/>
              </w:rPr>
              <w:t>（2.1.1）加快城区污水处理厂改造升级，加强污水管网、排水管网建设，延伸污水管网覆盖范围，全面实现雨污分流。</w:t>
            </w:r>
          </w:p>
          <w:p>
            <w:pPr>
              <w:tabs>
                <w:tab w:val="left" w:pos="1021"/>
              </w:tabs>
              <w:spacing w:line="380" w:lineRule="exact"/>
              <w:ind w:firstLine="420" w:firstLineChars="200"/>
              <w:rPr>
                <w:color w:val="000000"/>
                <w:szCs w:val="21"/>
              </w:rPr>
            </w:pPr>
            <w:r>
              <w:rPr>
                <w:bCs/>
                <w:szCs w:val="30"/>
              </w:rPr>
              <w:t>（2.1.2）全面实施《隆回县隆回县县域农村生活污水处理专项规划》，加快推进乡镇污水处理厂建设，实现污水处理设施乡镇全覆盖。</w:t>
            </w:r>
          </w:p>
          <w:p>
            <w:pPr>
              <w:tabs>
                <w:tab w:val="left" w:pos="1021"/>
              </w:tabs>
              <w:spacing w:line="380" w:lineRule="exact"/>
              <w:ind w:firstLine="420" w:firstLineChars="200"/>
              <w:rPr>
                <w:bCs/>
                <w:szCs w:val="30"/>
              </w:rPr>
            </w:pPr>
            <w:r>
              <w:rPr>
                <w:color w:val="000000"/>
                <w:szCs w:val="21"/>
              </w:rPr>
              <w:t>（2.1.3）</w:t>
            </w:r>
            <w:r>
              <w:rPr>
                <w:bCs/>
                <w:szCs w:val="30"/>
              </w:rPr>
              <w:t>实施畜禽规模养殖场标准化改造工程，确保废水实现达标后排放。</w:t>
            </w:r>
          </w:p>
          <w:p>
            <w:pPr>
              <w:tabs>
                <w:tab w:val="left" w:pos="1021"/>
              </w:tabs>
              <w:spacing w:line="380" w:lineRule="exact"/>
              <w:rPr>
                <w:color w:val="000000"/>
                <w:szCs w:val="21"/>
              </w:rPr>
            </w:pPr>
            <w:r>
              <w:rPr>
                <w:color w:val="000000"/>
                <w:szCs w:val="21"/>
              </w:rPr>
              <w:t>（2.2）废气：</w:t>
            </w:r>
          </w:p>
          <w:p>
            <w:pPr>
              <w:tabs>
                <w:tab w:val="left" w:pos="1021"/>
              </w:tabs>
              <w:spacing w:line="380" w:lineRule="exact"/>
              <w:ind w:firstLine="420" w:firstLineChars="200"/>
              <w:rPr>
                <w:color w:val="000000"/>
                <w:szCs w:val="21"/>
              </w:rPr>
            </w:pPr>
            <w:r>
              <w:rPr>
                <w:color w:val="000000"/>
                <w:szCs w:val="21"/>
              </w:rPr>
              <w:t>（2.2.1）强化建筑施工、道路运输、环卫作业等扬尘污染综合整治，加强秸秆焚烧、垃圾焚烧、餐饮油烟、露天烧烤、烟花爆竹等生活面源防治，持续改善空气质量。</w:t>
            </w:r>
          </w:p>
          <w:p>
            <w:pPr>
              <w:tabs>
                <w:tab w:val="left" w:pos="1021"/>
              </w:tabs>
              <w:spacing w:line="380" w:lineRule="exact"/>
              <w:ind w:firstLine="420" w:firstLineChars="200"/>
              <w:rPr>
                <w:bCs/>
                <w:szCs w:val="30"/>
              </w:rPr>
            </w:pPr>
            <w:r>
              <w:rPr>
                <w:color w:val="000000"/>
                <w:szCs w:val="21"/>
              </w:rPr>
              <w:t>（2.2.2）</w:t>
            </w:r>
            <w:r>
              <w:rPr>
                <w:bCs/>
                <w:szCs w:val="30"/>
              </w:rPr>
              <w:t>开展重点涉气企业污染整治专项行动</w:t>
            </w:r>
            <w:r>
              <w:rPr>
                <w:szCs w:val="30"/>
                <w:lang w:val="zh-CN"/>
              </w:rPr>
              <w:t>，</w:t>
            </w:r>
            <w:r>
              <w:rPr>
                <w:bCs/>
                <w:szCs w:val="30"/>
              </w:rPr>
              <w:t>加快燃煤锅炉等装置环保技术改造。</w:t>
            </w:r>
          </w:p>
          <w:p>
            <w:pPr>
              <w:tabs>
                <w:tab w:val="left" w:pos="1021"/>
              </w:tabs>
              <w:spacing w:line="380" w:lineRule="exact"/>
              <w:ind w:firstLine="420" w:firstLineChars="200"/>
              <w:rPr>
                <w:bCs/>
                <w:szCs w:val="30"/>
              </w:rPr>
            </w:pPr>
            <w:r>
              <w:rPr>
                <w:bCs/>
                <w:szCs w:val="30"/>
              </w:rPr>
              <w:t>（2.2.3）推进PM2.5与臭氧协同治理，强化重点行业NOx深度治理，控制挥发性有机物排放，加强扬尘污染治理，兼顾移动源污染治理，积极应对重污染天气。</w:t>
            </w:r>
          </w:p>
          <w:p>
            <w:pPr>
              <w:tabs>
                <w:tab w:val="left" w:pos="1021"/>
              </w:tabs>
              <w:spacing w:line="380" w:lineRule="exact"/>
              <w:ind w:firstLine="420" w:firstLineChars="200"/>
              <w:rPr>
                <w:bCs/>
                <w:szCs w:val="30"/>
              </w:rPr>
            </w:pPr>
            <w:r>
              <w:rPr>
                <w:bCs/>
                <w:szCs w:val="30"/>
              </w:rPr>
              <w:t>（2.2.4）到2025年，县城空气质量指数达到优良天数占比90%以上。</w:t>
            </w:r>
          </w:p>
          <w:p>
            <w:pPr>
              <w:tabs>
                <w:tab w:val="left" w:pos="1021"/>
              </w:tabs>
              <w:spacing w:line="380" w:lineRule="exact"/>
              <w:rPr>
                <w:bCs/>
                <w:szCs w:val="30"/>
              </w:rPr>
            </w:pPr>
            <w:r>
              <w:rPr>
                <w:color w:val="000000"/>
                <w:szCs w:val="21"/>
              </w:rPr>
              <w:t>（2.3）</w:t>
            </w:r>
            <w:r>
              <w:rPr>
                <w:bCs/>
                <w:szCs w:val="30"/>
              </w:rPr>
              <w:t>固体废物：强化固体废弃物污染管控，开展废弃矿场、垃圾填埋场综合整治专项行动，促进固体废弃物清洁焚烧与资源化利用。</w:t>
            </w:r>
          </w:p>
        </w:tc>
        <w:tc>
          <w:tcPr>
            <w:tcW w:w="3443" w:type="dxa"/>
            <w:gridSpan w:val="2"/>
            <w:vMerge w:val="continue"/>
            <w:vAlign w:val="center"/>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80" w:lineRule="exact"/>
              <w:jc w:val="center"/>
              <w:rPr>
                <w:color w:val="000000"/>
                <w:szCs w:val="21"/>
              </w:rPr>
            </w:pPr>
            <w:r>
              <w:rPr>
                <w:color w:val="000000"/>
                <w:szCs w:val="21"/>
              </w:rPr>
              <w:t>环境风险防控</w:t>
            </w:r>
          </w:p>
        </w:tc>
        <w:tc>
          <w:tcPr>
            <w:tcW w:w="9080" w:type="dxa"/>
            <w:gridSpan w:val="9"/>
            <w:vAlign w:val="center"/>
          </w:tcPr>
          <w:p>
            <w:pPr>
              <w:tabs>
                <w:tab w:val="left" w:pos="1021"/>
              </w:tabs>
              <w:spacing w:line="380" w:lineRule="exact"/>
              <w:rPr>
                <w:strike/>
                <w:color w:val="000000"/>
                <w:szCs w:val="21"/>
              </w:rPr>
            </w:pPr>
            <w:r>
              <w:rPr>
                <w:color w:val="000000"/>
                <w:szCs w:val="21"/>
              </w:rPr>
              <w:t>（3.1）</w:t>
            </w:r>
            <w:r>
              <w:rPr>
                <w:bCs/>
                <w:color w:val="000000"/>
                <w:kern w:val="0"/>
                <w:szCs w:val="21"/>
              </w:rPr>
              <w:t>加快推进土壤污染状况详查，开展重点地区工矿企业重金属污染耕地风险排查整治。</w:t>
            </w:r>
          </w:p>
          <w:p>
            <w:pPr>
              <w:tabs>
                <w:tab w:val="left" w:pos="1021"/>
              </w:tabs>
              <w:spacing w:line="380" w:lineRule="exact"/>
              <w:rPr>
                <w:bCs/>
                <w:color w:val="000000"/>
                <w:kern w:val="0"/>
                <w:szCs w:val="21"/>
              </w:rPr>
            </w:pPr>
            <w:r>
              <w:rPr>
                <w:color w:val="000000"/>
                <w:szCs w:val="21"/>
              </w:rPr>
              <w:t>（3.2）</w:t>
            </w:r>
            <w:r>
              <w:rPr>
                <w:bCs/>
                <w:color w:val="000000"/>
                <w:kern w:val="0"/>
                <w:szCs w:val="21"/>
              </w:rPr>
              <w:t>开展矿山地质环境治理，消除地面坍塌、滑坡、泥石流、矿坑突水等地质灾害，加强重金属矿、历史遗留煤矿等整治和生态修复，加快实施煤矿沉陷区生态治理与修复。</w:t>
            </w:r>
          </w:p>
          <w:p>
            <w:pPr>
              <w:tabs>
                <w:tab w:val="left" w:pos="1021"/>
              </w:tabs>
              <w:spacing w:line="380" w:lineRule="exact"/>
              <w:rPr>
                <w:color w:val="000000"/>
                <w:szCs w:val="21"/>
              </w:rPr>
            </w:pPr>
            <w:r>
              <w:rPr>
                <w:color w:val="000000"/>
                <w:szCs w:val="21"/>
              </w:rPr>
              <w:t>（3.3）</w:t>
            </w:r>
            <w:r>
              <w:rPr>
                <w:bCs/>
                <w:szCs w:val="30"/>
              </w:rPr>
              <w:t>加强重点城镇饮用水源地一级保护区隔离工程、饮用水源地环境监管能力建设。</w:t>
            </w:r>
          </w:p>
          <w:p>
            <w:pPr>
              <w:tabs>
                <w:tab w:val="left" w:pos="1021"/>
              </w:tabs>
              <w:spacing w:line="380" w:lineRule="exact"/>
              <w:rPr>
                <w:bCs/>
                <w:szCs w:val="30"/>
              </w:rPr>
            </w:pPr>
            <w:r>
              <w:rPr>
                <w:color w:val="000000"/>
                <w:szCs w:val="21"/>
              </w:rPr>
              <w:t>（3.4）</w:t>
            </w:r>
            <w:r>
              <w:rPr>
                <w:bCs/>
                <w:szCs w:val="30"/>
              </w:rPr>
              <w:t>根据《隆回县突发环境事件应急预案》加强突发环境事件应急</w:t>
            </w:r>
            <w:r>
              <w:rPr>
                <w:rFonts w:hint="eastAsia"/>
                <w:bCs/>
                <w:szCs w:val="30"/>
              </w:rPr>
              <w:t>演练</w:t>
            </w:r>
            <w:r>
              <w:rPr>
                <w:bCs/>
                <w:szCs w:val="30"/>
              </w:rPr>
              <w:t>，深化重点领域、重点行业环境风险防控。</w:t>
            </w:r>
          </w:p>
          <w:p>
            <w:pPr>
              <w:tabs>
                <w:tab w:val="left" w:pos="1021"/>
              </w:tabs>
              <w:spacing w:line="380" w:lineRule="exact"/>
              <w:rPr>
                <w:bCs/>
                <w:szCs w:val="30"/>
              </w:rPr>
            </w:pPr>
            <w:r>
              <w:rPr>
                <w:bCs/>
                <w:szCs w:val="30"/>
              </w:rPr>
              <w:t>（3.5）加强对工业园区、饮用水水源保护区、自然保护地等重点地区和砖瓦、造纸等重点行业的监管。</w:t>
            </w:r>
          </w:p>
        </w:tc>
        <w:tc>
          <w:tcPr>
            <w:tcW w:w="3443" w:type="dxa"/>
            <w:gridSpan w:val="2"/>
            <w:vMerge w:val="continue"/>
            <w:vAlign w:val="center"/>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80" w:lineRule="exact"/>
              <w:jc w:val="center"/>
              <w:rPr>
                <w:color w:val="000000"/>
                <w:szCs w:val="21"/>
              </w:rPr>
            </w:pPr>
            <w:r>
              <w:rPr>
                <w:color w:val="000000"/>
                <w:szCs w:val="21"/>
              </w:rPr>
              <w:t>资源开发效率要求</w:t>
            </w:r>
          </w:p>
        </w:tc>
        <w:tc>
          <w:tcPr>
            <w:tcW w:w="9080" w:type="dxa"/>
            <w:gridSpan w:val="9"/>
          </w:tcPr>
          <w:p>
            <w:pPr>
              <w:tabs>
                <w:tab w:val="left" w:pos="1021"/>
              </w:tabs>
              <w:spacing w:line="380" w:lineRule="exact"/>
              <w:rPr>
                <w:bCs/>
                <w:color w:val="000000"/>
                <w:szCs w:val="21"/>
              </w:rPr>
            </w:pPr>
            <w:r>
              <w:rPr>
                <w:bCs/>
                <w:color w:val="000000"/>
                <w:szCs w:val="21"/>
              </w:rPr>
              <w:t>（4.1）能源：</w:t>
            </w:r>
            <w:r>
              <w:rPr>
                <w:bCs/>
                <w:szCs w:val="30"/>
              </w:rPr>
              <w:t>改善能源结构，提高非化石能源及天然气消费比例，降低煤炭消费比重；提升能源系统效率，降低单位国内生产总值能耗比。</w:t>
            </w:r>
          </w:p>
          <w:p>
            <w:pPr>
              <w:tabs>
                <w:tab w:val="left" w:pos="1021"/>
              </w:tabs>
              <w:spacing w:line="380" w:lineRule="exact"/>
              <w:rPr>
                <w:bCs/>
                <w:color w:val="000000"/>
                <w:szCs w:val="21"/>
              </w:rPr>
            </w:pPr>
            <w:r>
              <w:rPr>
                <w:bCs/>
                <w:color w:val="000000"/>
                <w:szCs w:val="21"/>
              </w:rPr>
              <w:t>（4.2）水资源：</w:t>
            </w:r>
          </w:p>
          <w:p>
            <w:pPr>
              <w:tabs>
                <w:tab w:val="left" w:pos="1021"/>
              </w:tabs>
              <w:spacing w:line="380" w:lineRule="exact"/>
              <w:ind w:firstLine="420" w:firstLineChars="200"/>
              <w:rPr>
                <w:bCs/>
                <w:color w:val="000000"/>
                <w:szCs w:val="21"/>
              </w:rPr>
            </w:pPr>
            <w:r>
              <w:rPr>
                <w:bCs/>
                <w:color w:val="000000"/>
                <w:szCs w:val="21"/>
              </w:rPr>
              <w:t>（4.2.1）加强水资源、集约高效利用，执行最严格的水资源保护管理制度。</w:t>
            </w:r>
          </w:p>
          <w:p>
            <w:pPr>
              <w:tabs>
                <w:tab w:val="left" w:pos="1021"/>
              </w:tabs>
              <w:spacing w:line="380" w:lineRule="exact"/>
              <w:ind w:firstLine="420" w:firstLineChars="200"/>
              <w:rPr>
                <w:bCs/>
                <w:color w:val="000000"/>
                <w:szCs w:val="21"/>
              </w:rPr>
            </w:pPr>
            <w:r>
              <w:rPr>
                <w:bCs/>
                <w:color w:val="000000"/>
                <w:szCs w:val="21"/>
              </w:rPr>
              <w:t>（4.2.2）</w:t>
            </w:r>
            <w:r>
              <w:rPr>
                <w:szCs w:val="21"/>
              </w:rPr>
              <w:t>隆回县用水总量3.771(亿立方米)，万元地区生产总量用水量比2020年下降20.16%，万元工业增加值用水12.13%，农田灌溉水有效利用系数为0.56。</w:t>
            </w:r>
          </w:p>
          <w:p>
            <w:pPr>
              <w:tabs>
                <w:tab w:val="left" w:pos="1021"/>
              </w:tabs>
              <w:spacing w:line="380" w:lineRule="exact"/>
              <w:rPr>
                <w:bCs/>
                <w:color w:val="000000"/>
                <w:szCs w:val="21"/>
              </w:rPr>
            </w:pPr>
            <w:r>
              <w:rPr>
                <w:bCs/>
                <w:color w:val="000000"/>
                <w:szCs w:val="21"/>
              </w:rPr>
              <w:t>（4.3）土地资源：</w:t>
            </w:r>
          </w:p>
          <w:p>
            <w:pPr>
              <w:tabs>
                <w:tab w:val="left" w:pos="1021"/>
              </w:tabs>
              <w:spacing w:line="380" w:lineRule="exact"/>
              <w:ind w:firstLine="420" w:firstLineChars="200"/>
              <w:rPr>
                <w:bCs/>
                <w:color w:val="000000"/>
                <w:szCs w:val="21"/>
              </w:rPr>
            </w:pPr>
            <w:r>
              <w:rPr>
                <w:bCs/>
                <w:color w:val="000000"/>
                <w:szCs w:val="21"/>
              </w:rPr>
              <w:t>（4.3.1）按照“宜农则农，宜林则林，宜建则建”的原则，分区分类、因地制宜实施历史遗留矿山生态修复工程，复垦修复腾退的建设用地指标可用于采矿项目新增用地，复垦为可长期稳定利用耕地的，可用于新增采矿项目耕地占补平衡。</w:t>
            </w:r>
          </w:p>
          <w:p>
            <w:pPr>
              <w:tabs>
                <w:tab w:val="left" w:pos="1021"/>
              </w:tabs>
              <w:spacing w:line="380" w:lineRule="exact"/>
              <w:ind w:firstLine="420" w:firstLineChars="200"/>
              <w:rPr>
                <w:bCs/>
                <w:color w:val="000000"/>
                <w:szCs w:val="21"/>
              </w:rPr>
            </w:pPr>
            <w:r>
              <w:rPr>
                <w:bCs/>
                <w:color w:val="000000"/>
                <w:szCs w:val="21"/>
              </w:rPr>
              <w:t>（4.3.2）严控建设用地总量，合理安排新增建设用地，积极盘活存量用地和低效用地，严格落实国土空间用途管制制度，加强土地节约集约利用。</w:t>
            </w:r>
          </w:p>
          <w:p>
            <w:pPr>
              <w:tabs>
                <w:tab w:val="left" w:pos="1021"/>
              </w:tabs>
              <w:spacing w:line="380" w:lineRule="exact"/>
              <w:ind w:firstLine="420" w:firstLineChars="200"/>
              <w:rPr>
                <w:bCs/>
                <w:strike/>
                <w:color w:val="000000"/>
                <w:szCs w:val="21"/>
              </w:rPr>
            </w:pPr>
            <w:r>
              <w:rPr>
                <w:bCs/>
                <w:color w:val="000000"/>
                <w:szCs w:val="21"/>
              </w:rPr>
              <w:t>（4.3.3）</w:t>
            </w:r>
            <w:r>
              <w:rPr>
                <w:bCs/>
                <w:color w:val="000000"/>
                <w:kern w:val="0"/>
                <w:szCs w:val="21"/>
              </w:rPr>
              <w:t>至2035年，全县耕地保有量不低于100.05万亩，永久基本农田保护面积不低于88.59万亩</w:t>
            </w:r>
            <w:r>
              <w:rPr>
                <w:szCs w:val="21"/>
              </w:rPr>
              <w:t>，生态保护红线面积不低于63800.82公顷。</w:t>
            </w:r>
          </w:p>
        </w:tc>
        <w:tc>
          <w:tcPr>
            <w:tcW w:w="3443" w:type="dxa"/>
            <w:gridSpan w:val="2"/>
            <w:vMerge w:val="continue"/>
            <w:vAlign w:val="center"/>
          </w:tcPr>
          <w:p>
            <w:pPr>
              <w:spacing w:line="380" w:lineRule="exact"/>
            </w:pPr>
          </w:p>
        </w:tc>
      </w:tr>
    </w:tbl>
    <w:p>
      <w:pPr>
        <w:rPr>
          <w:b/>
          <w:color w:val="000000"/>
          <w:sz w:val="28"/>
          <w:szCs w:val="32"/>
        </w:rPr>
      </w:pPr>
      <w:r>
        <w:rPr>
          <w:b/>
          <w:color w:val="000000"/>
          <w:sz w:val="28"/>
          <w:szCs w:val="32"/>
        </w:rPr>
        <w:br w:type="page"/>
      </w:r>
    </w:p>
    <w:p>
      <w:pPr>
        <w:rPr>
          <w:rFonts w:ascii="Times New Roman" w:hAnsi="Times New Roman" w:cs="Times New Roman"/>
        </w:rPr>
      </w:pPr>
      <w:bookmarkStart w:id="46" w:name="_Toc22938"/>
      <w:r>
        <w:rPr>
          <w:rFonts w:ascii="Times New Roman" w:hAnsi="Times New Roman" w:cs="Times New Roman"/>
        </w:rPr>
        <w:t>2-8洞口县</w:t>
      </w:r>
      <w:bookmarkEnd w:id="43"/>
      <w:bookmarkEnd w:id="4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678"/>
        <w:gridCol w:w="362"/>
        <w:gridCol w:w="413"/>
        <w:gridCol w:w="440"/>
        <w:gridCol w:w="494"/>
        <w:gridCol w:w="866"/>
        <w:gridCol w:w="1202"/>
        <w:gridCol w:w="1958"/>
        <w:gridCol w:w="2480"/>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87" w:type="dxa"/>
            <w:vMerge w:val="restart"/>
            <w:vAlign w:val="center"/>
          </w:tcPr>
          <w:p>
            <w:pPr>
              <w:widowControl/>
              <w:jc w:val="center"/>
              <w:rPr>
                <w:b/>
                <w:color w:val="000000"/>
                <w:kern w:val="0"/>
                <w:szCs w:val="21"/>
                <w:highlight w:val="none"/>
              </w:rPr>
            </w:pPr>
            <w:r>
              <w:rPr>
                <w:rFonts w:hint="eastAsia"/>
                <w:b/>
                <w:color w:val="000000"/>
                <w:kern w:val="0"/>
                <w:szCs w:val="21"/>
                <w:highlight w:val="none"/>
              </w:rPr>
              <w:t>环境管控单元编码</w:t>
            </w:r>
          </w:p>
        </w:tc>
        <w:tc>
          <w:tcPr>
            <w:tcW w:w="678"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1215"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494"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866" w:type="dxa"/>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1202"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958"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2480" w:type="dxa"/>
            <w:vMerge w:val="restart"/>
            <w:vAlign w:val="center"/>
          </w:tcPr>
          <w:p>
            <w:pPr>
              <w:jc w:val="center"/>
              <w:rPr>
                <w:b/>
                <w:color w:val="000000"/>
                <w:kern w:val="0"/>
                <w:szCs w:val="21"/>
                <w:highlight w:val="none"/>
              </w:rPr>
            </w:pPr>
            <w:r>
              <w:rPr>
                <w:rFonts w:hint="eastAsia"/>
                <w:b/>
                <w:color w:val="000000"/>
                <w:kern w:val="0"/>
                <w:szCs w:val="21"/>
                <w:highlight w:val="none"/>
                <w:lang w:val="en-US" w:eastAsia="zh-CN"/>
              </w:rPr>
              <w:t>①</w:t>
            </w:r>
            <w:r>
              <w:rPr>
                <w:rFonts w:hint="eastAsia"/>
                <w:b/>
                <w:color w:val="000000"/>
                <w:kern w:val="0"/>
                <w:szCs w:val="21"/>
                <w:highlight w:val="none"/>
              </w:rPr>
              <w:t>经济产业布局</w:t>
            </w:r>
          </w:p>
        </w:tc>
        <w:tc>
          <w:tcPr>
            <w:tcW w:w="3694" w:type="dxa"/>
            <w:vMerge w:val="restart"/>
            <w:vAlign w:val="center"/>
          </w:tcPr>
          <w:p>
            <w:pPr>
              <w:jc w:val="center"/>
              <w:rPr>
                <w:rFonts w:hint="default" w:eastAsia="宋体"/>
                <w:b/>
                <w:color w:val="000000"/>
                <w:kern w:val="0"/>
                <w:szCs w:val="21"/>
                <w:highlight w:val="none"/>
                <w:lang w:val="en-US" w:eastAsia="zh-CN"/>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jc w:val="center"/>
        </w:trPr>
        <w:tc>
          <w:tcPr>
            <w:tcW w:w="1587" w:type="dxa"/>
            <w:vMerge w:val="continue"/>
            <w:vAlign w:val="center"/>
          </w:tcPr>
          <w:p>
            <w:pPr>
              <w:rPr>
                <w:highlight w:val="none"/>
              </w:rPr>
            </w:pPr>
          </w:p>
        </w:tc>
        <w:tc>
          <w:tcPr>
            <w:tcW w:w="678" w:type="dxa"/>
            <w:vMerge w:val="continue"/>
            <w:vAlign w:val="center"/>
          </w:tcPr>
          <w:p>
            <w:pPr>
              <w:rPr>
                <w:highlight w:val="none"/>
              </w:rPr>
            </w:pPr>
          </w:p>
        </w:tc>
        <w:tc>
          <w:tcPr>
            <w:tcW w:w="362" w:type="dxa"/>
            <w:vAlign w:val="center"/>
          </w:tcPr>
          <w:p>
            <w:pPr>
              <w:jc w:val="center"/>
              <w:rPr>
                <w:b/>
                <w:color w:val="000000"/>
                <w:szCs w:val="21"/>
                <w:highlight w:val="none"/>
              </w:rPr>
            </w:pPr>
            <w:r>
              <w:rPr>
                <w:rFonts w:hint="eastAsia"/>
                <w:b/>
                <w:color w:val="000000"/>
                <w:szCs w:val="21"/>
                <w:highlight w:val="none"/>
              </w:rPr>
              <w:t>省</w:t>
            </w:r>
          </w:p>
        </w:tc>
        <w:tc>
          <w:tcPr>
            <w:tcW w:w="413" w:type="dxa"/>
            <w:vAlign w:val="center"/>
          </w:tcPr>
          <w:p>
            <w:pPr>
              <w:jc w:val="center"/>
              <w:rPr>
                <w:b/>
                <w:color w:val="000000"/>
                <w:szCs w:val="21"/>
                <w:highlight w:val="none"/>
              </w:rPr>
            </w:pPr>
            <w:r>
              <w:rPr>
                <w:rFonts w:hint="eastAsia"/>
                <w:b/>
                <w:color w:val="000000"/>
                <w:szCs w:val="21"/>
                <w:highlight w:val="none"/>
              </w:rPr>
              <w:t>市</w:t>
            </w:r>
          </w:p>
        </w:tc>
        <w:tc>
          <w:tcPr>
            <w:tcW w:w="440" w:type="dxa"/>
            <w:vAlign w:val="center"/>
          </w:tcPr>
          <w:p>
            <w:pPr>
              <w:jc w:val="center"/>
              <w:rPr>
                <w:b/>
                <w:color w:val="000000"/>
                <w:szCs w:val="21"/>
                <w:highlight w:val="none"/>
              </w:rPr>
            </w:pPr>
            <w:r>
              <w:rPr>
                <w:rFonts w:hint="eastAsia"/>
                <w:b/>
                <w:color w:val="000000"/>
                <w:szCs w:val="21"/>
                <w:highlight w:val="none"/>
              </w:rPr>
              <w:t>县</w:t>
            </w:r>
          </w:p>
        </w:tc>
        <w:tc>
          <w:tcPr>
            <w:tcW w:w="494" w:type="dxa"/>
            <w:vMerge w:val="continue"/>
            <w:vAlign w:val="center"/>
          </w:tcPr>
          <w:p>
            <w:pPr>
              <w:rPr>
                <w:highlight w:val="none"/>
              </w:rPr>
            </w:pPr>
          </w:p>
        </w:tc>
        <w:tc>
          <w:tcPr>
            <w:tcW w:w="866" w:type="dxa"/>
            <w:vMerge w:val="continue"/>
            <w:vAlign w:val="center"/>
          </w:tcPr>
          <w:p>
            <w:pPr>
              <w:rPr>
                <w:highlight w:val="none"/>
              </w:rPr>
            </w:pPr>
          </w:p>
        </w:tc>
        <w:tc>
          <w:tcPr>
            <w:tcW w:w="1202" w:type="dxa"/>
            <w:vMerge w:val="continue"/>
            <w:vAlign w:val="center"/>
          </w:tcPr>
          <w:p>
            <w:pPr>
              <w:rPr>
                <w:highlight w:val="none"/>
              </w:rPr>
            </w:pPr>
          </w:p>
        </w:tc>
        <w:tc>
          <w:tcPr>
            <w:tcW w:w="1958" w:type="dxa"/>
            <w:vMerge w:val="continue"/>
            <w:vAlign w:val="center"/>
          </w:tcPr>
          <w:p>
            <w:pPr>
              <w:rPr>
                <w:highlight w:val="none"/>
              </w:rPr>
            </w:pPr>
          </w:p>
        </w:tc>
        <w:tc>
          <w:tcPr>
            <w:tcW w:w="2480" w:type="dxa"/>
            <w:vMerge w:val="continue"/>
            <w:vAlign w:val="center"/>
          </w:tcPr>
          <w:p>
            <w:pPr>
              <w:rPr>
                <w:highlight w:val="none"/>
              </w:rPr>
            </w:pPr>
          </w:p>
        </w:tc>
        <w:tc>
          <w:tcPr>
            <w:tcW w:w="369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1587" w:type="dxa"/>
            <w:vAlign w:val="center"/>
          </w:tcPr>
          <w:p>
            <w:pPr>
              <w:jc w:val="center"/>
              <w:rPr>
                <w:color w:val="000000"/>
                <w:szCs w:val="21"/>
                <w:highlight w:val="none"/>
              </w:rPr>
            </w:pPr>
            <w:r>
              <w:rPr>
                <w:color w:val="000000"/>
                <w:szCs w:val="21"/>
                <w:highlight w:val="none"/>
              </w:rPr>
              <w:t>ZH43052510001</w:t>
            </w:r>
          </w:p>
        </w:tc>
        <w:tc>
          <w:tcPr>
            <w:tcW w:w="678" w:type="dxa"/>
            <w:vAlign w:val="center"/>
          </w:tcPr>
          <w:p>
            <w:pPr>
              <w:jc w:val="center"/>
              <w:rPr>
                <w:color w:val="000000"/>
                <w:szCs w:val="21"/>
                <w:highlight w:val="none"/>
              </w:rPr>
            </w:pPr>
            <w:r>
              <w:rPr>
                <w:rFonts w:hint="eastAsia"/>
                <w:color w:val="000000"/>
                <w:szCs w:val="21"/>
                <w:highlight w:val="none"/>
              </w:rPr>
              <w:t>大屋瑶族乡</w:t>
            </w:r>
            <w:r>
              <w:rPr>
                <w:rFonts w:hint="eastAsia"/>
                <w:color w:val="000000"/>
                <w:szCs w:val="21"/>
                <w:highlight w:val="none"/>
                <w:lang w:eastAsia="zh-CN"/>
              </w:rPr>
              <w:t>/</w:t>
            </w:r>
            <w:r>
              <w:rPr>
                <w:rFonts w:hint="eastAsia"/>
                <w:color w:val="000000"/>
                <w:szCs w:val="21"/>
                <w:highlight w:val="none"/>
              </w:rPr>
              <w:t>石柱镇</w:t>
            </w:r>
            <w:r>
              <w:rPr>
                <w:rFonts w:hint="eastAsia"/>
                <w:color w:val="000000"/>
                <w:szCs w:val="21"/>
                <w:highlight w:val="none"/>
                <w:lang w:eastAsia="zh-CN"/>
              </w:rPr>
              <w:t>/</w:t>
            </w:r>
            <w:r>
              <w:rPr>
                <w:rFonts w:hint="eastAsia"/>
                <w:color w:val="000000"/>
                <w:szCs w:val="21"/>
                <w:highlight w:val="none"/>
              </w:rPr>
              <w:t>桐山乡</w:t>
            </w:r>
            <w:r>
              <w:rPr>
                <w:rFonts w:hint="eastAsia"/>
                <w:color w:val="000000"/>
                <w:szCs w:val="21"/>
                <w:highlight w:val="none"/>
                <w:lang w:eastAsia="zh-CN"/>
              </w:rPr>
              <w:t>/</w:t>
            </w:r>
            <w:r>
              <w:rPr>
                <w:rFonts w:hint="eastAsia"/>
                <w:color w:val="000000"/>
                <w:szCs w:val="21"/>
                <w:highlight w:val="none"/>
              </w:rPr>
              <w:t>岩山镇</w:t>
            </w:r>
            <w:r>
              <w:rPr>
                <w:rFonts w:hint="eastAsia"/>
                <w:color w:val="000000"/>
                <w:szCs w:val="21"/>
                <w:highlight w:val="none"/>
                <w:lang w:eastAsia="zh-CN"/>
              </w:rPr>
              <w:t>/</w:t>
            </w:r>
            <w:r>
              <w:rPr>
                <w:rFonts w:hint="eastAsia"/>
                <w:color w:val="000000"/>
                <w:szCs w:val="21"/>
                <w:highlight w:val="none"/>
              </w:rPr>
              <w:t>渣坪乡</w:t>
            </w:r>
          </w:p>
        </w:tc>
        <w:tc>
          <w:tcPr>
            <w:tcW w:w="362" w:type="dxa"/>
            <w:vAlign w:val="center"/>
          </w:tcPr>
          <w:p>
            <w:pPr>
              <w:jc w:val="center"/>
              <w:rPr>
                <w:color w:val="000000"/>
                <w:szCs w:val="21"/>
                <w:highlight w:val="none"/>
              </w:rPr>
            </w:pPr>
            <w:r>
              <w:rPr>
                <w:rFonts w:hint="eastAsia"/>
                <w:color w:val="000000"/>
                <w:szCs w:val="21"/>
                <w:highlight w:val="none"/>
              </w:rPr>
              <w:t>湖南省</w:t>
            </w:r>
          </w:p>
        </w:tc>
        <w:tc>
          <w:tcPr>
            <w:tcW w:w="413" w:type="dxa"/>
            <w:vAlign w:val="center"/>
          </w:tcPr>
          <w:p>
            <w:pPr>
              <w:jc w:val="center"/>
              <w:rPr>
                <w:color w:val="000000"/>
                <w:szCs w:val="21"/>
                <w:highlight w:val="none"/>
              </w:rPr>
            </w:pPr>
            <w:r>
              <w:rPr>
                <w:rFonts w:hint="eastAsia"/>
                <w:color w:val="000000"/>
                <w:szCs w:val="21"/>
                <w:highlight w:val="none"/>
              </w:rPr>
              <w:t>邵阳市</w:t>
            </w:r>
          </w:p>
        </w:tc>
        <w:tc>
          <w:tcPr>
            <w:tcW w:w="440" w:type="dxa"/>
            <w:vAlign w:val="center"/>
          </w:tcPr>
          <w:p>
            <w:pPr>
              <w:jc w:val="center"/>
              <w:rPr>
                <w:color w:val="000000"/>
                <w:szCs w:val="21"/>
                <w:highlight w:val="none"/>
              </w:rPr>
            </w:pPr>
            <w:r>
              <w:rPr>
                <w:rFonts w:hint="eastAsia"/>
                <w:color w:val="000000"/>
                <w:szCs w:val="21"/>
                <w:highlight w:val="none"/>
              </w:rPr>
              <w:t>洞口县</w:t>
            </w:r>
          </w:p>
        </w:tc>
        <w:tc>
          <w:tcPr>
            <w:tcW w:w="494" w:type="dxa"/>
            <w:vAlign w:val="center"/>
          </w:tcPr>
          <w:p>
            <w:pPr>
              <w:jc w:val="center"/>
              <w:rPr>
                <w:color w:val="000000"/>
                <w:szCs w:val="21"/>
                <w:highlight w:val="none"/>
              </w:rPr>
            </w:pPr>
            <w:r>
              <w:rPr>
                <w:rFonts w:hint="eastAsia"/>
                <w:color w:val="000000"/>
                <w:szCs w:val="21"/>
                <w:highlight w:val="none"/>
              </w:rPr>
              <w:t>优先保护单元</w:t>
            </w:r>
          </w:p>
        </w:tc>
        <w:tc>
          <w:tcPr>
            <w:tcW w:w="866" w:type="dxa"/>
            <w:vAlign w:val="center"/>
          </w:tcPr>
          <w:p>
            <w:pPr>
              <w:jc w:val="center"/>
              <w:rPr>
                <w:rFonts w:hint="eastAsia" w:eastAsia="宋体"/>
                <w:strike/>
                <w:dstrike w:val="0"/>
                <w:color w:val="000000"/>
                <w:szCs w:val="21"/>
                <w:highlight w:val="none"/>
                <w:lang w:val="en-US" w:eastAsia="zh-CN"/>
              </w:rPr>
            </w:pPr>
            <w:r>
              <w:rPr>
                <w:rFonts w:hint="eastAsia"/>
                <w:strike w:val="0"/>
                <w:dstrike w:val="0"/>
                <w:color w:val="000000"/>
                <w:szCs w:val="21"/>
                <w:highlight w:val="none"/>
              </w:rPr>
              <w:t>424.0</w:t>
            </w:r>
            <w:r>
              <w:rPr>
                <w:rFonts w:hint="eastAsia"/>
                <w:strike w:val="0"/>
                <w:dstrike w:val="0"/>
                <w:color w:val="000000"/>
                <w:szCs w:val="21"/>
                <w:highlight w:val="none"/>
                <w:lang w:val="en-US" w:eastAsia="zh-CN"/>
              </w:rPr>
              <w:t>5</w:t>
            </w:r>
          </w:p>
        </w:tc>
        <w:tc>
          <w:tcPr>
            <w:tcW w:w="1202" w:type="dxa"/>
            <w:vAlign w:val="center"/>
          </w:tcPr>
          <w:p>
            <w:pPr>
              <w:jc w:val="center"/>
              <w:rPr>
                <w:color w:val="000000"/>
                <w:szCs w:val="21"/>
                <w:highlight w:val="none"/>
              </w:rPr>
            </w:pPr>
            <w:r>
              <w:rPr>
                <w:rFonts w:hint="eastAsia"/>
                <w:color w:val="000000"/>
                <w:szCs w:val="21"/>
                <w:highlight w:val="none"/>
              </w:rPr>
              <w:t>大屋瑶族乡</w:t>
            </w:r>
            <w:r>
              <w:rPr>
                <w:rFonts w:hint="eastAsia"/>
                <w:color w:val="000000"/>
                <w:szCs w:val="21"/>
                <w:highlight w:val="none"/>
                <w:lang w:eastAsia="zh-CN"/>
              </w:rPr>
              <w:t>/</w:t>
            </w:r>
            <w:r>
              <w:rPr>
                <w:rFonts w:hint="eastAsia"/>
                <w:color w:val="000000"/>
                <w:szCs w:val="21"/>
                <w:highlight w:val="none"/>
              </w:rPr>
              <w:t>石柱镇</w:t>
            </w:r>
            <w:r>
              <w:rPr>
                <w:rFonts w:hint="eastAsia"/>
                <w:color w:val="000000"/>
                <w:szCs w:val="21"/>
                <w:highlight w:val="none"/>
                <w:lang w:eastAsia="zh-CN"/>
              </w:rPr>
              <w:t>/</w:t>
            </w:r>
            <w:r>
              <w:rPr>
                <w:rFonts w:hint="eastAsia"/>
                <w:color w:val="000000"/>
                <w:szCs w:val="21"/>
                <w:highlight w:val="none"/>
              </w:rPr>
              <w:t>桐山乡</w:t>
            </w:r>
            <w:r>
              <w:rPr>
                <w:rFonts w:hint="eastAsia"/>
                <w:color w:val="000000"/>
                <w:szCs w:val="21"/>
                <w:highlight w:val="none"/>
                <w:lang w:eastAsia="zh-CN"/>
              </w:rPr>
              <w:t>/</w:t>
            </w:r>
            <w:r>
              <w:rPr>
                <w:rFonts w:hint="eastAsia"/>
                <w:color w:val="000000"/>
                <w:szCs w:val="21"/>
                <w:highlight w:val="none"/>
              </w:rPr>
              <w:t>岩山镇</w:t>
            </w:r>
            <w:r>
              <w:rPr>
                <w:rFonts w:hint="eastAsia"/>
                <w:color w:val="000000"/>
                <w:szCs w:val="21"/>
                <w:highlight w:val="none"/>
                <w:lang w:eastAsia="zh-CN"/>
              </w:rPr>
              <w:t>/</w:t>
            </w:r>
            <w:r>
              <w:rPr>
                <w:rFonts w:hint="eastAsia"/>
                <w:color w:val="000000"/>
                <w:szCs w:val="21"/>
                <w:highlight w:val="none"/>
              </w:rPr>
              <w:t>渣坪乡</w:t>
            </w:r>
          </w:p>
        </w:tc>
        <w:tc>
          <w:tcPr>
            <w:tcW w:w="1958" w:type="dxa"/>
            <w:vAlign w:val="center"/>
          </w:tcPr>
          <w:p>
            <w:pPr>
              <w:jc w:val="center"/>
              <w:rPr>
                <w:rFonts w:hint="eastAsia"/>
                <w:b/>
                <w:bCs/>
                <w:color w:val="000000"/>
                <w:szCs w:val="21"/>
                <w:highlight w:val="none"/>
                <w:lang w:val="en-US" w:eastAsia="zh-CN"/>
              </w:rPr>
            </w:pPr>
            <w:r>
              <w:rPr>
                <w:rFonts w:hint="eastAsia"/>
                <w:b/>
                <w:bCs/>
                <w:color w:val="000000"/>
                <w:szCs w:val="21"/>
                <w:highlight w:val="none"/>
              </w:rPr>
              <w:t>大屋瑶族乡</w:t>
            </w:r>
            <w:r>
              <w:rPr>
                <w:rFonts w:hint="eastAsia"/>
                <w:b/>
                <w:bCs/>
                <w:color w:val="000000"/>
                <w:szCs w:val="21"/>
                <w:highlight w:val="none"/>
                <w:lang w:val="en-US" w:eastAsia="zh-CN"/>
              </w:rPr>
              <w:t>:</w:t>
            </w:r>
            <w:r>
              <w:rPr>
                <w:rFonts w:hint="eastAsia"/>
                <w:b w:val="0"/>
                <w:bCs w:val="0"/>
                <w:color w:val="000000"/>
                <w:szCs w:val="21"/>
                <w:highlight w:val="none"/>
                <w:lang w:val="en-US" w:eastAsia="zh-CN"/>
              </w:rPr>
              <w:t>重点生态功能区</w:t>
            </w:r>
          </w:p>
          <w:p>
            <w:pPr>
              <w:jc w:val="center"/>
              <w:rPr>
                <w:rFonts w:hint="eastAsia"/>
                <w:b/>
                <w:bCs/>
                <w:color w:val="000000"/>
                <w:szCs w:val="21"/>
                <w:highlight w:val="none"/>
                <w:lang w:val="en-US" w:eastAsia="zh-CN"/>
              </w:rPr>
            </w:pPr>
            <w:r>
              <w:rPr>
                <w:rFonts w:hint="eastAsia"/>
                <w:b/>
                <w:bCs/>
                <w:color w:val="000000"/>
                <w:szCs w:val="21"/>
                <w:highlight w:val="none"/>
              </w:rPr>
              <w:t>石柱镇</w:t>
            </w:r>
            <w:r>
              <w:rPr>
                <w:rFonts w:hint="eastAsia"/>
                <w:b/>
                <w:bCs/>
                <w:color w:val="000000"/>
                <w:szCs w:val="21"/>
                <w:highlight w:val="none"/>
                <w:lang w:val="en-US" w:eastAsia="zh-CN"/>
              </w:rPr>
              <w:t>:</w:t>
            </w:r>
            <w:r>
              <w:rPr>
                <w:rFonts w:hint="eastAsia"/>
                <w:b w:val="0"/>
                <w:bCs w:val="0"/>
                <w:color w:val="000000"/>
                <w:szCs w:val="21"/>
                <w:highlight w:val="none"/>
                <w:lang w:val="en-US" w:eastAsia="zh-CN"/>
              </w:rPr>
              <w:t>农产品主产区</w:t>
            </w:r>
          </w:p>
          <w:p>
            <w:pPr>
              <w:jc w:val="center"/>
              <w:rPr>
                <w:rFonts w:hint="eastAsia"/>
                <w:b/>
                <w:bCs/>
                <w:color w:val="000000"/>
                <w:szCs w:val="21"/>
                <w:highlight w:val="none"/>
                <w:lang w:val="en-US" w:eastAsia="zh-CN"/>
              </w:rPr>
            </w:pPr>
            <w:r>
              <w:rPr>
                <w:rFonts w:hint="eastAsia"/>
                <w:b/>
                <w:bCs/>
                <w:color w:val="000000"/>
                <w:szCs w:val="21"/>
                <w:highlight w:val="none"/>
              </w:rPr>
              <w:t>桐山乡</w:t>
            </w:r>
            <w:r>
              <w:rPr>
                <w:rFonts w:hint="eastAsia"/>
                <w:b/>
                <w:bCs/>
                <w:color w:val="000000"/>
                <w:szCs w:val="21"/>
                <w:highlight w:val="none"/>
                <w:lang w:val="en-US" w:eastAsia="zh-CN"/>
              </w:rPr>
              <w:t>:</w:t>
            </w:r>
            <w:r>
              <w:rPr>
                <w:rFonts w:hint="eastAsia"/>
                <w:b w:val="0"/>
                <w:bCs w:val="0"/>
                <w:color w:val="000000"/>
                <w:szCs w:val="21"/>
                <w:highlight w:val="none"/>
                <w:lang w:val="en-US" w:eastAsia="zh-CN"/>
              </w:rPr>
              <w:t>重点生态功能区</w:t>
            </w:r>
          </w:p>
          <w:p>
            <w:pPr>
              <w:jc w:val="center"/>
              <w:rPr>
                <w:rFonts w:hint="eastAsia"/>
                <w:b/>
                <w:bCs/>
                <w:color w:val="000000"/>
                <w:szCs w:val="21"/>
                <w:highlight w:val="none"/>
                <w:lang w:val="en-US" w:eastAsia="zh-CN"/>
              </w:rPr>
            </w:pPr>
            <w:r>
              <w:rPr>
                <w:rFonts w:hint="eastAsia"/>
                <w:b/>
                <w:bCs/>
                <w:color w:val="000000"/>
                <w:szCs w:val="21"/>
                <w:highlight w:val="none"/>
              </w:rPr>
              <w:t>岩山镇</w:t>
            </w:r>
            <w:r>
              <w:rPr>
                <w:rFonts w:hint="eastAsia"/>
                <w:b/>
                <w:bCs/>
                <w:color w:val="000000"/>
                <w:szCs w:val="21"/>
                <w:highlight w:val="none"/>
                <w:lang w:val="en-US" w:eastAsia="zh-CN"/>
              </w:rPr>
              <w:t>:</w:t>
            </w:r>
            <w:r>
              <w:rPr>
                <w:rFonts w:hint="eastAsia"/>
                <w:b w:val="0"/>
                <w:bCs w:val="0"/>
                <w:color w:val="000000"/>
                <w:szCs w:val="21"/>
                <w:highlight w:val="none"/>
                <w:lang w:val="en-US" w:eastAsia="zh-CN"/>
              </w:rPr>
              <w:t>农产品主产区</w:t>
            </w:r>
          </w:p>
          <w:p>
            <w:pPr>
              <w:jc w:val="center"/>
              <w:rPr>
                <w:rFonts w:hint="eastAsia" w:eastAsia="宋体"/>
                <w:color w:val="000000"/>
                <w:szCs w:val="21"/>
                <w:highlight w:val="none"/>
                <w:lang w:val="en-US" w:eastAsia="zh-CN"/>
              </w:rPr>
            </w:pPr>
            <w:r>
              <w:rPr>
                <w:rFonts w:hint="eastAsia"/>
                <w:b/>
                <w:bCs/>
                <w:color w:val="000000"/>
                <w:szCs w:val="21"/>
                <w:highlight w:val="none"/>
              </w:rPr>
              <w:t>渣坪乡</w:t>
            </w:r>
            <w:r>
              <w:rPr>
                <w:rFonts w:hint="eastAsia"/>
                <w:b/>
                <w:bCs/>
                <w:color w:val="000000"/>
                <w:szCs w:val="21"/>
                <w:highlight w:val="none"/>
                <w:lang w:val="en-US" w:eastAsia="zh-CN"/>
              </w:rPr>
              <w:t>:</w:t>
            </w:r>
            <w:r>
              <w:rPr>
                <w:rFonts w:hint="eastAsia"/>
                <w:b w:val="0"/>
                <w:bCs w:val="0"/>
                <w:color w:val="000000"/>
                <w:szCs w:val="21"/>
                <w:highlight w:val="none"/>
                <w:lang w:val="en-US" w:eastAsia="zh-CN"/>
              </w:rPr>
              <w:t>重点生态功能区</w:t>
            </w:r>
          </w:p>
        </w:tc>
        <w:tc>
          <w:tcPr>
            <w:tcW w:w="2480" w:type="dxa"/>
            <w:vAlign w:val="center"/>
          </w:tcPr>
          <w:p>
            <w:pPr>
              <w:widowControl/>
              <w:jc w:val="both"/>
              <w:rPr>
                <w:rFonts w:hint="default"/>
                <w:b w:val="0"/>
                <w:bCs w:val="0"/>
                <w:color w:val="000000"/>
                <w:szCs w:val="21"/>
                <w:highlight w:val="none"/>
                <w:lang w:val="en-US" w:eastAsia="zh-CN"/>
              </w:rPr>
            </w:pPr>
            <w:r>
              <w:rPr>
                <w:rFonts w:hint="eastAsia"/>
                <w:b/>
                <w:bCs/>
                <w:color w:val="000000"/>
                <w:szCs w:val="21"/>
                <w:highlight w:val="none"/>
              </w:rPr>
              <w:t>大屋瑶族乡</w:t>
            </w:r>
            <w:r>
              <w:rPr>
                <w:rFonts w:hint="eastAsia"/>
                <w:b/>
                <w:bCs/>
                <w:color w:val="000000"/>
                <w:szCs w:val="21"/>
                <w:highlight w:val="none"/>
                <w:lang w:val="en-US" w:eastAsia="zh-CN"/>
              </w:rPr>
              <w:t>:</w:t>
            </w:r>
            <w:r>
              <w:rPr>
                <w:rFonts w:hint="eastAsia"/>
                <w:b w:val="0"/>
                <w:bCs w:val="0"/>
                <w:color w:val="000000"/>
                <w:szCs w:val="21"/>
                <w:highlight w:val="none"/>
                <w:lang w:val="en-US" w:eastAsia="zh-CN"/>
              </w:rPr>
              <w:t>农业种植、畜禽养殖、农副产品加工、食品加工、非金属矿物制品业、矿山开采、电子设备制造、旅游开发及旅游产品加工、社会事业、再生资源利用行业、废弃资源利用</w:t>
            </w:r>
          </w:p>
          <w:p>
            <w:pPr>
              <w:widowControl/>
              <w:jc w:val="both"/>
              <w:rPr>
                <w:rFonts w:hint="default"/>
                <w:b w:val="0"/>
                <w:bCs w:val="0"/>
                <w:color w:val="000000"/>
                <w:szCs w:val="21"/>
                <w:highlight w:val="none"/>
                <w:lang w:val="en-US" w:eastAsia="zh-CN"/>
              </w:rPr>
            </w:pPr>
            <w:r>
              <w:rPr>
                <w:rFonts w:hint="eastAsia"/>
                <w:b/>
                <w:bCs/>
                <w:color w:val="000000"/>
                <w:szCs w:val="21"/>
                <w:highlight w:val="none"/>
              </w:rPr>
              <w:t>石柱镇</w:t>
            </w:r>
            <w:r>
              <w:rPr>
                <w:rFonts w:hint="eastAsia"/>
                <w:b/>
                <w:bCs/>
                <w:color w:val="000000"/>
                <w:szCs w:val="21"/>
                <w:highlight w:val="none"/>
                <w:lang w:val="en-US" w:eastAsia="zh-CN"/>
              </w:rPr>
              <w:t>:</w:t>
            </w:r>
            <w:r>
              <w:rPr>
                <w:rFonts w:hint="eastAsia"/>
                <w:b w:val="0"/>
                <w:bCs w:val="0"/>
                <w:color w:val="000000"/>
                <w:szCs w:val="21"/>
                <w:highlight w:val="none"/>
                <w:lang w:val="en-US" w:eastAsia="zh-CN"/>
              </w:rPr>
              <w:t>农业种植、畜禽养殖、农副产品加工、食品加工、非金属矿物制品业、矿山开采、电子设备制造、旅游开发及旅游产品加工、社会事业、再生资源利用行业、废弃资源利用</w:t>
            </w:r>
          </w:p>
          <w:p>
            <w:pPr>
              <w:widowControl/>
              <w:jc w:val="both"/>
              <w:rPr>
                <w:rFonts w:hint="default"/>
                <w:b/>
                <w:bCs/>
                <w:color w:val="000000"/>
                <w:szCs w:val="21"/>
                <w:highlight w:val="none"/>
                <w:lang w:val="en-US" w:eastAsia="zh-CN"/>
              </w:rPr>
            </w:pPr>
            <w:r>
              <w:rPr>
                <w:rFonts w:hint="eastAsia"/>
                <w:b/>
                <w:bCs/>
                <w:color w:val="000000"/>
                <w:szCs w:val="21"/>
                <w:highlight w:val="none"/>
              </w:rPr>
              <w:t>桐山乡</w:t>
            </w:r>
            <w:r>
              <w:rPr>
                <w:rFonts w:hint="eastAsia"/>
                <w:b/>
                <w:bCs/>
                <w:color w:val="000000"/>
                <w:szCs w:val="21"/>
                <w:highlight w:val="none"/>
                <w:lang w:val="en-US" w:eastAsia="zh-CN"/>
              </w:rPr>
              <w:t>:</w:t>
            </w:r>
            <w:r>
              <w:rPr>
                <w:rFonts w:hint="eastAsia"/>
                <w:b w:val="0"/>
                <w:bCs w:val="0"/>
                <w:color w:val="000000"/>
                <w:szCs w:val="21"/>
                <w:highlight w:val="none"/>
                <w:lang w:val="en-US" w:eastAsia="zh-CN"/>
              </w:rPr>
              <w:t>农业种植、畜禽养殖、农副产品加工、食品加工、非金属矿物制品业、矿山开采、电子设备制造、旅游开发及旅游产品加工、社会事业、再生资源利用行业、废弃资源利用</w:t>
            </w:r>
          </w:p>
          <w:p>
            <w:pPr>
              <w:widowControl/>
              <w:jc w:val="both"/>
              <w:rPr>
                <w:rFonts w:hint="default"/>
                <w:b/>
                <w:bCs/>
                <w:color w:val="000000"/>
                <w:szCs w:val="21"/>
                <w:highlight w:val="none"/>
                <w:lang w:val="en-US" w:eastAsia="zh-CN"/>
              </w:rPr>
            </w:pPr>
            <w:r>
              <w:rPr>
                <w:rFonts w:hint="eastAsia"/>
                <w:b/>
                <w:bCs/>
                <w:color w:val="000000"/>
                <w:szCs w:val="21"/>
                <w:highlight w:val="none"/>
              </w:rPr>
              <w:t>岩山镇</w:t>
            </w:r>
            <w:r>
              <w:rPr>
                <w:rFonts w:hint="eastAsia"/>
                <w:b/>
                <w:bCs/>
                <w:color w:val="000000"/>
                <w:szCs w:val="21"/>
                <w:highlight w:val="none"/>
                <w:lang w:val="en-US" w:eastAsia="zh-CN"/>
              </w:rPr>
              <w:t>:</w:t>
            </w:r>
            <w:r>
              <w:rPr>
                <w:rFonts w:hint="eastAsia"/>
                <w:b w:val="0"/>
                <w:bCs w:val="0"/>
                <w:color w:val="000000"/>
                <w:szCs w:val="21"/>
                <w:highlight w:val="none"/>
                <w:lang w:val="en-US" w:eastAsia="zh-CN"/>
              </w:rPr>
              <w:t>农业种植、畜禽养殖、农副产品加工、食品加工、非金属矿物制品业、矿山开采、电子设备制造、旅游开发及旅游产品加工、社会事业、再生资源利用行业、废弃资源利用</w:t>
            </w:r>
          </w:p>
          <w:p>
            <w:pPr>
              <w:widowControl/>
              <w:jc w:val="both"/>
              <w:rPr>
                <w:rFonts w:hint="default"/>
                <w:b/>
                <w:bCs/>
                <w:color w:val="000000"/>
                <w:szCs w:val="21"/>
                <w:highlight w:val="none"/>
                <w:lang w:val="en-US" w:eastAsia="zh-CN"/>
              </w:rPr>
            </w:pPr>
            <w:r>
              <w:rPr>
                <w:rFonts w:hint="eastAsia"/>
                <w:b/>
                <w:bCs/>
                <w:color w:val="000000"/>
                <w:szCs w:val="21"/>
                <w:highlight w:val="none"/>
              </w:rPr>
              <w:t>渣坪乡</w:t>
            </w:r>
            <w:r>
              <w:rPr>
                <w:rFonts w:hint="eastAsia"/>
                <w:b/>
                <w:bCs/>
                <w:color w:val="000000"/>
                <w:szCs w:val="21"/>
                <w:highlight w:val="none"/>
                <w:lang w:val="en-US" w:eastAsia="zh-CN"/>
              </w:rPr>
              <w:t>:</w:t>
            </w:r>
            <w:r>
              <w:rPr>
                <w:rFonts w:hint="eastAsia"/>
                <w:b w:val="0"/>
                <w:bCs w:val="0"/>
                <w:color w:val="000000"/>
                <w:szCs w:val="21"/>
                <w:highlight w:val="none"/>
                <w:lang w:val="en-US" w:eastAsia="zh-CN"/>
              </w:rPr>
              <w:t>农业种植、畜禽养殖、农副产品加工、食品加工、非金属矿物制品业、矿山开采、电子设备制造、旅游开发及旅游产品加工、社会事业、再生资源利用行业、废弃资源利用</w:t>
            </w:r>
          </w:p>
          <w:p>
            <w:pPr>
              <w:widowControl/>
              <w:jc w:val="center"/>
              <w:rPr>
                <w:rFonts w:hint="default"/>
                <w:b w:val="0"/>
                <w:bCs w:val="0"/>
                <w:color w:val="000000"/>
                <w:szCs w:val="21"/>
                <w:highlight w:val="none"/>
                <w:lang w:val="en-US" w:eastAsia="zh-CN"/>
              </w:rPr>
            </w:pPr>
          </w:p>
        </w:tc>
        <w:tc>
          <w:tcPr>
            <w:tcW w:w="3694" w:type="dxa"/>
            <w:vAlign w:val="center"/>
          </w:tcPr>
          <w:p>
            <w:pPr>
              <w:widowControl/>
              <w:rPr>
                <w:rFonts w:hint="eastAsia" w:eastAsia="宋体"/>
                <w:strike/>
                <w:dstrike w:val="0"/>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default"/>
                <w:b w:val="0"/>
                <w:bCs w:val="0"/>
                <w:color w:val="000000"/>
                <w:szCs w:val="21"/>
                <w:highlight w:val="none"/>
                <w:lang w:val="en-US" w:eastAsia="zh-CN"/>
              </w:rPr>
            </w:pPr>
            <w:r>
              <w:rPr>
                <w:rFonts w:hint="eastAsia"/>
                <w:b/>
                <w:bCs/>
                <w:color w:val="000000"/>
                <w:szCs w:val="21"/>
                <w:highlight w:val="none"/>
              </w:rPr>
              <w:t>大屋瑶族乡</w:t>
            </w:r>
            <w:r>
              <w:rPr>
                <w:rFonts w:hint="eastAsia"/>
                <w:b/>
                <w:bCs/>
                <w:color w:val="000000"/>
                <w:szCs w:val="21"/>
                <w:highlight w:val="none"/>
                <w:lang w:val="en-US" w:eastAsia="zh-CN"/>
              </w:rPr>
              <w:t>:</w:t>
            </w:r>
            <w:r>
              <w:rPr>
                <w:rFonts w:hint="eastAsia"/>
                <w:strike w:val="0"/>
                <w:dstrike w:val="0"/>
                <w:color w:val="000000"/>
                <w:kern w:val="0"/>
                <w:szCs w:val="21"/>
                <w:highlight w:val="none"/>
              </w:rPr>
              <w:t>农村面源污染一定程度存在，农村生活污水未处理。</w:t>
            </w:r>
          </w:p>
          <w:p>
            <w:pPr>
              <w:widowControl/>
              <w:jc w:val="both"/>
              <w:rPr>
                <w:rFonts w:hint="default"/>
                <w:b/>
                <w:bCs/>
                <w:color w:val="000000"/>
                <w:szCs w:val="21"/>
                <w:highlight w:val="none"/>
                <w:lang w:val="en-US" w:eastAsia="zh-CN"/>
              </w:rPr>
            </w:pPr>
            <w:r>
              <w:rPr>
                <w:rFonts w:hint="eastAsia"/>
                <w:b/>
                <w:bCs/>
                <w:color w:val="000000"/>
                <w:szCs w:val="21"/>
                <w:highlight w:val="none"/>
              </w:rPr>
              <w:t>石柱镇</w:t>
            </w:r>
            <w:r>
              <w:rPr>
                <w:rFonts w:hint="eastAsia"/>
                <w:b/>
                <w:bCs/>
                <w:color w:val="000000"/>
                <w:szCs w:val="21"/>
                <w:highlight w:val="none"/>
                <w:lang w:val="en-US" w:eastAsia="zh-CN"/>
              </w:rPr>
              <w:t>:</w:t>
            </w:r>
            <w:r>
              <w:rPr>
                <w:rFonts w:hint="eastAsia"/>
                <w:strike w:val="0"/>
                <w:dstrike w:val="0"/>
                <w:color w:val="000000"/>
                <w:kern w:val="0"/>
                <w:szCs w:val="21"/>
                <w:highlight w:val="none"/>
              </w:rPr>
              <w:t>农村面源污染一定程度存在，农村生活污水未处理。</w:t>
            </w:r>
          </w:p>
          <w:p>
            <w:pPr>
              <w:widowControl/>
              <w:jc w:val="both"/>
              <w:rPr>
                <w:rFonts w:hint="default"/>
                <w:b/>
                <w:bCs/>
                <w:color w:val="000000"/>
                <w:szCs w:val="21"/>
                <w:highlight w:val="none"/>
                <w:lang w:val="en-US" w:eastAsia="zh-CN"/>
              </w:rPr>
            </w:pPr>
            <w:r>
              <w:rPr>
                <w:rFonts w:hint="eastAsia"/>
                <w:b/>
                <w:bCs/>
                <w:color w:val="000000"/>
                <w:szCs w:val="21"/>
                <w:highlight w:val="none"/>
              </w:rPr>
              <w:t>桐山乡</w:t>
            </w:r>
            <w:r>
              <w:rPr>
                <w:rFonts w:hint="eastAsia"/>
                <w:b/>
                <w:bCs/>
                <w:color w:val="000000"/>
                <w:szCs w:val="21"/>
                <w:highlight w:val="none"/>
                <w:lang w:val="en-US" w:eastAsia="zh-CN"/>
              </w:rPr>
              <w:t>:</w:t>
            </w:r>
            <w:r>
              <w:rPr>
                <w:rFonts w:hint="eastAsia"/>
                <w:strike w:val="0"/>
                <w:dstrike w:val="0"/>
                <w:color w:val="000000"/>
                <w:kern w:val="0"/>
                <w:szCs w:val="21"/>
                <w:highlight w:val="none"/>
              </w:rPr>
              <w:t>农村面源污染一定程度存在，农村生活污水未处理。</w:t>
            </w:r>
          </w:p>
          <w:p>
            <w:pPr>
              <w:widowControl/>
              <w:jc w:val="both"/>
              <w:rPr>
                <w:rFonts w:hint="default"/>
                <w:b/>
                <w:bCs/>
                <w:color w:val="000000"/>
                <w:szCs w:val="21"/>
                <w:highlight w:val="none"/>
                <w:lang w:val="en-US" w:eastAsia="zh-CN"/>
              </w:rPr>
            </w:pPr>
            <w:r>
              <w:rPr>
                <w:rFonts w:hint="eastAsia"/>
                <w:b/>
                <w:bCs/>
                <w:color w:val="000000"/>
                <w:szCs w:val="21"/>
                <w:highlight w:val="none"/>
              </w:rPr>
              <w:t>岩山镇</w:t>
            </w:r>
            <w:r>
              <w:rPr>
                <w:rFonts w:hint="eastAsia"/>
                <w:b/>
                <w:bCs/>
                <w:color w:val="000000"/>
                <w:szCs w:val="21"/>
                <w:highlight w:val="none"/>
                <w:lang w:val="en-US" w:eastAsia="zh-CN"/>
              </w:rPr>
              <w:t>:</w:t>
            </w:r>
            <w:r>
              <w:rPr>
                <w:rFonts w:hint="eastAsia"/>
                <w:strike w:val="0"/>
                <w:dstrike w:val="0"/>
                <w:color w:val="000000"/>
                <w:kern w:val="0"/>
                <w:szCs w:val="21"/>
                <w:highlight w:val="none"/>
              </w:rPr>
              <w:t>农村面源污染一定程度存在，农村生活污水未处理。</w:t>
            </w:r>
          </w:p>
          <w:p>
            <w:pPr>
              <w:widowControl/>
              <w:jc w:val="both"/>
              <w:rPr>
                <w:rFonts w:hint="eastAsia"/>
                <w:b/>
                <w:bCs/>
                <w:color w:val="000000"/>
                <w:szCs w:val="21"/>
                <w:highlight w:val="none"/>
                <w:lang w:val="en-US" w:eastAsia="zh-CN"/>
              </w:rPr>
            </w:pPr>
            <w:r>
              <w:rPr>
                <w:rFonts w:hint="eastAsia"/>
                <w:b/>
                <w:bCs/>
                <w:color w:val="000000"/>
                <w:szCs w:val="21"/>
                <w:highlight w:val="none"/>
              </w:rPr>
              <w:t>渣坪乡</w:t>
            </w:r>
            <w:r>
              <w:rPr>
                <w:rFonts w:hint="eastAsia"/>
                <w:b/>
                <w:bCs/>
                <w:color w:val="000000"/>
                <w:szCs w:val="21"/>
                <w:highlight w:val="none"/>
                <w:lang w:val="en-US" w:eastAsia="zh-CN"/>
              </w:rPr>
              <w:t>:</w:t>
            </w:r>
            <w:r>
              <w:rPr>
                <w:rFonts w:hint="eastAsia"/>
                <w:strike w:val="0"/>
                <w:dstrike w:val="0"/>
                <w:color w:val="000000"/>
                <w:kern w:val="0"/>
                <w:szCs w:val="21"/>
                <w:highlight w:val="none"/>
              </w:rPr>
              <w:t>农村面源污染一定程度存在，农村生活污水未处理。</w:t>
            </w:r>
          </w:p>
          <w:p>
            <w:pPr>
              <w:widowControl/>
              <w:jc w:val="both"/>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jc w:val="both"/>
              <w:rPr>
                <w:rFonts w:hint="eastAsia"/>
                <w:strike w:val="0"/>
                <w:dstrike w:val="0"/>
                <w:color w:val="000000"/>
                <w:szCs w:val="21"/>
                <w:highlight w:val="none"/>
                <w:lang w:val="en-US" w:eastAsia="zh-CN"/>
              </w:rPr>
            </w:pPr>
            <w:r>
              <w:rPr>
                <w:rFonts w:hint="eastAsia"/>
                <w:b/>
                <w:bCs/>
                <w:color w:val="000000"/>
                <w:szCs w:val="21"/>
                <w:highlight w:val="none"/>
              </w:rPr>
              <w:t>桐山乡</w:t>
            </w:r>
            <w:r>
              <w:rPr>
                <w:rFonts w:hint="eastAsia"/>
                <w:b/>
                <w:bCs/>
                <w:color w:val="000000"/>
                <w:szCs w:val="21"/>
                <w:highlight w:val="none"/>
                <w:lang w:val="en-US" w:eastAsia="zh-CN"/>
              </w:rPr>
              <w:t>:</w:t>
            </w:r>
            <w:r>
              <w:rPr>
                <w:rFonts w:hint="eastAsia"/>
                <w:strike w:val="0"/>
                <w:dstrike w:val="0"/>
                <w:color w:val="000000"/>
                <w:szCs w:val="21"/>
                <w:highlight w:val="none"/>
                <w:lang w:val="en-US" w:eastAsia="zh-CN"/>
              </w:rPr>
              <w:t>湖南溆浦米粮洞省级森林公园</w:t>
            </w:r>
          </w:p>
          <w:p>
            <w:pPr>
              <w:widowControl/>
              <w:jc w:val="both"/>
              <w:rPr>
                <w:rFonts w:hint="eastAsia"/>
                <w:strike w:val="0"/>
                <w:dstrike w:val="0"/>
                <w:color w:val="000000"/>
                <w:szCs w:val="21"/>
                <w:highlight w:val="none"/>
                <w:lang w:val="en-US" w:eastAsia="zh-CN"/>
              </w:rPr>
            </w:pPr>
            <w:r>
              <w:rPr>
                <w:rFonts w:hint="eastAsia"/>
                <w:b/>
                <w:bCs/>
                <w:color w:val="000000"/>
                <w:szCs w:val="21"/>
                <w:highlight w:val="none"/>
              </w:rPr>
              <w:t>岩山镇</w:t>
            </w:r>
            <w:r>
              <w:rPr>
                <w:rFonts w:hint="eastAsia"/>
                <w:b/>
                <w:bCs/>
                <w:color w:val="000000"/>
                <w:szCs w:val="21"/>
                <w:highlight w:val="none"/>
                <w:lang w:val="en-US" w:eastAsia="zh-CN"/>
              </w:rPr>
              <w:t>:</w:t>
            </w:r>
            <w:r>
              <w:rPr>
                <w:rFonts w:hint="eastAsia"/>
                <w:b w:val="0"/>
                <w:bCs w:val="0"/>
                <w:color w:val="000000"/>
                <w:szCs w:val="21"/>
                <w:highlight w:val="none"/>
                <w:lang w:val="en-US" w:eastAsia="zh-CN"/>
              </w:rPr>
              <w:t>湖南洞口大湾省级森林公园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7" w:type="dxa"/>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12587" w:type="dxa"/>
            <w:gridSpan w:val="10"/>
            <w:vAlign w:val="center"/>
          </w:tcPr>
          <w:p>
            <w:pPr>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rPr>
              <w:t>大屋瑶族乡</w:t>
            </w:r>
            <w:r>
              <w:rPr>
                <w:rFonts w:hint="eastAsia"/>
                <w:b/>
                <w:bCs/>
                <w:strike w:val="0"/>
                <w:dstrike w:val="0"/>
                <w:color w:val="000000"/>
                <w:szCs w:val="21"/>
                <w:highlight w:val="none"/>
                <w:lang w:val="en-US" w:eastAsia="zh-CN"/>
              </w:rPr>
              <w:t>:</w:t>
            </w:r>
          </w:p>
          <w:p>
            <w:pPr>
              <w:ind w:firstLine="422" w:firstLineChars="200"/>
              <w:jc w:val="both"/>
              <w:rPr>
                <w:rFonts w:hint="eastAsia"/>
                <w:b w:val="0"/>
                <w:bCs w:val="0"/>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红线/一般生态空间；三区三线生态红线\水源涵养重要区\生物多样性保护功能重要区；</w:t>
            </w:r>
          </w:p>
          <w:p>
            <w:pPr>
              <w:ind w:firstLine="422" w:firstLineChars="200"/>
              <w:jc w:val="both"/>
              <w:rPr>
                <w:rFonts w:hint="default"/>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水环境一般管控区；大气环境弱扩散重点管控区；农用地优先保护区/一般管控区；重点生态功能区；</w:t>
            </w:r>
          </w:p>
          <w:p>
            <w:pPr>
              <w:jc w:val="both"/>
              <w:rPr>
                <w:rFonts w:hint="eastAsia"/>
                <w:b/>
                <w:bCs/>
                <w:color w:val="000000"/>
                <w:szCs w:val="21"/>
                <w:highlight w:val="none"/>
                <w:lang w:val="en-US" w:eastAsia="zh-CN"/>
              </w:rPr>
            </w:pPr>
            <w:r>
              <w:rPr>
                <w:rFonts w:hint="eastAsia"/>
                <w:b/>
                <w:bCs/>
                <w:color w:val="000000"/>
                <w:szCs w:val="21"/>
                <w:highlight w:val="none"/>
              </w:rPr>
              <w:t>石柱镇</w:t>
            </w:r>
            <w:r>
              <w:rPr>
                <w:rFonts w:hint="eastAsia"/>
                <w:b/>
                <w:bCs/>
                <w:color w:val="000000"/>
                <w:szCs w:val="21"/>
                <w:highlight w:val="none"/>
                <w:lang w:val="en-US" w:eastAsia="zh-CN"/>
              </w:rPr>
              <w:t>:</w:t>
            </w:r>
          </w:p>
          <w:p>
            <w:pPr>
              <w:ind w:firstLine="422" w:firstLineChars="200"/>
              <w:jc w:val="both"/>
              <w:rPr>
                <w:rFonts w:hint="eastAsia"/>
                <w:b w:val="0"/>
                <w:bCs w:val="0"/>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红线/一般生态空间；三区三线生态红线\水源涵养重要区\生物多样性保护功能重要区\原生态红线\水土流失敏感区；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水环境一般管控区；大气环境受体敏感重点管控区；农用地优先保护区/一般管控区；农产品主产区；</w:t>
            </w:r>
          </w:p>
          <w:p>
            <w:pPr>
              <w:jc w:val="both"/>
              <w:rPr>
                <w:rFonts w:hint="eastAsia"/>
                <w:b/>
                <w:bCs/>
                <w:color w:val="000000"/>
                <w:szCs w:val="21"/>
                <w:highlight w:val="none"/>
                <w:lang w:val="en-US" w:eastAsia="zh-CN"/>
              </w:rPr>
            </w:pPr>
            <w:r>
              <w:rPr>
                <w:rFonts w:hint="eastAsia"/>
                <w:b/>
                <w:bCs/>
                <w:color w:val="000000"/>
                <w:szCs w:val="21"/>
                <w:highlight w:val="none"/>
              </w:rPr>
              <w:t>桐山乡</w:t>
            </w:r>
            <w:r>
              <w:rPr>
                <w:rFonts w:hint="eastAsia"/>
                <w:b/>
                <w:bCs/>
                <w:color w:val="000000"/>
                <w:szCs w:val="21"/>
                <w:highlight w:val="none"/>
                <w:lang w:val="en-US"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红线/一般生态空间；三区三线生态红线\水源涵养重要区\生物多样性保护功能重要区\原生态红线\水土流失敏感区\水土保持功能重要区\森林公园；</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水环境一般管控区；大气环境优先保护区/大气环境弱扩散重点管控区；湖南溆浦米粮洞省级森林公园；农用地优先保护区/一般管控区；重点生态功能区；</w:t>
            </w:r>
          </w:p>
          <w:p>
            <w:pPr>
              <w:jc w:val="both"/>
              <w:rPr>
                <w:rFonts w:hint="eastAsia"/>
                <w:b/>
                <w:bCs/>
                <w:color w:val="000000"/>
                <w:szCs w:val="21"/>
                <w:highlight w:val="none"/>
                <w:lang w:val="en-US" w:eastAsia="zh-CN"/>
              </w:rPr>
            </w:pPr>
            <w:r>
              <w:rPr>
                <w:rFonts w:hint="eastAsia"/>
                <w:b/>
                <w:bCs/>
                <w:color w:val="000000"/>
                <w:szCs w:val="21"/>
                <w:highlight w:val="none"/>
              </w:rPr>
              <w:t>岩山镇</w:t>
            </w:r>
            <w:r>
              <w:rPr>
                <w:rFonts w:hint="eastAsia"/>
                <w:b/>
                <w:bCs/>
                <w:color w:val="000000"/>
                <w:szCs w:val="21"/>
                <w:highlight w:val="none"/>
                <w:lang w:val="en-US"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红线/一般生态空间；三区三线生态红线\水源涵养重要区\森林公园\生物多样性保护功能重要区\原生态红线\水土流失敏感区；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水环境一般管控区；大气环境优先保护区/大气环境受体敏感重点管控区/大气环境弱扩散重点管控区；湖南洞口大湾省级森林公园；农用地优先保护区/一般管控区；农产品主产区；</w:t>
            </w:r>
          </w:p>
          <w:p>
            <w:pPr>
              <w:jc w:val="both"/>
              <w:rPr>
                <w:rFonts w:hint="eastAsia"/>
                <w:b/>
                <w:bCs/>
                <w:color w:val="000000"/>
                <w:szCs w:val="21"/>
                <w:highlight w:val="none"/>
                <w:lang w:val="en-US" w:eastAsia="zh-CN"/>
              </w:rPr>
            </w:pPr>
            <w:r>
              <w:rPr>
                <w:rFonts w:hint="eastAsia"/>
                <w:b/>
                <w:bCs/>
                <w:color w:val="000000"/>
                <w:szCs w:val="21"/>
                <w:highlight w:val="none"/>
              </w:rPr>
              <w:t>渣坪乡</w:t>
            </w:r>
            <w:r>
              <w:rPr>
                <w:rFonts w:hint="eastAsia"/>
                <w:b/>
                <w:bCs/>
                <w:color w:val="000000"/>
                <w:szCs w:val="21"/>
                <w:highlight w:val="none"/>
                <w:lang w:val="en-US"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红线/一般生态空间；水源涵养重要区\三区三线生态红线\生物多样性保护功能重要区\原生态红线\水土流失敏感区\石漠化敏感区；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水环境一般管控区；大气环境弱扩散重点管控区；农用地优先保护区/一般管控区；重点生态功能区；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87" w:type="dxa"/>
            <w:vAlign w:val="center"/>
          </w:tcPr>
          <w:p>
            <w:pPr>
              <w:widowControl/>
              <w:jc w:val="center"/>
              <w:rPr>
                <w:b/>
                <w:color w:val="000000"/>
                <w:szCs w:val="21"/>
                <w:highlight w:val="none"/>
              </w:rPr>
            </w:pPr>
            <w:r>
              <w:rPr>
                <w:rFonts w:hint="eastAsia"/>
                <w:b/>
                <w:color w:val="000000"/>
                <w:szCs w:val="21"/>
                <w:highlight w:val="none"/>
              </w:rPr>
              <w:t>管控维度</w:t>
            </w:r>
          </w:p>
        </w:tc>
        <w:tc>
          <w:tcPr>
            <w:tcW w:w="8893"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3694" w:type="dxa"/>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87" w:type="dxa"/>
            <w:vAlign w:val="center"/>
          </w:tcPr>
          <w:p>
            <w:pPr>
              <w:widowControl/>
              <w:jc w:val="center"/>
              <w:rPr>
                <w:color w:val="000000"/>
                <w:szCs w:val="21"/>
                <w:highlight w:val="none"/>
              </w:rPr>
            </w:pPr>
            <w:r>
              <w:rPr>
                <w:rFonts w:hint="eastAsia"/>
                <w:color w:val="000000"/>
                <w:szCs w:val="21"/>
                <w:highlight w:val="none"/>
              </w:rPr>
              <w:t>空间布局约束</w:t>
            </w:r>
          </w:p>
        </w:tc>
        <w:tc>
          <w:tcPr>
            <w:tcW w:w="8893"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）严禁未经批准新增煤炭、水泥、电解铝、平板玻璃等行业产能，优先使用清洁能源。</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1.4</w:t>
            </w:r>
            <w:r>
              <w:rPr>
                <w:rFonts w:hint="eastAsia"/>
                <w:strike w:val="0"/>
                <w:dstrike w:val="0"/>
                <w:color w:val="000000"/>
                <w:szCs w:val="21"/>
                <w:highlight w:val="none"/>
                <w:lang w:eastAsia="zh-CN"/>
              </w:rPr>
              <w:t>）禁止新建有机类危险废物热（裂）解处理项目。</w:t>
            </w:r>
          </w:p>
          <w:p>
            <w:pPr>
              <w:ind w:firstLine="420" w:firstLineChars="200"/>
              <w:rPr>
                <w:rFonts w:hint="default"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（1.6）</w:t>
            </w:r>
            <w:r>
              <w:rPr>
                <w:rFonts w:hint="eastAsia"/>
                <w:strike w:val="0"/>
                <w:dstrike w:val="0"/>
                <w:color w:val="000000"/>
                <w:szCs w:val="21"/>
                <w:highlight w:val="none"/>
                <w:lang w:val="en-US" w:eastAsia="zh-CN"/>
              </w:rPr>
              <w:t>禁止侵占自然湿地等水源涵养空间，已侵占的限期予以恢复。</w:t>
            </w:r>
          </w:p>
        </w:tc>
        <w:tc>
          <w:tcPr>
            <w:tcW w:w="3694" w:type="dxa"/>
            <w:vMerge w:val="restart"/>
          </w:tcPr>
          <w:p>
            <w:pPr>
              <w:rPr>
                <w:rFonts w:hint="default"/>
                <w:strike w:val="0"/>
                <w:dstrike w:val="0"/>
                <w:color w:val="000000"/>
                <w:szCs w:val="21"/>
                <w:highlight w:val="none"/>
                <w:lang w:val="en-US" w:eastAsia="zh-CN"/>
              </w:rPr>
            </w:pPr>
            <w:r>
              <w:rPr>
                <w:rFonts w:hint="eastAsia"/>
                <w:strike w:val="0"/>
                <w:dstrike w:val="0"/>
                <w:color w:val="000000"/>
                <w:szCs w:val="21"/>
                <w:highlight w:val="none"/>
                <w:lang w:val="en-US" w:eastAsia="zh-CN"/>
              </w:rPr>
              <w:t>①《洞口县国民经济和社会发展第十四个五年规划和二O三五年远景目标纲要》原文中“牛羊产业:主要布局古楼乡、大屋乡、桐山乡、月溪镇、又兰镇、江口镇、罗溪乡、长塘乡、渣坪乡等乡镇,形成年出栏5万头肉牛 和年出栏10万头肉羊的牛羊生产基地。”、《洞口县国民经济和社会发展第十四个五年规划和二O三五年远景目标纲要》原文中“水产养殖:主要布局高沙镇、又兰镇、岩山镇、黄桥镇、石江镇、竹市镇、山门镇、长塘乡等乡镇,建立10个连片水面500亩以上的23水产养殖基地。”</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w:t>
            </w:r>
            <w:r>
              <w:rPr>
                <w:rFonts w:hint="eastAsia" w:asciiTheme="minorHAnsi" w:hAnsiTheme="minorHAnsi" w:cstheme="minorBidi"/>
                <w:b w:val="0"/>
                <w:bCs w:val="0"/>
                <w:spacing w:val="-14"/>
                <w:kern w:val="2"/>
                <w:sz w:val="21"/>
                <w:szCs w:val="22"/>
                <w:highlight w:val="none"/>
                <w:lang w:val="en-US" w:eastAsia="zh-CN" w:bidi="ar-SA"/>
              </w:rPr>
              <w:t>（1.6）</w:t>
            </w:r>
            <w:r>
              <w:rPr>
                <w:rFonts w:hint="eastAsia"/>
                <w:strike w:val="0"/>
                <w:dstrike w:val="0"/>
                <w:color w:val="000000"/>
                <w:szCs w:val="21"/>
                <w:highlight w:val="none"/>
                <w:lang w:val="en-US" w:eastAsia="zh-CN"/>
              </w:rPr>
              <w:t>（2.1.1）（2.1.2）（2.2.1）（2.2.2）（2.3.1）（2.3.2）（3.3）（4.1.1）（4.1.2）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 年洞口县深入打好污染防治攻坚战工作方案》</w:t>
            </w:r>
          </w:p>
          <w:p>
            <w:pPr>
              <w:tabs>
                <w:tab w:val="left" w:pos="1021"/>
              </w:tabs>
              <w:rPr>
                <w:rFonts w:hint="default" w:asciiTheme="minorHAnsi" w:hAnsiTheme="minorHAnsi" w:cstheme="minorBidi"/>
                <w:b w:val="0"/>
                <w:bCs w:val="0"/>
                <w:spacing w:val="-14"/>
                <w:kern w:val="2"/>
                <w:sz w:val="21"/>
                <w:szCs w:val="22"/>
                <w:highlight w:val="none"/>
                <w:lang w:val="en-US" w:eastAsia="zh-CN" w:bidi="ar-SA"/>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587" w:type="dxa"/>
            <w:vAlign w:val="center"/>
          </w:tcPr>
          <w:p>
            <w:pPr>
              <w:widowControl/>
              <w:jc w:val="center"/>
              <w:rPr>
                <w:color w:val="000000"/>
                <w:szCs w:val="21"/>
                <w:highlight w:val="none"/>
              </w:rPr>
            </w:pPr>
            <w:r>
              <w:rPr>
                <w:rFonts w:hint="eastAsia"/>
                <w:color w:val="000000"/>
                <w:szCs w:val="21"/>
                <w:highlight w:val="none"/>
              </w:rPr>
              <w:t>污染物排放管控</w:t>
            </w:r>
          </w:p>
        </w:tc>
        <w:tc>
          <w:tcPr>
            <w:tcW w:w="8893"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（2.3.2）全面禁止废塑料进口，推广使用可降解塑料制品、塑料替代产品。</w:t>
            </w:r>
          </w:p>
          <w:p>
            <w:pPr>
              <w:tabs>
                <w:tab w:val="left" w:pos="1021"/>
              </w:tabs>
              <w:ind w:firstLine="420" w:firstLineChars="200"/>
              <w:rPr>
                <w:rFonts w:hint="default"/>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（2.3.3）加强农村垃圾中转站建设，巩固非正规生活垃圾堆放点整治成效，提升农村垃圾治理水平。</w:t>
            </w:r>
          </w:p>
        </w:tc>
        <w:tc>
          <w:tcPr>
            <w:tcW w:w="3694"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587" w:type="dxa"/>
            <w:vAlign w:val="center"/>
          </w:tcPr>
          <w:p>
            <w:pPr>
              <w:widowControl/>
              <w:jc w:val="center"/>
              <w:rPr>
                <w:color w:val="000000"/>
                <w:szCs w:val="21"/>
                <w:highlight w:val="none"/>
              </w:rPr>
            </w:pPr>
            <w:r>
              <w:rPr>
                <w:rFonts w:hint="eastAsia"/>
                <w:color w:val="000000"/>
                <w:szCs w:val="21"/>
                <w:highlight w:val="none"/>
              </w:rPr>
              <w:t>环境风险防控</w:t>
            </w:r>
          </w:p>
        </w:tc>
        <w:tc>
          <w:tcPr>
            <w:tcW w:w="8893"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default"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tc>
        <w:tc>
          <w:tcPr>
            <w:tcW w:w="3694"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87" w:type="dxa"/>
            <w:vAlign w:val="center"/>
          </w:tcPr>
          <w:p>
            <w:pPr>
              <w:widowControl/>
              <w:jc w:val="center"/>
              <w:rPr>
                <w:color w:val="000000"/>
                <w:szCs w:val="21"/>
                <w:highlight w:val="none"/>
              </w:rPr>
            </w:pPr>
            <w:r>
              <w:rPr>
                <w:rFonts w:hint="eastAsia"/>
                <w:color w:val="000000"/>
                <w:szCs w:val="21"/>
                <w:highlight w:val="none"/>
              </w:rPr>
              <w:t>资源开发效率要求</w:t>
            </w:r>
          </w:p>
        </w:tc>
        <w:tc>
          <w:tcPr>
            <w:tcW w:w="8893"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p>
          <w:p>
            <w:pPr>
              <w:tabs>
                <w:tab w:val="left" w:pos="1021"/>
              </w:tabs>
              <w:rPr>
                <w:rFonts w:hint="default"/>
                <w:strike w:val="0"/>
                <w:dstrike w:val="0"/>
                <w:color w:val="000000"/>
                <w:szCs w:val="21"/>
                <w:highlight w:val="none"/>
                <w:lang w:val="en-US" w:eastAsia="zh-CN"/>
              </w:rPr>
            </w:pPr>
          </w:p>
        </w:tc>
        <w:tc>
          <w:tcPr>
            <w:tcW w:w="3694" w:type="dxa"/>
            <w:vMerge w:val="continue"/>
            <w:vAlign w:val="center"/>
          </w:tcPr>
          <w:p>
            <w:pPr>
              <w:rPr>
                <w:highlight w:val="none"/>
              </w:rPr>
            </w:pPr>
          </w:p>
        </w:tc>
      </w:tr>
    </w:tbl>
    <w:p>
      <w:pPr>
        <w:pStyle w:val="14"/>
        <w:ind w:firstLine="0" w:firstLineChars="0"/>
        <w:rPr>
          <w:b/>
          <w:color w:val="000000"/>
          <w:sz w:val="28"/>
          <w:szCs w:val="32"/>
        </w:rPr>
        <w:sectPr>
          <w:headerReference r:id="rId7" w:type="default"/>
          <w:footerReference r:id="rId8" w:type="default"/>
          <w:pgSz w:w="16838" w:h="11906" w:orient="landscape"/>
          <w:pgMar w:top="1800" w:right="1440" w:bottom="1800" w:left="1440" w:header="851" w:footer="992" w:gutter="0"/>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321"/>
        <w:gridCol w:w="425"/>
        <w:gridCol w:w="426"/>
        <w:gridCol w:w="425"/>
        <w:gridCol w:w="992"/>
        <w:gridCol w:w="992"/>
        <w:gridCol w:w="1134"/>
        <w:gridCol w:w="1701"/>
        <w:gridCol w:w="1701"/>
        <w:gridCol w:w="709"/>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51" w:type="dxa"/>
            <w:vMerge w:val="restart"/>
            <w:vAlign w:val="center"/>
          </w:tcPr>
          <w:p>
            <w:pPr>
              <w:widowControl/>
              <w:jc w:val="center"/>
              <w:rPr>
                <w:b/>
                <w:color w:val="000000"/>
                <w:kern w:val="0"/>
                <w:szCs w:val="21"/>
                <w:highlight w:val="none"/>
              </w:rPr>
            </w:pPr>
            <w:r>
              <w:rPr>
                <w:rFonts w:hint="eastAsia"/>
                <w:b/>
                <w:color w:val="000000"/>
                <w:kern w:val="0"/>
                <w:szCs w:val="21"/>
                <w:highlight w:val="none"/>
              </w:rPr>
              <w:t>环境管控单元编码</w:t>
            </w:r>
          </w:p>
        </w:tc>
        <w:tc>
          <w:tcPr>
            <w:tcW w:w="1321"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1276"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992"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992" w:type="dxa"/>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1134"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701"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2410" w:type="dxa"/>
            <w:gridSpan w:val="2"/>
            <w:vMerge w:val="restart"/>
            <w:vAlign w:val="center"/>
          </w:tcPr>
          <w:p>
            <w:pPr>
              <w:jc w:val="center"/>
              <w:rPr>
                <w:b/>
                <w:color w:val="000000"/>
                <w:kern w:val="0"/>
                <w:szCs w:val="21"/>
                <w:highlight w:val="none"/>
              </w:rPr>
            </w:pPr>
            <w:r>
              <w:rPr>
                <w:rFonts w:hint="eastAsia"/>
                <w:b/>
                <w:color w:val="000000"/>
                <w:kern w:val="0"/>
                <w:szCs w:val="21"/>
                <w:highlight w:val="none"/>
                <w:lang w:val="en-US" w:eastAsia="zh-CN"/>
              </w:rPr>
              <w:t>①</w:t>
            </w:r>
            <w:r>
              <w:rPr>
                <w:rFonts w:hint="eastAsia"/>
                <w:b/>
                <w:color w:val="000000"/>
                <w:kern w:val="0"/>
                <w:szCs w:val="21"/>
                <w:highlight w:val="none"/>
              </w:rPr>
              <w:t>经济产业布局</w:t>
            </w:r>
          </w:p>
        </w:tc>
        <w:tc>
          <w:tcPr>
            <w:tcW w:w="2471" w:type="dxa"/>
            <w:vMerge w:val="restart"/>
            <w:vAlign w:val="center"/>
          </w:tcPr>
          <w:p>
            <w:pPr>
              <w:jc w:val="center"/>
              <w:rPr>
                <w:b/>
                <w:color w:val="000000"/>
                <w:kern w:val="0"/>
                <w:szCs w:val="21"/>
                <w:highlight w:val="none"/>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jc w:val="center"/>
        </w:trPr>
        <w:tc>
          <w:tcPr>
            <w:tcW w:w="1651" w:type="dxa"/>
            <w:vMerge w:val="continue"/>
            <w:vAlign w:val="center"/>
          </w:tcPr>
          <w:p>
            <w:pPr>
              <w:rPr>
                <w:highlight w:val="none"/>
              </w:rPr>
            </w:pPr>
          </w:p>
        </w:tc>
        <w:tc>
          <w:tcPr>
            <w:tcW w:w="1321" w:type="dxa"/>
            <w:vMerge w:val="continue"/>
            <w:vAlign w:val="center"/>
          </w:tcPr>
          <w:p>
            <w:pPr>
              <w:rPr>
                <w:highlight w:val="none"/>
              </w:rPr>
            </w:pPr>
          </w:p>
        </w:tc>
        <w:tc>
          <w:tcPr>
            <w:tcW w:w="425" w:type="dxa"/>
            <w:vAlign w:val="center"/>
          </w:tcPr>
          <w:p>
            <w:pPr>
              <w:jc w:val="center"/>
              <w:rPr>
                <w:b/>
                <w:color w:val="000000"/>
                <w:szCs w:val="21"/>
                <w:highlight w:val="none"/>
              </w:rPr>
            </w:pPr>
            <w:r>
              <w:rPr>
                <w:rFonts w:hint="eastAsia"/>
                <w:b/>
                <w:color w:val="000000"/>
                <w:szCs w:val="21"/>
                <w:highlight w:val="none"/>
              </w:rPr>
              <w:t>省</w:t>
            </w:r>
          </w:p>
        </w:tc>
        <w:tc>
          <w:tcPr>
            <w:tcW w:w="426" w:type="dxa"/>
            <w:vAlign w:val="center"/>
          </w:tcPr>
          <w:p>
            <w:pPr>
              <w:jc w:val="center"/>
              <w:rPr>
                <w:b/>
                <w:color w:val="000000"/>
                <w:szCs w:val="21"/>
                <w:highlight w:val="none"/>
              </w:rPr>
            </w:pPr>
            <w:r>
              <w:rPr>
                <w:rFonts w:hint="eastAsia"/>
                <w:b/>
                <w:color w:val="000000"/>
                <w:szCs w:val="21"/>
                <w:highlight w:val="none"/>
              </w:rPr>
              <w:t>市</w:t>
            </w:r>
          </w:p>
        </w:tc>
        <w:tc>
          <w:tcPr>
            <w:tcW w:w="425" w:type="dxa"/>
            <w:vAlign w:val="center"/>
          </w:tcPr>
          <w:p>
            <w:pPr>
              <w:jc w:val="center"/>
              <w:rPr>
                <w:b/>
                <w:color w:val="000000"/>
                <w:szCs w:val="21"/>
                <w:highlight w:val="none"/>
              </w:rPr>
            </w:pPr>
            <w:r>
              <w:rPr>
                <w:rFonts w:hint="eastAsia"/>
                <w:b/>
                <w:color w:val="000000"/>
                <w:szCs w:val="21"/>
                <w:highlight w:val="none"/>
              </w:rPr>
              <w:t>县</w:t>
            </w:r>
          </w:p>
        </w:tc>
        <w:tc>
          <w:tcPr>
            <w:tcW w:w="992" w:type="dxa"/>
            <w:vMerge w:val="continue"/>
            <w:vAlign w:val="center"/>
          </w:tcPr>
          <w:p>
            <w:pPr>
              <w:rPr>
                <w:highlight w:val="none"/>
              </w:rPr>
            </w:pPr>
          </w:p>
        </w:tc>
        <w:tc>
          <w:tcPr>
            <w:tcW w:w="992" w:type="dxa"/>
            <w:vMerge w:val="continue"/>
            <w:vAlign w:val="center"/>
          </w:tcPr>
          <w:p>
            <w:pPr>
              <w:rPr>
                <w:highlight w:val="none"/>
              </w:rPr>
            </w:pPr>
          </w:p>
        </w:tc>
        <w:tc>
          <w:tcPr>
            <w:tcW w:w="1134" w:type="dxa"/>
            <w:vMerge w:val="continue"/>
            <w:vAlign w:val="center"/>
          </w:tcPr>
          <w:p>
            <w:pPr>
              <w:rPr>
                <w:highlight w:val="none"/>
              </w:rPr>
            </w:pPr>
          </w:p>
        </w:tc>
        <w:tc>
          <w:tcPr>
            <w:tcW w:w="1701" w:type="dxa"/>
            <w:vMerge w:val="continue"/>
            <w:vAlign w:val="center"/>
          </w:tcPr>
          <w:p>
            <w:pPr>
              <w:rPr>
                <w:highlight w:val="none"/>
              </w:rPr>
            </w:pPr>
          </w:p>
        </w:tc>
        <w:tc>
          <w:tcPr>
            <w:tcW w:w="2410" w:type="dxa"/>
            <w:gridSpan w:val="2"/>
            <w:vMerge w:val="continue"/>
            <w:vAlign w:val="center"/>
          </w:tcPr>
          <w:p>
            <w:pPr>
              <w:rPr>
                <w:highlight w:val="none"/>
              </w:rPr>
            </w:pPr>
          </w:p>
        </w:tc>
        <w:tc>
          <w:tcPr>
            <w:tcW w:w="2471"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1651" w:type="dxa"/>
            <w:vAlign w:val="center"/>
          </w:tcPr>
          <w:p>
            <w:pPr>
              <w:jc w:val="center"/>
              <w:rPr>
                <w:color w:val="000000"/>
                <w:szCs w:val="21"/>
                <w:highlight w:val="none"/>
              </w:rPr>
            </w:pPr>
            <w:r>
              <w:rPr>
                <w:color w:val="000000"/>
                <w:szCs w:val="21"/>
                <w:highlight w:val="none"/>
              </w:rPr>
              <w:t>ZH43052510002</w:t>
            </w:r>
          </w:p>
        </w:tc>
        <w:tc>
          <w:tcPr>
            <w:tcW w:w="1321" w:type="dxa"/>
            <w:vAlign w:val="center"/>
          </w:tcPr>
          <w:p>
            <w:pPr>
              <w:jc w:val="center"/>
              <w:rPr>
                <w:rFonts w:hint="eastAsia"/>
                <w:strike/>
                <w:dstrike w:val="0"/>
                <w:color w:val="000000"/>
                <w:szCs w:val="21"/>
                <w:highlight w:val="none"/>
              </w:rPr>
            </w:pPr>
            <w:r>
              <w:rPr>
                <w:rFonts w:hint="eastAsia"/>
                <w:strike w:val="0"/>
                <w:dstrike w:val="0"/>
                <w:color w:val="000000"/>
                <w:szCs w:val="21"/>
                <w:highlight w:val="none"/>
              </w:rPr>
              <w:t>古楼乡/江口镇</w:t>
            </w:r>
            <w:r>
              <w:rPr>
                <w:rFonts w:hint="eastAsia"/>
                <w:strike w:val="0"/>
                <w:dstrike w:val="0"/>
                <w:color w:val="auto"/>
                <w:szCs w:val="21"/>
                <w:highlight w:val="none"/>
              </w:rPr>
              <w:t>/</w:t>
            </w:r>
            <w:r>
              <w:rPr>
                <w:highlight w:val="none"/>
              </w:rPr>
              <w:drawing>
                <wp:inline distT="0" distB="0" distL="114300" distR="114300">
                  <wp:extent cx="701040" cy="196215"/>
                  <wp:effectExtent l="0" t="0" r="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clrChange>
                              <a:clrFrom>
                                <a:srgbClr val="FFFF00">
                                  <a:alpha val="100000"/>
                                </a:srgbClr>
                              </a:clrFrom>
                              <a:clrTo>
                                <a:srgbClr val="FFFF00">
                                  <a:alpha val="100000"/>
                                  <a:alpha val="0"/>
                                </a:srgbClr>
                              </a:clrTo>
                            </a:clrChange>
                          </a:blip>
                          <a:stretch>
                            <a:fillRect/>
                          </a:stretch>
                        </pic:blipFill>
                        <pic:spPr>
                          <a:xfrm>
                            <a:off x="0" y="0"/>
                            <a:ext cx="701040" cy="196215"/>
                          </a:xfrm>
                          <a:prstGeom prst="rect">
                            <a:avLst/>
                          </a:prstGeom>
                          <a:noFill/>
                          <a:ln>
                            <a:noFill/>
                          </a:ln>
                        </pic:spPr>
                      </pic:pic>
                    </a:graphicData>
                  </a:graphic>
                </wp:inline>
              </w:drawing>
            </w:r>
            <w:r>
              <w:rPr>
                <w:rFonts w:hint="eastAsia"/>
                <w:strike w:val="0"/>
                <w:dstrike w:val="0"/>
                <w:color w:val="000000"/>
                <w:szCs w:val="21"/>
                <w:highlight w:val="none"/>
              </w:rPr>
              <w:t>/月溪镇/长塘瑶族乡</w:t>
            </w:r>
          </w:p>
        </w:tc>
        <w:tc>
          <w:tcPr>
            <w:tcW w:w="425" w:type="dxa"/>
            <w:vAlign w:val="center"/>
          </w:tcPr>
          <w:p>
            <w:pPr>
              <w:jc w:val="center"/>
              <w:rPr>
                <w:color w:val="000000"/>
                <w:szCs w:val="21"/>
                <w:highlight w:val="none"/>
              </w:rPr>
            </w:pPr>
            <w:r>
              <w:rPr>
                <w:rFonts w:hint="eastAsia"/>
                <w:color w:val="000000"/>
                <w:szCs w:val="21"/>
                <w:highlight w:val="none"/>
              </w:rPr>
              <w:t>湖南省</w:t>
            </w:r>
          </w:p>
        </w:tc>
        <w:tc>
          <w:tcPr>
            <w:tcW w:w="426" w:type="dxa"/>
            <w:vAlign w:val="center"/>
          </w:tcPr>
          <w:p>
            <w:pPr>
              <w:jc w:val="center"/>
              <w:rPr>
                <w:color w:val="000000"/>
                <w:szCs w:val="21"/>
                <w:highlight w:val="none"/>
              </w:rPr>
            </w:pPr>
            <w:r>
              <w:rPr>
                <w:rFonts w:hint="eastAsia"/>
                <w:color w:val="000000"/>
                <w:szCs w:val="21"/>
                <w:highlight w:val="none"/>
              </w:rPr>
              <w:t>邵阳市</w:t>
            </w:r>
          </w:p>
        </w:tc>
        <w:tc>
          <w:tcPr>
            <w:tcW w:w="425" w:type="dxa"/>
            <w:vAlign w:val="center"/>
          </w:tcPr>
          <w:p>
            <w:pPr>
              <w:jc w:val="center"/>
              <w:rPr>
                <w:color w:val="000000"/>
                <w:szCs w:val="21"/>
                <w:highlight w:val="none"/>
              </w:rPr>
            </w:pPr>
            <w:r>
              <w:rPr>
                <w:rFonts w:hint="eastAsia"/>
                <w:color w:val="000000"/>
                <w:szCs w:val="21"/>
                <w:highlight w:val="none"/>
              </w:rPr>
              <w:t>洞口县</w:t>
            </w:r>
          </w:p>
        </w:tc>
        <w:tc>
          <w:tcPr>
            <w:tcW w:w="992" w:type="dxa"/>
            <w:vAlign w:val="center"/>
          </w:tcPr>
          <w:p>
            <w:pPr>
              <w:jc w:val="center"/>
              <w:rPr>
                <w:color w:val="000000"/>
                <w:szCs w:val="21"/>
                <w:highlight w:val="none"/>
              </w:rPr>
            </w:pPr>
            <w:r>
              <w:rPr>
                <w:rFonts w:hint="eastAsia"/>
                <w:color w:val="000000"/>
                <w:szCs w:val="21"/>
                <w:highlight w:val="none"/>
              </w:rPr>
              <w:t>优先保护单元</w:t>
            </w:r>
          </w:p>
        </w:tc>
        <w:tc>
          <w:tcPr>
            <w:tcW w:w="992" w:type="dxa"/>
            <w:vAlign w:val="center"/>
          </w:tcPr>
          <w:p>
            <w:pPr>
              <w:jc w:val="center"/>
              <w:rPr>
                <w:rFonts w:hint="default" w:eastAsia="宋体"/>
                <w:strike/>
                <w:dstrike w:val="0"/>
                <w:color w:val="000000"/>
                <w:szCs w:val="21"/>
                <w:highlight w:val="none"/>
                <w:lang w:val="en-US" w:eastAsia="zh-CN"/>
              </w:rPr>
            </w:pPr>
            <w:r>
              <w:rPr>
                <w:rFonts w:hint="eastAsia"/>
                <w:strike w:val="0"/>
                <w:dstrike w:val="0"/>
                <w:color w:val="000000"/>
                <w:szCs w:val="21"/>
                <w:highlight w:val="none"/>
              </w:rPr>
              <w:t>603.</w:t>
            </w:r>
            <w:r>
              <w:rPr>
                <w:rFonts w:hint="eastAsia"/>
                <w:strike w:val="0"/>
                <w:dstrike w:val="0"/>
                <w:color w:val="000000"/>
                <w:szCs w:val="21"/>
                <w:highlight w:val="none"/>
                <w:lang w:val="en-US" w:eastAsia="zh-CN"/>
              </w:rPr>
              <w:t>80</w:t>
            </w:r>
          </w:p>
        </w:tc>
        <w:tc>
          <w:tcPr>
            <w:tcW w:w="1134" w:type="dxa"/>
            <w:vAlign w:val="center"/>
          </w:tcPr>
          <w:p>
            <w:pPr>
              <w:jc w:val="center"/>
              <w:rPr>
                <w:rFonts w:hint="eastAsia"/>
                <w:strike/>
                <w:dstrike w:val="0"/>
                <w:color w:val="000000"/>
                <w:szCs w:val="21"/>
                <w:highlight w:val="none"/>
              </w:rPr>
            </w:pPr>
            <w:r>
              <w:rPr>
                <w:rFonts w:hint="eastAsia"/>
                <w:strike w:val="0"/>
                <w:dstrike w:val="0"/>
                <w:color w:val="000000"/>
                <w:szCs w:val="21"/>
                <w:highlight w:val="none"/>
              </w:rPr>
              <w:t>古楼乡/江口镇</w:t>
            </w:r>
            <w:r>
              <w:rPr>
                <w:rFonts w:hint="eastAsia"/>
                <w:strike w:val="0"/>
                <w:dstrike w:val="0"/>
                <w:color w:val="auto"/>
                <w:szCs w:val="21"/>
                <w:highlight w:val="none"/>
              </w:rPr>
              <w:t>/</w:t>
            </w:r>
            <w:r>
              <w:rPr>
                <w:highlight w:val="none"/>
              </w:rPr>
              <w:drawing>
                <wp:inline distT="0" distB="0" distL="114300" distR="114300">
                  <wp:extent cx="701040" cy="196215"/>
                  <wp:effectExtent l="0" t="0" r="0" b="1460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6">
                            <a:clrChange>
                              <a:clrFrom>
                                <a:srgbClr val="FFFF00">
                                  <a:alpha val="100000"/>
                                </a:srgbClr>
                              </a:clrFrom>
                              <a:clrTo>
                                <a:srgbClr val="FFFF00">
                                  <a:alpha val="100000"/>
                                  <a:alpha val="0"/>
                                </a:srgbClr>
                              </a:clrTo>
                            </a:clrChange>
                          </a:blip>
                          <a:stretch>
                            <a:fillRect/>
                          </a:stretch>
                        </pic:blipFill>
                        <pic:spPr>
                          <a:xfrm>
                            <a:off x="0" y="0"/>
                            <a:ext cx="701040" cy="196215"/>
                          </a:xfrm>
                          <a:prstGeom prst="rect">
                            <a:avLst/>
                          </a:prstGeom>
                          <a:noFill/>
                          <a:ln>
                            <a:noFill/>
                          </a:ln>
                        </pic:spPr>
                      </pic:pic>
                    </a:graphicData>
                  </a:graphic>
                </wp:inline>
              </w:drawing>
            </w:r>
            <w:r>
              <w:rPr>
                <w:rFonts w:hint="eastAsia"/>
                <w:strike w:val="0"/>
                <w:dstrike w:val="0"/>
                <w:color w:val="000000"/>
                <w:szCs w:val="21"/>
                <w:highlight w:val="none"/>
              </w:rPr>
              <w:t>/月溪镇/长塘瑶族乡</w:t>
            </w:r>
          </w:p>
        </w:tc>
        <w:tc>
          <w:tcPr>
            <w:tcW w:w="1701" w:type="dxa"/>
            <w:vAlign w:val="center"/>
          </w:tcPr>
          <w:p>
            <w:pPr>
              <w:jc w:val="center"/>
              <w:rPr>
                <w:rFonts w:hint="eastAsia"/>
                <w:b/>
                <w:bCs/>
                <w:color w:val="000000"/>
                <w:szCs w:val="21"/>
                <w:highlight w:val="none"/>
                <w:lang w:val="en-US" w:eastAsia="zh-CN"/>
              </w:rPr>
            </w:pPr>
            <w:r>
              <w:rPr>
                <w:rFonts w:hint="eastAsia"/>
                <w:b/>
                <w:bCs/>
                <w:color w:val="000000"/>
                <w:szCs w:val="21"/>
                <w:highlight w:val="none"/>
              </w:rPr>
              <w:t>古楼乡</w:t>
            </w:r>
            <w:r>
              <w:rPr>
                <w:rFonts w:hint="eastAsia"/>
                <w:b/>
                <w:bCs/>
                <w:color w:val="000000"/>
                <w:szCs w:val="21"/>
                <w:highlight w:val="none"/>
                <w:lang w:val="en-US" w:eastAsia="zh-CN"/>
              </w:rPr>
              <w:t>:</w:t>
            </w:r>
            <w:r>
              <w:rPr>
                <w:rFonts w:hint="eastAsia"/>
                <w:strike w:val="0"/>
                <w:dstrike w:val="0"/>
                <w:color w:val="000000"/>
                <w:szCs w:val="21"/>
                <w:highlight w:val="none"/>
                <w:lang w:val="en-US" w:eastAsia="zh-CN"/>
              </w:rPr>
              <w:t>重点生态功能区</w:t>
            </w:r>
          </w:p>
          <w:p>
            <w:pPr>
              <w:jc w:val="center"/>
              <w:rPr>
                <w:rFonts w:hint="eastAsia"/>
                <w:b/>
                <w:bCs/>
                <w:color w:val="000000"/>
                <w:szCs w:val="21"/>
                <w:highlight w:val="none"/>
                <w:lang w:val="en-US" w:eastAsia="zh-CN"/>
              </w:rPr>
            </w:pPr>
            <w:r>
              <w:rPr>
                <w:rFonts w:hint="eastAsia"/>
                <w:b/>
                <w:bCs/>
                <w:color w:val="000000"/>
                <w:szCs w:val="21"/>
                <w:highlight w:val="none"/>
              </w:rPr>
              <w:t>江口镇</w:t>
            </w:r>
            <w:r>
              <w:rPr>
                <w:rFonts w:hint="eastAsia"/>
                <w:b/>
                <w:bCs/>
                <w:color w:val="000000"/>
                <w:szCs w:val="21"/>
                <w:highlight w:val="none"/>
                <w:lang w:val="en-US" w:eastAsia="zh-CN"/>
              </w:rPr>
              <w:t>:</w:t>
            </w:r>
            <w:r>
              <w:rPr>
                <w:rFonts w:hint="eastAsia"/>
                <w:b w:val="0"/>
                <w:bCs w:val="0"/>
                <w:color w:val="000000"/>
                <w:szCs w:val="21"/>
                <w:highlight w:val="none"/>
                <w:lang w:val="en-US" w:eastAsia="zh-CN"/>
              </w:rPr>
              <w:t>农产品主产区</w:t>
            </w:r>
          </w:p>
          <w:p>
            <w:pPr>
              <w:jc w:val="center"/>
              <w:rPr>
                <w:rFonts w:hint="eastAsia" w:eastAsia="宋体"/>
                <w:b/>
                <w:bCs/>
                <w:color w:val="auto"/>
                <w:szCs w:val="21"/>
                <w:highlight w:val="none"/>
                <w:lang w:val="en-US" w:eastAsia="zh-CN"/>
              </w:rPr>
            </w:pPr>
            <w:r>
              <w:rPr>
                <w:rFonts w:hint="eastAsia"/>
                <w:strike w:val="0"/>
                <w:dstrike w:val="0"/>
                <w:color w:val="auto"/>
                <w:szCs w:val="21"/>
                <w:highlight w:val="none"/>
                <w:lang w:val="en-US" w:eastAsia="zh-CN"/>
              </w:rPr>
              <w:drawing>
                <wp:inline distT="0" distB="0" distL="114300" distR="114300">
                  <wp:extent cx="602615" cy="144145"/>
                  <wp:effectExtent l="0" t="0" r="6985" b="6985"/>
                  <wp:docPr id="28" name="图片 28" descr="169483971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94839718996"/>
                          <pic:cNvPicPr>
                            <a:picLocks noChangeAspect="1"/>
                          </pic:cNvPicPr>
                        </pic:nvPicPr>
                        <pic:blipFill>
                          <a:blip r:embed="rId17">
                            <a:clrChange>
                              <a:clrFrom>
                                <a:srgbClr val="FFFF00">
                                  <a:alpha val="100000"/>
                                </a:srgbClr>
                              </a:clrFrom>
                              <a:clrTo>
                                <a:srgbClr val="FFFF00">
                                  <a:alpha val="100000"/>
                                  <a:alpha val="0"/>
                                </a:srgbClr>
                              </a:clrTo>
                            </a:clrChange>
                          </a:blip>
                          <a:stretch>
                            <a:fillRect/>
                          </a:stretch>
                        </pic:blipFill>
                        <pic:spPr>
                          <a:xfrm>
                            <a:off x="0" y="0"/>
                            <a:ext cx="602615" cy="144145"/>
                          </a:xfrm>
                          <a:prstGeom prst="rect">
                            <a:avLst/>
                          </a:prstGeom>
                        </pic:spPr>
                      </pic:pic>
                    </a:graphicData>
                  </a:graphic>
                </wp:inline>
              </w:drawing>
            </w:r>
            <w:r>
              <w:rPr>
                <w:rFonts w:hint="eastAsia"/>
                <w:b/>
                <w:bCs/>
                <w:color w:val="auto"/>
                <w:szCs w:val="21"/>
                <w:highlight w:val="none"/>
                <w:lang w:val="en-US" w:eastAsia="zh-CN"/>
              </w:rPr>
              <w:t>:</w:t>
            </w:r>
            <w:r>
              <w:rPr>
                <w:rFonts w:hint="eastAsia"/>
                <w:b w:val="0"/>
                <w:bCs w:val="0"/>
                <w:color w:val="auto"/>
                <w:szCs w:val="21"/>
                <w:highlight w:val="none"/>
                <w:lang w:val="en-US" w:eastAsia="zh-CN"/>
              </w:rPr>
              <w:t>重点生态功能区</w:t>
            </w:r>
          </w:p>
          <w:p>
            <w:pPr>
              <w:jc w:val="center"/>
              <w:rPr>
                <w:rFonts w:hint="eastAsia"/>
                <w:b/>
                <w:bCs/>
                <w:color w:val="000000"/>
                <w:szCs w:val="21"/>
                <w:highlight w:val="none"/>
                <w:lang w:val="en-US" w:eastAsia="zh-CN"/>
              </w:rPr>
            </w:pPr>
            <w:r>
              <w:rPr>
                <w:rFonts w:hint="eastAsia"/>
                <w:b/>
                <w:bCs/>
                <w:color w:val="000000"/>
                <w:szCs w:val="21"/>
                <w:highlight w:val="none"/>
              </w:rPr>
              <w:t>月溪镇</w:t>
            </w:r>
            <w:r>
              <w:rPr>
                <w:rFonts w:hint="eastAsia"/>
                <w:b/>
                <w:bCs/>
                <w:color w:val="000000"/>
                <w:szCs w:val="21"/>
                <w:highlight w:val="none"/>
                <w:lang w:val="en-US" w:eastAsia="zh-CN"/>
              </w:rPr>
              <w:t>:</w:t>
            </w:r>
            <w:r>
              <w:rPr>
                <w:rFonts w:hint="eastAsia"/>
                <w:b w:val="0"/>
                <w:bCs w:val="0"/>
                <w:color w:val="000000"/>
                <w:szCs w:val="21"/>
                <w:highlight w:val="none"/>
                <w:lang w:val="en-US" w:eastAsia="zh-CN"/>
              </w:rPr>
              <w:t>农产品主产区</w:t>
            </w:r>
          </w:p>
          <w:p>
            <w:pPr>
              <w:jc w:val="center"/>
              <w:rPr>
                <w:rFonts w:hint="eastAsia" w:eastAsia="宋体"/>
                <w:color w:val="000000"/>
                <w:szCs w:val="21"/>
                <w:highlight w:val="none"/>
                <w:lang w:val="en-US" w:eastAsia="zh-CN"/>
              </w:rPr>
            </w:pPr>
            <w:r>
              <w:rPr>
                <w:rFonts w:hint="eastAsia"/>
                <w:b/>
                <w:bCs/>
                <w:color w:val="000000"/>
                <w:szCs w:val="21"/>
                <w:highlight w:val="none"/>
              </w:rPr>
              <w:t>长塘瑶族乡</w:t>
            </w:r>
            <w:r>
              <w:rPr>
                <w:rFonts w:hint="eastAsia"/>
                <w:b/>
                <w:bCs/>
                <w:color w:val="000000"/>
                <w:szCs w:val="21"/>
                <w:highlight w:val="none"/>
                <w:lang w:val="en-US" w:eastAsia="zh-CN"/>
              </w:rPr>
              <w:t>:</w:t>
            </w:r>
            <w:r>
              <w:rPr>
                <w:rFonts w:hint="eastAsia"/>
                <w:b w:val="0"/>
                <w:bCs w:val="0"/>
                <w:color w:val="000000"/>
                <w:szCs w:val="21"/>
                <w:highlight w:val="none"/>
                <w:lang w:val="en-US" w:eastAsia="zh-CN"/>
              </w:rPr>
              <w:t>重点生态功能区</w:t>
            </w:r>
          </w:p>
        </w:tc>
        <w:tc>
          <w:tcPr>
            <w:tcW w:w="2410" w:type="dxa"/>
            <w:gridSpan w:val="2"/>
            <w:vAlign w:val="center"/>
          </w:tcPr>
          <w:p>
            <w:pPr>
              <w:widowControl/>
              <w:jc w:val="both"/>
              <w:rPr>
                <w:rFonts w:hint="default"/>
                <w:b w:val="0"/>
                <w:bCs w:val="0"/>
                <w:color w:val="000000"/>
                <w:szCs w:val="21"/>
                <w:highlight w:val="none"/>
                <w:lang w:val="en-US" w:eastAsia="zh-CN"/>
              </w:rPr>
            </w:pPr>
            <w:r>
              <w:rPr>
                <w:rFonts w:hint="eastAsia"/>
                <w:b/>
                <w:bCs/>
                <w:color w:val="000000"/>
                <w:szCs w:val="21"/>
                <w:highlight w:val="none"/>
              </w:rPr>
              <w:t>古楼乡</w:t>
            </w:r>
            <w:r>
              <w:rPr>
                <w:rFonts w:hint="eastAsia"/>
                <w:b/>
                <w:bCs/>
                <w:color w:val="000000"/>
                <w:szCs w:val="21"/>
                <w:highlight w:val="none"/>
                <w:lang w:val="en-US" w:eastAsia="zh-CN"/>
              </w:rPr>
              <w:t>:</w:t>
            </w:r>
            <w:r>
              <w:rPr>
                <w:rFonts w:hint="eastAsia"/>
                <w:b w:val="0"/>
                <w:bCs w:val="0"/>
                <w:color w:val="000000"/>
                <w:szCs w:val="21"/>
                <w:highlight w:val="none"/>
                <w:lang w:val="en-US" w:eastAsia="zh-CN"/>
              </w:rPr>
              <w:t>茶叶特色小镇、农业种植、畜禽养殖、农副产品加工、食品加工、非金属矿物制品业、矿山开采、电子设备制造、旅游开发及旅游产品加工、社会事业、再生资源利用行业等</w:t>
            </w:r>
          </w:p>
          <w:p>
            <w:pPr>
              <w:widowControl/>
              <w:jc w:val="both"/>
              <w:rPr>
                <w:rFonts w:hint="eastAsia"/>
                <w:b w:val="0"/>
                <w:bCs w:val="0"/>
                <w:color w:val="000000"/>
                <w:szCs w:val="21"/>
                <w:highlight w:val="none"/>
                <w:lang w:val="en-US" w:eastAsia="zh-CN"/>
              </w:rPr>
            </w:pPr>
            <w:r>
              <w:rPr>
                <w:rFonts w:hint="eastAsia"/>
                <w:b/>
                <w:bCs/>
                <w:color w:val="000000"/>
                <w:szCs w:val="21"/>
                <w:highlight w:val="none"/>
                <w:lang w:val="en-US" w:eastAsia="zh-CN"/>
              </w:rPr>
              <w:t>江口镇：</w:t>
            </w:r>
            <w:r>
              <w:rPr>
                <w:rFonts w:hint="eastAsia"/>
                <w:b w:val="0"/>
                <w:bCs w:val="0"/>
                <w:color w:val="000000"/>
                <w:szCs w:val="21"/>
                <w:highlight w:val="none"/>
                <w:lang w:val="en-US" w:eastAsia="zh-CN"/>
              </w:rPr>
              <w:t>茶叶特色小镇、农业种植、畜禽养殖、农副产品加工、食品加工、非金属矿物制品业、矿山开采、电子设备制造、旅游开发及旅游产品加工、社会事业、再生资源利用行业等</w:t>
            </w:r>
          </w:p>
          <w:p>
            <w:pPr>
              <w:widowControl/>
              <w:jc w:val="both"/>
              <w:rPr>
                <w:rFonts w:hint="default"/>
                <w:b w:val="0"/>
                <w:bCs w:val="0"/>
                <w:color w:val="000000"/>
                <w:szCs w:val="21"/>
                <w:highlight w:val="none"/>
                <w:lang w:val="en-US" w:eastAsia="zh-CN"/>
              </w:rPr>
            </w:pPr>
            <w:r>
              <w:rPr>
                <w:highlight w:val="none"/>
              </w:rPr>
              <w:drawing>
                <wp:inline distT="0" distB="0" distL="114300" distR="114300">
                  <wp:extent cx="901700" cy="25209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clrChange>
                              <a:clrFrom>
                                <a:srgbClr val="FFFF00">
                                  <a:alpha val="100000"/>
                                </a:srgbClr>
                              </a:clrFrom>
                              <a:clrTo>
                                <a:srgbClr val="FFFF00">
                                  <a:alpha val="100000"/>
                                  <a:alpha val="0"/>
                                </a:srgbClr>
                              </a:clrTo>
                            </a:clrChange>
                          </a:blip>
                          <a:stretch>
                            <a:fillRect/>
                          </a:stretch>
                        </pic:blipFill>
                        <pic:spPr>
                          <a:xfrm>
                            <a:off x="0" y="0"/>
                            <a:ext cx="901700" cy="252095"/>
                          </a:xfrm>
                          <a:prstGeom prst="rect">
                            <a:avLst/>
                          </a:prstGeom>
                          <a:noFill/>
                          <a:ln>
                            <a:noFill/>
                          </a:ln>
                        </pic:spPr>
                      </pic:pic>
                    </a:graphicData>
                  </a:graphic>
                </wp:inline>
              </w:drawing>
            </w:r>
            <w:r>
              <w:rPr>
                <w:rFonts w:hint="eastAsia"/>
                <w:strike w:val="0"/>
                <w:dstrike w:val="0"/>
                <w:color w:val="auto"/>
                <w:szCs w:val="21"/>
                <w:highlight w:val="none"/>
                <w:lang w:val="en-US" w:eastAsia="zh-CN"/>
              </w:rPr>
              <w:t>：</w:t>
            </w:r>
            <w:r>
              <w:rPr>
                <w:rFonts w:hint="eastAsia"/>
                <w:b w:val="0"/>
                <w:bCs w:val="0"/>
                <w:color w:val="000000"/>
                <w:szCs w:val="21"/>
                <w:highlight w:val="none"/>
                <w:lang w:val="en-US" w:eastAsia="zh-CN"/>
              </w:rPr>
              <w:t>茶叶特色小镇、农业种植、畜禽养殖、农副产品加工、食品加工、非金属矿物制品业、矿山开采、电子设备制造、旅游开发及旅游产品加工、社会事业、再生资源利用行业等</w:t>
            </w:r>
          </w:p>
          <w:p>
            <w:pPr>
              <w:widowControl/>
              <w:jc w:val="both"/>
              <w:rPr>
                <w:rFonts w:hint="default"/>
                <w:b w:val="0"/>
                <w:bCs w:val="0"/>
                <w:color w:val="000000"/>
                <w:szCs w:val="21"/>
                <w:highlight w:val="none"/>
                <w:lang w:val="en-US" w:eastAsia="zh-CN"/>
              </w:rPr>
            </w:pPr>
            <w:r>
              <w:rPr>
                <w:rFonts w:hint="eastAsia"/>
                <w:b/>
                <w:bCs/>
                <w:color w:val="000000"/>
                <w:szCs w:val="21"/>
                <w:highlight w:val="none"/>
              </w:rPr>
              <w:t>月溪镇</w:t>
            </w:r>
            <w:r>
              <w:rPr>
                <w:rFonts w:hint="eastAsia"/>
                <w:b/>
                <w:bCs/>
                <w:color w:val="000000"/>
                <w:szCs w:val="21"/>
                <w:highlight w:val="none"/>
                <w:lang w:val="en-US" w:eastAsia="zh-CN"/>
              </w:rPr>
              <w:t>:</w:t>
            </w:r>
            <w:r>
              <w:rPr>
                <w:rFonts w:hint="eastAsia"/>
                <w:b w:val="0"/>
                <w:bCs w:val="0"/>
                <w:color w:val="000000"/>
                <w:szCs w:val="21"/>
                <w:highlight w:val="none"/>
                <w:lang w:val="en-US" w:eastAsia="zh-CN"/>
              </w:rPr>
              <w:t>茶叶特色小镇、农业种植、畜禽养殖、农副产品加工、食品加工、非金属矿物制品业、矿山开采、电子设备制造、旅游开发及旅游产品加工、社会事业、再生资源利用行业等</w:t>
            </w:r>
          </w:p>
          <w:p>
            <w:pPr>
              <w:widowControl/>
              <w:jc w:val="both"/>
              <w:rPr>
                <w:rFonts w:hint="default"/>
                <w:strike/>
                <w:dstrike w:val="0"/>
                <w:color w:val="000000"/>
                <w:kern w:val="0"/>
                <w:szCs w:val="21"/>
                <w:highlight w:val="none"/>
                <w:lang w:val="en-US"/>
              </w:rPr>
            </w:pPr>
            <w:r>
              <w:rPr>
                <w:rFonts w:hint="eastAsia"/>
                <w:b/>
                <w:bCs/>
                <w:color w:val="000000"/>
                <w:szCs w:val="21"/>
                <w:highlight w:val="none"/>
              </w:rPr>
              <w:t>长塘瑶族乡</w:t>
            </w:r>
            <w:r>
              <w:rPr>
                <w:rFonts w:hint="eastAsia"/>
                <w:b/>
                <w:bCs/>
                <w:color w:val="000000"/>
                <w:szCs w:val="21"/>
                <w:highlight w:val="none"/>
                <w:lang w:val="en-US" w:eastAsia="zh-CN"/>
              </w:rPr>
              <w:t>:</w:t>
            </w:r>
            <w:r>
              <w:rPr>
                <w:rFonts w:hint="eastAsia"/>
                <w:b w:val="0"/>
                <w:bCs w:val="0"/>
                <w:color w:val="000000"/>
                <w:szCs w:val="21"/>
                <w:highlight w:val="none"/>
                <w:lang w:val="en-US" w:eastAsia="zh-CN"/>
              </w:rPr>
              <w:t>茶叶特色小镇、农业种植、畜禽养殖、农副产品加工、食品加工、非金属矿物制品业、矿山开采、电子设备制造、旅游开发及旅游产品加工、社会事业、再生资源利用行业等</w:t>
            </w:r>
          </w:p>
        </w:tc>
        <w:tc>
          <w:tcPr>
            <w:tcW w:w="2471" w:type="dxa"/>
            <w:vAlign w:val="center"/>
          </w:tcPr>
          <w:p>
            <w:pPr>
              <w:widowControl/>
              <w:rPr>
                <w:rFonts w:hint="eastAsia"/>
                <w:b/>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eastAsia" w:eastAsia="宋体"/>
                <w:b/>
                <w:bCs/>
                <w:color w:val="000000"/>
                <w:szCs w:val="21"/>
                <w:highlight w:val="none"/>
                <w:lang w:val="en-US" w:eastAsia="zh-CN"/>
              </w:rPr>
            </w:pPr>
            <w:r>
              <w:rPr>
                <w:rFonts w:hint="eastAsia"/>
                <w:b/>
                <w:bCs/>
                <w:color w:val="000000"/>
                <w:szCs w:val="21"/>
                <w:highlight w:val="none"/>
              </w:rPr>
              <w:t>古楼乡</w:t>
            </w:r>
            <w:r>
              <w:rPr>
                <w:rFonts w:hint="eastAsia"/>
                <w:b/>
                <w:bCs/>
                <w:strike w:val="0"/>
                <w:dstrike w:val="0"/>
                <w:color w:val="000000"/>
                <w:szCs w:val="21"/>
                <w:highlight w:val="none"/>
                <w:lang w:eastAsia="zh-CN"/>
              </w:rPr>
              <w:t>：</w:t>
            </w:r>
            <w:r>
              <w:rPr>
                <w:rFonts w:hint="eastAsia"/>
                <w:strike w:val="0"/>
                <w:dstrike w:val="0"/>
                <w:color w:val="000000"/>
                <w:kern w:val="0"/>
                <w:szCs w:val="21"/>
                <w:highlight w:val="none"/>
              </w:rPr>
              <w:t>农村面源污染未得到有效治理；部分企业地块土壤污染，历史遗留废渣污染</w:t>
            </w:r>
            <w:r>
              <w:rPr>
                <w:rFonts w:hint="eastAsia"/>
                <w:strike w:val="0"/>
                <w:dstrike w:val="0"/>
                <w:color w:val="000000"/>
                <w:kern w:val="0"/>
                <w:szCs w:val="21"/>
                <w:highlight w:val="none"/>
                <w:lang w:eastAsia="zh-CN"/>
              </w:rPr>
              <w:t>。</w:t>
            </w:r>
          </w:p>
          <w:p>
            <w:pPr>
              <w:widowControl/>
              <w:jc w:val="both"/>
              <w:rPr>
                <w:rFonts w:hint="default"/>
                <w:b w:val="0"/>
                <w:bCs w:val="0"/>
                <w:color w:val="000000"/>
                <w:szCs w:val="21"/>
                <w:highlight w:val="none"/>
                <w:lang w:val="en-US" w:eastAsia="zh-CN"/>
              </w:rPr>
            </w:pPr>
            <w:r>
              <w:rPr>
                <w:rFonts w:hint="eastAsia"/>
                <w:b/>
                <w:bCs/>
                <w:color w:val="000000"/>
                <w:szCs w:val="21"/>
                <w:highlight w:val="none"/>
                <w:lang w:val="en-US" w:eastAsia="zh-CN"/>
              </w:rPr>
              <w:t>江口镇：</w:t>
            </w:r>
            <w:r>
              <w:rPr>
                <w:rFonts w:hint="eastAsia"/>
                <w:strike w:val="0"/>
                <w:dstrike w:val="0"/>
                <w:color w:val="000000"/>
                <w:kern w:val="0"/>
                <w:szCs w:val="21"/>
                <w:highlight w:val="none"/>
              </w:rPr>
              <w:t>农村面源污染未得到有效治理；</w:t>
            </w:r>
          </w:p>
          <w:p>
            <w:pPr>
              <w:widowControl/>
              <w:rPr>
                <w:rFonts w:hint="eastAsia"/>
                <w:strike/>
                <w:dstrike w:val="0"/>
                <w:color w:val="000000"/>
                <w:kern w:val="0"/>
                <w:szCs w:val="21"/>
                <w:highlight w:val="none"/>
                <w:lang w:eastAsia="zh-CN"/>
              </w:rPr>
            </w:pPr>
            <w:r>
              <w:rPr>
                <w:rFonts w:hint="eastAsia"/>
                <w:b/>
                <w:bCs/>
                <w:color w:val="000000"/>
                <w:szCs w:val="21"/>
                <w:highlight w:val="none"/>
              </w:rPr>
              <w:t>长塘瑶族乡</w:t>
            </w:r>
            <w:r>
              <w:rPr>
                <w:rFonts w:hint="eastAsia"/>
                <w:b/>
                <w:bCs/>
                <w:color w:val="000000"/>
                <w:szCs w:val="21"/>
                <w:highlight w:val="none"/>
                <w:lang w:val="en-US" w:eastAsia="zh-CN"/>
              </w:rPr>
              <w:t>:</w:t>
            </w:r>
            <w:r>
              <w:rPr>
                <w:rFonts w:hint="eastAsia"/>
                <w:strike w:val="0"/>
                <w:dstrike w:val="0"/>
                <w:color w:val="000000"/>
                <w:kern w:val="0"/>
                <w:szCs w:val="21"/>
                <w:highlight w:val="none"/>
              </w:rPr>
              <w:t>农村面源污染未得到有效治理；部分企业地块土壤污染，历史遗留废渣污染</w:t>
            </w:r>
            <w:r>
              <w:rPr>
                <w:rFonts w:hint="eastAsia"/>
                <w:strike w:val="0"/>
                <w:dstrike w:val="0"/>
                <w:color w:val="000000"/>
                <w:kern w:val="0"/>
                <w:szCs w:val="21"/>
                <w:highlight w:val="none"/>
                <w:lang w:eastAsia="zh-CN"/>
              </w:rPr>
              <w:t>。</w:t>
            </w:r>
          </w:p>
          <w:p>
            <w:pPr>
              <w:widowControl/>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jc w:val="both"/>
              <w:rPr>
                <w:rFonts w:hint="eastAsia" w:eastAsia="宋体"/>
                <w:b/>
                <w:bCs/>
                <w:color w:val="000000"/>
                <w:szCs w:val="21"/>
                <w:highlight w:val="none"/>
                <w:lang w:val="en-US" w:eastAsia="zh-CN"/>
              </w:rPr>
            </w:pPr>
            <w:r>
              <w:rPr>
                <w:rFonts w:hint="eastAsia"/>
                <w:b/>
                <w:bCs/>
                <w:color w:val="000000"/>
                <w:szCs w:val="21"/>
                <w:highlight w:val="none"/>
              </w:rPr>
              <w:t>古楼乡</w:t>
            </w:r>
            <w:r>
              <w:rPr>
                <w:rFonts w:hint="eastAsia"/>
                <w:b/>
                <w:bCs/>
                <w:color w:val="000000"/>
                <w:szCs w:val="21"/>
                <w:highlight w:val="none"/>
                <w:lang w:eastAsia="zh-CN"/>
              </w:rPr>
              <w:t>：</w:t>
            </w:r>
            <w:r>
              <w:rPr>
                <w:rFonts w:hint="eastAsia"/>
                <w:b w:val="0"/>
                <w:bCs w:val="0"/>
                <w:color w:val="auto"/>
                <w:szCs w:val="21"/>
                <w:highlight w:val="none"/>
                <w:lang w:val="en-US" w:eastAsia="zh-CN"/>
              </w:rPr>
              <w:t>蔡锷故里风景名胜区（平溪江风景区）</w:t>
            </w:r>
          </w:p>
          <w:p>
            <w:pPr>
              <w:widowControl/>
              <w:jc w:val="both"/>
              <w:rPr>
                <w:rFonts w:hint="default"/>
                <w:b w:val="0"/>
                <w:bCs w:val="0"/>
                <w:color w:val="000000"/>
                <w:szCs w:val="21"/>
                <w:highlight w:val="none"/>
                <w:lang w:val="en-US" w:eastAsia="zh-CN"/>
              </w:rPr>
            </w:pPr>
            <w:r>
              <w:rPr>
                <w:rFonts w:hint="eastAsia"/>
                <w:b/>
                <w:bCs/>
                <w:color w:val="000000"/>
                <w:szCs w:val="21"/>
                <w:highlight w:val="none"/>
                <w:lang w:val="en-US" w:eastAsia="zh-CN"/>
              </w:rPr>
              <w:t>江口镇：</w:t>
            </w:r>
            <w:r>
              <w:rPr>
                <w:rFonts w:hint="eastAsia"/>
                <w:b w:val="0"/>
                <w:bCs w:val="0"/>
                <w:color w:val="auto"/>
                <w:szCs w:val="21"/>
                <w:highlight w:val="none"/>
                <w:lang w:val="en-US" w:eastAsia="zh-CN"/>
              </w:rPr>
              <w:t>蔡锷故里风景名胜区（平溪江风景区）</w:t>
            </w:r>
          </w:p>
          <w:p>
            <w:pPr>
              <w:widowControl/>
              <w:jc w:val="both"/>
              <w:rPr>
                <w:rFonts w:hint="eastAsia"/>
                <w:b w:val="0"/>
                <w:bCs w:val="0"/>
                <w:color w:val="auto"/>
                <w:szCs w:val="21"/>
                <w:highlight w:val="none"/>
                <w:lang w:val="en-US" w:eastAsia="zh-CN"/>
              </w:rPr>
            </w:pPr>
            <w:r>
              <w:rPr>
                <w:rFonts w:hint="eastAsia"/>
                <w:b/>
                <w:bCs/>
                <w:color w:val="000000"/>
                <w:szCs w:val="21"/>
                <w:highlight w:val="none"/>
              </w:rPr>
              <w:t>长塘瑶族乡</w:t>
            </w:r>
            <w:r>
              <w:rPr>
                <w:rFonts w:hint="eastAsia"/>
                <w:b/>
                <w:bCs/>
                <w:color w:val="000000"/>
                <w:szCs w:val="21"/>
                <w:highlight w:val="none"/>
                <w:lang w:val="en-US" w:eastAsia="zh-CN"/>
              </w:rPr>
              <w:t>:</w:t>
            </w:r>
            <w:r>
              <w:rPr>
                <w:rFonts w:hint="eastAsia"/>
                <w:b w:val="0"/>
                <w:bCs w:val="0"/>
                <w:color w:val="auto"/>
                <w:szCs w:val="21"/>
                <w:highlight w:val="none"/>
                <w:lang w:val="en-US" w:eastAsia="zh-CN"/>
              </w:rPr>
              <w:t>湖南洞口大湾省级森林公园、蔡锷故里风景名胜区（平溪江风景区）</w:t>
            </w:r>
          </w:p>
          <w:p>
            <w:pPr>
              <w:widowControl/>
              <w:jc w:val="both"/>
              <w:rPr>
                <w:rFonts w:hint="eastAsia"/>
                <w:b w:val="0"/>
                <w:bCs w:val="0"/>
                <w:color w:val="auto"/>
                <w:szCs w:val="21"/>
                <w:highlight w:val="none"/>
                <w:lang w:val="en-US" w:eastAsia="zh-CN"/>
              </w:rPr>
            </w:pPr>
            <w:r>
              <w:rPr>
                <w:highlight w:val="none"/>
              </w:rPr>
              <w:drawing>
                <wp:inline distT="0" distB="0" distL="114300" distR="114300">
                  <wp:extent cx="782320" cy="219075"/>
                  <wp:effectExtent l="0" t="0" r="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clrChange>
                              <a:clrFrom>
                                <a:srgbClr val="FFFF00">
                                  <a:alpha val="100000"/>
                                </a:srgbClr>
                              </a:clrFrom>
                              <a:clrTo>
                                <a:srgbClr val="FFFF00">
                                  <a:alpha val="100000"/>
                                  <a:alpha val="0"/>
                                </a:srgbClr>
                              </a:clrTo>
                            </a:clrChange>
                          </a:blip>
                          <a:stretch>
                            <a:fillRect/>
                          </a:stretch>
                        </pic:blipFill>
                        <pic:spPr>
                          <a:xfrm>
                            <a:off x="0" y="0"/>
                            <a:ext cx="782320" cy="219075"/>
                          </a:xfrm>
                          <a:prstGeom prst="rect">
                            <a:avLst/>
                          </a:prstGeom>
                          <a:noFill/>
                          <a:ln>
                            <a:noFill/>
                          </a:ln>
                        </pic:spPr>
                      </pic:pic>
                    </a:graphicData>
                  </a:graphic>
                </wp:inline>
              </w:drawing>
            </w:r>
            <w:r>
              <w:rPr>
                <w:rFonts w:hint="eastAsia"/>
                <w:highlight w:val="none"/>
                <w:lang w:eastAsia="zh-CN"/>
              </w:rPr>
              <w:t>：</w:t>
            </w:r>
            <w:r>
              <w:rPr>
                <w:rFonts w:hint="eastAsia"/>
                <w:b w:val="0"/>
                <w:bCs w:val="0"/>
                <w:color w:val="auto"/>
                <w:szCs w:val="21"/>
                <w:highlight w:val="none"/>
                <w:lang w:val="en-US" w:eastAsia="zh-CN"/>
              </w:rPr>
              <w:t>罗溪国家森林公园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51" w:type="dxa"/>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12297" w:type="dxa"/>
            <w:gridSpan w:val="11"/>
            <w:vAlign w:val="center"/>
          </w:tcPr>
          <w:p>
            <w:pPr>
              <w:jc w:val="both"/>
              <w:rPr>
                <w:rFonts w:hint="eastAsia"/>
                <w:b w:val="0"/>
                <w:bCs w:val="0"/>
                <w:color w:val="000000"/>
                <w:szCs w:val="21"/>
                <w:highlight w:val="none"/>
                <w:lang w:val="en-US" w:eastAsia="zh-CN"/>
              </w:rPr>
            </w:pPr>
            <w:r>
              <w:rPr>
                <w:rFonts w:hint="eastAsia"/>
                <w:b/>
                <w:bCs/>
                <w:color w:val="000000"/>
                <w:szCs w:val="21"/>
                <w:highlight w:val="none"/>
              </w:rPr>
              <w:t>古楼乡</w:t>
            </w:r>
            <w:r>
              <w:rPr>
                <w:rFonts w:hint="eastAsia"/>
                <w:b/>
                <w:bCs/>
                <w:color w:val="000000"/>
                <w:szCs w:val="21"/>
                <w:highlight w:val="none"/>
                <w:lang w:val="en-US" w:eastAsia="zh-CN"/>
              </w:rPr>
              <w:t>:</w:t>
            </w:r>
          </w:p>
          <w:p>
            <w:pPr>
              <w:ind w:firstLine="420" w:firstLineChars="200"/>
              <w:jc w:val="both"/>
              <w:rPr>
                <w:rFonts w:hint="eastAsia"/>
                <w:b w:val="0"/>
                <w:bCs w:val="0"/>
                <w:strike w:val="0"/>
                <w:dstrike w:val="0"/>
                <w:color w:val="000000"/>
                <w:szCs w:val="21"/>
                <w:highlight w:val="none"/>
                <w:lang w:val="en-US" w:eastAsia="zh-CN"/>
              </w:rPr>
            </w:pPr>
            <w:r>
              <w:rPr>
                <w:rFonts w:hint="eastAsia"/>
                <w:b w:val="0"/>
                <w:bCs w:val="0"/>
                <w:strike w:val="0"/>
                <w:dstrike w:val="0"/>
                <w:color w:val="000000"/>
                <w:szCs w:val="21"/>
                <w:highlight w:val="none"/>
                <w:lang w:val="en-US" w:eastAsia="zh-CN"/>
              </w:rPr>
              <w:t>生态红线：红线/一般生态空间；水源涵养重要区\风景名胜区\三区三线生态红线\生物多样性保护功能重要区\水土流失敏感区\原生态红线；</w:t>
            </w:r>
          </w:p>
          <w:p>
            <w:pPr>
              <w:ind w:firstLine="422" w:firstLineChars="200"/>
              <w:jc w:val="both"/>
              <w:rPr>
                <w:rFonts w:hint="default"/>
                <w:b w:val="0"/>
                <w:bCs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一般管控区；水源地（县级及以上）；邵阳市洞口县平溪河饮用水水源保护区；大气环境优先保护区/大气环境弱扩散重点管控区；蔡锷故里风景名胜区；农用地优先保护区/一般管控区；重点生态功能区；</w:t>
            </w:r>
          </w:p>
          <w:p>
            <w:pPr>
              <w:jc w:val="both"/>
              <w:rPr>
                <w:rFonts w:hint="eastAsia"/>
                <w:b/>
                <w:bCs/>
                <w:color w:val="000000"/>
                <w:szCs w:val="21"/>
                <w:highlight w:val="none"/>
                <w:lang w:val="en-US" w:eastAsia="zh-CN"/>
              </w:rPr>
            </w:pPr>
            <w:r>
              <w:rPr>
                <w:rFonts w:hint="eastAsia"/>
                <w:b/>
                <w:bCs/>
                <w:color w:val="000000"/>
                <w:szCs w:val="21"/>
                <w:highlight w:val="none"/>
              </w:rPr>
              <w:t>江口镇</w:t>
            </w:r>
            <w:r>
              <w:rPr>
                <w:rFonts w:hint="eastAsia"/>
                <w:b/>
                <w:bCs/>
                <w:color w:val="000000"/>
                <w:szCs w:val="21"/>
                <w:highlight w:val="none"/>
                <w:lang w:val="en-US"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红线/一般生态空间；水源涵养重要区\三区三线生态红线\森林公园\生物多样性保护功能重要区\原生态红线\水土流失敏感区\风景名胜区；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其他重点管控区/水环境一般管控区；源头水/重金属矿；平溪江源头水域(畔上村茶场至月溪乡月溪村）/湖南华菱洞口矿业有限公司江口铁矿/洞口鑫品锰业有限公司高山锰矿、湖南三口锰业有限公司；大气环境优先保护区/大气环境受体敏感重点管控区/大气环境弱扩散重点管控区；湖南洞口月溪省级森林公园/湖南洪江雪峰山国家森林公园/雪峰山风景名胜区；农用地优先保护区/建设用地重点管控区/其他重点管控区/一般管控区；矿区/中高风险企业用地；农产品主产区；</w:t>
            </w:r>
          </w:p>
          <w:p>
            <w:pPr>
              <w:jc w:val="both"/>
              <w:rPr>
                <w:rFonts w:hint="eastAsia"/>
                <w:b/>
                <w:bCs/>
                <w:color w:val="auto"/>
                <w:szCs w:val="21"/>
                <w:highlight w:val="none"/>
                <w:lang w:val="en-US" w:eastAsia="zh-CN"/>
              </w:rPr>
            </w:pPr>
            <w:r>
              <w:rPr>
                <w:highlight w:val="none"/>
              </w:rPr>
              <w:drawing>
                <wp:inline distT="0" distB="0" distL="114300" distR="114300">
                  <wp:extent cx="901700" cy="252095"/>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6">
                            <a:clrChange>
                              <a:clrFrom>
                                <a:srgbClr val="FFFF00">
                                  <a:alpha val="100000"/>
                                </a:srgbClr>
                              </a:clrFrom>
                              <a:clrTo>
                                <a:srgbClr val="FFFF00">
                                  <a:alpha val="100000"/>
                                  <a:alpha val="0"/>
                                </a:srgbClr>
                              </a:clrTo>
                            </a:clrChange>
                          </a:blip>
                          <a:stretch>
                            <a:fillRect/>
                          </a:stretch>
                        </pic:blipFill>
                        <pic:spPr>
                          <a:xfrm>
                            <a:off x="0" y="0"/>
                            <a:ext cx="901700" cy="252095"/>
                          </a:xfrm>
                          <a:prstGeom prst="rect">
                            <a:avLst/>
                          </a:prstGeom>
                          <a:noFill/>
                          <a:ln>
                            <a:noFill/>
                          </a:ln>
                        </pic:spPr>
                      </pic:pic>
                    </a:graphicData>
                  </a:graphic>
                </wp:inline>
              </w:drawing>
            </w:r>
            <w:r>
              <w:rPr>
                <w:rFonts w:hint="eastAsia"/>
                <w:b/>
                <w:bCs/>
                <w:color w:val="auto"/>
                <w:szCs w:val="21"/>
                <w:highlight w:val="none"/>
                <w:lang w:val="en-US"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红线/一般生态空间；森林公园\水源涵养重要区\生物多样性保护功能重要区\三区三线生态红线\原生态红线\水土流失敏感区\风景名胜区；</w:t>
            </w:r>
          </w:p>
          <w:p>
            <w:pPr>
              <w:ind w:firstLine="422" w:firstLineChars="200"/>
              <w:jc w:val="both"/>
              <w:rPr>
                <w:rFonts w:hint="default"/>
                <w:b/>
                <w:bCs/>
                <w:color w:val="auto"/>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其他重点管控区/水环境一般管控区；重金属矿；邵阳江钨瑞鸿矿业有限公司上茶山铜钨多金属矿；大气环境优先保护区/大气环境受体敏感重点管控区；湖南洞口罗溪国家森林公园/雪峰山风景名胜区；农用地优先保护区/其他重点管控区/一般管控区；矿区；重点生态功能区；</w:t>
            </w:r>
          </w:p>
          <w:p>
            <w:pPr>
              <w:jc w:val="both"/>
              <w:rPr>
                <w:rFonts w:hint="eastAsia"/>
                <w:b/>
                <w:bCs/>
                <w:color w:val="000000"/>
                <w:szCs w:val="21"/>
                <w:highlight w:val="none"/>
                <w:lang w:val="en-US" w:eastAsia="zh-CN"/>
              </w:rPr>
            </w:pPr>
            <w:r>
              <w:rPr>
                <w:rFonts w:hint="eastAsia"/>
                <w:b/>
                <w:bCs/>
                <w:color w:val="000000"/>
                <w:szCs w:val="21"/>
                <w:highlight w:val="none"/>
              </w:rPr>
              <w:t>月溪镇</w:t>
            </w:r>
            <w:r>
              <w:rPr>
                <w:rFonts w:hint="eastAsia"/>
                <w:b/>
                <w:bCs/>
                <w:color w:val="000000"/>
                <w:szCs w:val="21"/>
                <w:highlight w:val="none"/>
                <w:lang w:val="en-US" w:eastAsia="zh-CN"/>
              </w:rPr>
              <w:t>:</w:t>
            </w:r>
          </w:p>
          <w:p>
            <w:pPr>
              <w:ind w:firstLine="422" w:firstLineChars="200"/>
              <w:jc w:val="both"/>
              <w:rPr>
                <w:rFonts w:hint="eastAsia"/>
                <w:b w:val="0"/>
                <w:bCs w:val="0"/>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红线/一般生态空间；水源涵养重要区\三区三线生态红线\生物多样性保护功能重要区\原生态红线\水土保持功能重要区\水土流失敏感区；</w:t>
            </w:r>
          </w:p>
          <w:p>
            <w:pPr>
              <w:ind w:firstLine="422" w:firstLineChars="200"/>
              <w:jc w:val="both"/>
              <w:rPr>
                <w:rFonts w:hint="default"/>
                <w:b w:val="0"/>
                <w:bCs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一般管控区；源头水；平溪江源头水域(畔上村茶场至月溪乡月溪村）；大气环境受体敏感重点管控区/大气环境弱扩散重点管控区；农用地优先保护区/其他重点管控区/一般管控区；矿区；农产品主产区；</w:t>
            </w:r>
          </w:p>
          <w:p>
            <w:pPr>
              <w:jc w:val="both"/>
              <w:rPr>
                <w:rFonts w:hint="eastAsia"/>
                <w:b/>
                <w:bCs/>
                <w:color w:val="000000"/>
                <w:szCs w:val="21"/>
                <w:highlight w:val="none"/>
                <w:lang w:val="en-US" w:eastAsia="zh-CN"/>
              </w:rPr>
            </w:pPr>
            <w:r>
              <w:rPr>
                <w:rFonts w:hint="eastAsia"/>
                <w:b/>
                <w:bCs/>
                <w:color w:val="000000"/>
                <w:szCs w:val="21"/>
                <w:highlight w:val="none"/>
              </w:rPr>
              <w:t>长塘瑶族乡</w:t>
            </w:r>
            <w:r>
              <w:rPr>
                <w:rFonts w:hint="eastAsia"/>
                <w:b/>
                <w:bCs/>
                <w:color w:val="000000"/>
                <w:szCs w:val="21"/>
                <w:highlight w:val="none"/>
                <w:lang w:val="en-US"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红线/一般生态空间；三区三线生态红线\水源涵养重要区\风景名胜区\生物多样性保护功能重要区\森林公园；</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一般管控区；水源地（县级及以上）；邵阳市洞口县平溪河饮用水水源保护区；大气环境优先保护区/大气环境弱扩散重点管控区；湖南洞口大湾省级森林公园/蔡锷故里风景名胜区；农用地优先保护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51" w:type="dxa"/>
            <w:vAlign w:val="center"/>
          </w:tcPr>
          <w:p>
            <w:pPr>
              <w:widowControl/>
              <w:jc w:val="center"/>
              <w:rPr>
                <w:b/>
                <w:color w:val="000000"/>
                <w:szCs w:val="21"/>
                <w:highlight w:val="none"/>
              </w:rPr>
            </w:pPr>
            <w:r>
              <w:rPr>
                <w:rFonts w:hint="eastAsia"/>
                <w:b/>
                <w:color w:val="000000"/>
                <w:szCs w:val="21"/>
                <w:highlight w:val="none"/>
              </w:rPr>
              <w:t>管控维度</w:t>
            </w:r>
          </w:p>
        </w:tc>
        <w:tc>
          <w:tcPr>
            <w:tcW w:w="9117"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3180" w:type="dxa"/>
            <w:gridSpan w:val="2"/>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空间布局约束</w:t>
            </w:r>
          </w:p>
        </w:tc>
        <w:tc>
          <w:tcPr>
            <w:tcW w:w="9117"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dstrike w:val="0"/>
                <w:color w:val="000000"/>
                <w:szCs w:val="21"/>
                <w:highlight w:val="none"/>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）禁止新建有机类危险废物热（裂）解处理项目。</w:t>
            </w:r>
          </w:p>
        </w:tc>
        <w:tc>
          <w:tcPr>
            <w:tcW w:w="3180" w:type="dxa"/>
            <w:gridSpan w:val="2"/>
            <w:vMerge w:val="restart"/>
          </w:tcPr>
          <w:p>
            <w:pPr>
              <w:jc w:val="both"/>
              <w:rPr>
                <w:rFonts w:hint="default"/>
                <w:b w:val="0"/>
                <w:bCs w:val="0"/>
                <w:color w:val="000000"/>
                <w:szCs w:val="21"/>
                <w:highlight w:val="none"/>
                <w:lang w:val="en-US" w:eastAsia="zh-CN"/>
              </w:rPr>
            </w:pPr>
            <w:r>
              <w:rPr>
                <w:rFonts w:hint="eastAsia"/>
                <w:b w:val="0"/>
                <w:bCs w:val="0"/>
                <w:color w:val="000000"/>
                <w:szCs w:val="21"/>
                <w:highlight w:val="none"/>
                <w:lang w:val="en-US" w:eastAsia="zh-CN"/>
              </w:rPr>
              <w:t>①《洞口县国民经济和社会发展第十四个五年规划和二O三五年远景目标纲要》原文中“牛羊产业:主要布局古楼乡、大屋乡、桐山乡、月溪镇、又兰镇、江口镇、罗溪乡、长塘乡、渣坪乡等乡镇,形成年出栏5万头肉牛 和年出栏10万头肉羊的牛羊生产基地。”、《洞口县科技和工业信息“十四五”发展规划》（2021-2025年）原文中“加快雪峰蜜桔种植基地及休闲农业园、古楼湘乐生态茶园旅游景区、罗溪瑶族乡重点建设生态休闲度假景区建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w:t>
            </w:r>
            <w:r>
              <w:rPr>
                <w:rFonts w:hint="eastAsia" w:asciiTheme="minorHAnsi" w:hAnsiTheme="minorHAnsi" w:cstheme="minorBidi"/>
                <w:b w:val="0"/>
                <w:bCs w:val="0"/>
                <w:spacing w:val="-14"/>
                <w:kern w:val="2"/>
                <w:sz w:val="21"/>
                <w:szCs w:val="22"/>
                <w:highlight w:val="none"/>
                <w:lang w:val="en-US" w:eastAsia="zh-CN" w:bidi="ar-SA"/>
              </w:rPr>
              <w:t>（1.6）</w:t>
            </w:r>
            <w:r>
              <w:rPr>
                <w:rFonts w:hint="eastAsia"/>
                <w:strike w:val="0"/>
                <w:dstrike w:val="0"/>
                <w:color w:val="000000"/>
                <w:szCs w:val="21"/>
                <w:highlight w:val="none"/>
                <w:lang w:val="en-US" w:eastAsia="zh-CN"/>
              </w:rPr>
              <w:t>（2.1.1）（2.1.2）（2.2.1）（2.2.2）（2.3.1）（2.3.2）（3.3）（4.1.1）（4.1.2）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 年洞口县深入打好污染防治攻坚战工作方案》</w:t>
            </w:r>
          </w:p>
          <w:p>
            <w:pPr>
              <w:rPr>
                <w:highlight w:val="none"/>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污染物排放管控</w:t>
            </w:r>
          </w:p>
        </w:tc>
        <w:tc>
          <w:tcPr>
            <w:tcW w:w="9117"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（2.3.2）全面禁止废塑料进口，推广使用可降解塑料制品、塑料替代产品。</w:t>
            </w:r>
          </w:p>
          <w:p>
            <w:pPr>
              <w:tabs>
                <w:tab w:val="left" w:pos="1021"/>
              </w:tabs>
              <w:ind w:firstLine="420" w:firstLineChars="200"/>
              <w:rPr>
                <w:rFonts w:hint="eastAsia"/>
                <w:strike/>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（2.3.3）加强农村垃圾中转站建设，巩固非正规生活垃圾堆放点整治成效，提升农村垃圾治理水平。</w:t>
            </w:r>
          </w:p>
        </w:tc>
        <w:tc>
          <w:tcPr>
            <w:tcW w:w="3180"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环境风险防控</w:t>
            </w:r>
          </w:p>
        </w:tc>
        <w:tc>
          <w:tcPr>
            <w:tcW w:w="9117"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p>
        </w:tc>
        <w:tc>
          <w:tcPr>
            <w:tcW w:w="3180"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资源开发效率要求</w:t>
            </w:r>
          </w:p>
        </w:tc>
        <w:tc>
          <w:tcPr>
            <w:tcW w:w="9117"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rPr>
                <w:rFonts w:hint="eastAsia"/>
                <w:color w:val="000000"/>
                <w:szCs w:val="21"/>
                <w:highlight w:val="none"/>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tc>
        <w:tc>
          <w:tcPr>
            <w:tcW w:w="3180" w:type="dxa"/>
            <w:gridSpan w:val="2"/>
            <w:vMerge w:val="continue"/>
            <w:vAlign w:val="center"/>
          </w:tcPr>
          <w:p>
            <w:pPr>
              <w:rPr>
                <w:highlight w:val="none"/>
              </w:rPr>
            </w:pPr>
          </w:p>
        </w:tc>
      </w:tr>
    </w:tbl>
    <w:p/>
    <w:p>
      <w:pPr>
        <w:rPr>
          <w:rFonts w:hint="eastAsia"/>
        </w:rPr>
      </w:pPr>
      <w:r>
        <w:rPr>
          <w:rFonts w:hint="eastAsia"/>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
        <w:gridCol w:w="427"/>
        <w:gridCol w:w="427"/>
        <w:gridCol w:w="427"/>
        <w:gridCol w:w="889"/>
        <w:gridCol w:w="992"/>
        <w:gridCol w:w="992"/>
        <w:gridCol w:w="1587"/>
        <w:gridCol w:w="1471"/>
        <w:gridCol w:w="1053"/>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71" w:type="dxa"/>
            <w:vMerge w:val="restart"/>
            <w:vAlign w:val="center"/>
          </w:tcPr>
          <w:p>
            <w:pPr>
              <w:widowControl/>
              <w:jc w:val="center"/>
              <w:rPr>
                <w:b/>
                <w:color w:val="000000"/>
                <w:kern w:val="0"/>
                <w:szCs w:val="21"/>
                <w:highlight w:val="none"/>
              </w:rPr>
            </w:pPr>
            <w:r>
              <w:rPr>
                <w:color w:val="000000"/>
                <w:highlight w:val="none"/>
              </w:rPr>
              <w:br w:type="page"/>
            </w:r>
            <w:r>
              <w:rPr>
                <w:rFonts w:hint="eastAsia"/>
                <w:b/>
                <w:color w:val="000000"/>
                <w:kern w:val="0"/>
                <w:szCs w:val="21"/>
                <w:highlight w:val="none"/>
              </w:rPr>
              <w:t>环境管控单元编码</w:t>
            </w:r>
          </w:p>
        </w:tc>
        <w:tc>
          <w:tcPr>
            <w:tcW w:w="807"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1281"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889"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992" w:type="dxa"/>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992"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587"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2524" w:type="dxa"/>
            <w:gridSpan w:val="2"/>
            <w:vMerge w:val="restart"/>
            <w:vAlign w:val="center"/>
          </w:tcPr>
          <w:p>
            <w:pPr>
              <w:jc w:val="center"/>
              <w:rPr>
                <w:b/>
                <w:color w:val="000000"/>
                <w:kern w:val="0"/>
                <w:szCs w:val="21"/>
                <w:highlight w:val="none"/>
              </w:rPr>
            </w:pPr>
            <w:r>
              <w:rPr>
                <w:rFonts w:hint="eastAsia"/>
                <w:b/>
                <w:color w:val="000000"/>
                <w:kern w:val="0"/>
                <w:szCs w:val="21"/>
                <w:highlight w:val="none"/>
                <w:lang w:val="en-US" w:eastAsia="zh-CN"/>
              </w:rPr>
              <w:t>①</w:t>
            </w:r>
            <w:r>
              <w:rPr>
                <w:rFonts w:hint="eastAsia"/>
                <w:b/>
                <w:color w:val="000000"/>
                <w:kern w:val="0"/>
                <w:szCs w:val="21"/>
                <w:highlight w:val="none"/>
              </w:rPr>
              <w:t>经济产业布局</w:t>
            </w:r>
          </w:p>
        </w:tc>
        <w:tc>
          <w:tcPr>
            <w:tcW w:w="3605" w:type="dxa"/>
            <w:vMerge w:val="restart"/>
            <w:vAlign w:val="center"/>
          </w:tcPr>
          <w:p>
            <w:pPr>
              <w:jc w:val="center"/>
              <w:rPr>
                <w:b/>
                <w:color w:val="000000"/>
                <w:kern w:val="0"/>
                <w:szCs w:val="21"/>
                <w:highlight w:val="none"/>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Header/>
          <w:jc w:val="center"/>
        </w:trPr>
        <w:tc>
          <w:tcPr>
            <w:tcW w:w="1271" w:type="dxa"/>
            <w:vMerge w:val="continue"/>
            <w:vAlign w:val="center"/>
          </w:tcPr>
          <w:p>
            <w:pPr>
              <w:rPr>
                <w:highlight w:val="none"/>
              </w:rPr>
            </w:pPr>
          </w:p>
        </w:tc>
        <w:tc>
          <w:tcPr>
            <w:tcW w:w="807" w:type="dxa"/>
            <w:vMerge w:val="continue"/>
            <w:vAlign w:val="center"/>
          </w:tcPr>
          <w:p>
            <w:pPr>
              <w:rPr>
                <w:highlight w:val="none"/>
              </w:rPr>
            </w:pPr>
          </w:p>
        </w:tc>
        <w:tc>
          <w:tcPr>
            <w:tcW w:w="427" w:type="dxa"/>
            <w:vAlign w:val="center"/>
          </w:tcPr>
          <w:p>
            <w:pPr>
              <w:jc w:val="center"/>
              <w:rPr>
                <w:b/>
                <w:color w:val="000000"/>
                <w:szCs w:val="21"/>
                <w:highlight w:val="none"/>
              </w:rPr>
            </w:pPr>
            <w:r>
              <w:rPr>
                <w:rFonts w:hint="eastAsia"/>
                <w:b/>
                <w:color w:val="000000"/>
                <w:szCs w:val="21"/>
                <w:highlight w:val="none"/>
              </w:rPr>
              <w:t>省</w:t>
            </w:r>
          </w:p>
        </w:tc>
        <w:tc>
          <w:tcPr>
            <w:tcW w:w="427" w:type="dxa"/>
            <w:vAlign w:val="center"/>
          </w:tcPr>
          <w:p>
            <w:pPr>
              <w:jc w:val="center"/>
              <w:rPr>
                <w:b/>
                <w:color w:val="000000"/>
                <w:szCs w:val="21"/>
                <w:highlight w:val="none"/>
              </w:rPr>
            </w:pPr>
            <w:r>
              <w:rPr>
                <w:rFonts w:hint="eastAsia"/>
                <w:b/>
                <w:color w:val="000000"/>
                <w:szCs w:val="21"/>
                <w:highlight w:val="none"/>
              </w:rPr>
              <w:t>市</w:t>
            </w:r>
          </w:p>
        </w:tc>
        <w:tc>
          <w:tcPr>
            <w:tcW w:w="427" w:type="dxa"/>
            <w:vAlign w:val="center"/>
          </w:tcPr>
          <w:p>
            <w:pPr>
              <w:jc w:val="center"/>
              <w:rPr>
                <w:b/>
                <w:color w:val="000000"/>
                <w:szCs w:val="21"/>
                <w:highlight w:val="none"/>
              </w:rPr>
            </w:pPr>
            <w:r>
              <w:rPr>
                <w:rFonts w:hint="eastAsia"/>
                <w:b/>
                <w:color w:val="000000"/>
                <w:szCs w:val="21"/>
                <w:highlight w:val="none"/>
              </w:rPr>
              <w:t>县</w:t>
            </w:r>
          </w:p>
        </w:tc>
        <w:tc>
          <w:tcPr>
            <w:tcW w:w="889" w:type="dxa"/>
            <w:vMerge w:val="continue"/>
            <w:vAlign w:val="center"/>
          </w:tcPr>
          <w:p>
            <w:pPr>
              <w:rPr>
                <w:highlight w:val="none"/>
              </w:rPr>
            </w:pPr>
          </w:p>
        </w:tc>
        <w:tc>
          <w:tcPr>
            <w:tcW w:w="992" w:type="dxa"/>
            <w:vMerge w:val="continue"/>
            <w:vAlign w:val="center"/>
          </w:tcPr>
          <w:p>
            <w:pPr>
              <w:rPr>
                <w:highlight w:val="none"/>
              </w:rPr>
            </w:pPr>
          </w:p>
        </w:tc>
        <w:tc>
          <w:tcPr>
            <w:tcW w:w="992" w:type="dxa"/>
            <w:vMerge w:val="continue"/>
            <w:vAlign w:val="center"/>
          </w:tcPr>
          <w:p>
            <w:pPr>
              <w:rPr>
                <w:highlight w:val="none"/>
              </w:rPr>
            </w:pPr>
          </w:p>
        </w:tc>
        <w:tc>
          <w:tcPr>
            <w:tcW w:w="1587" w:type="dxa"/>
            <w:vMerge w:val="continue"/>
            <w:vAlign w:val="center"/>
          </w:tcPr>
          <w:p>
            <w:pPr>
              <w:rPr>
                <w:highlight w:val="none"/>
              </w:rPr>
            </w:pPr>
          </w:p>
        </w:tc>
        <w:tc>
          <w:tcPr>
            <w:tcW w:w="2524" w:type="dxa"/>
            <w:gridSpan w:val="2"/>
            <w:vMerge w:val="continue"/>
            <w:vAlign w:val="center"/>
          </w:tcPr>
          <w:p>
            <w:pPr>
              <w:rPr>
                <w:highlight w:val="none"/>
              </w:rPr>
            </w:pPr>
          </w:p>
        </w:tc>
        <w:tc>
          <w:tcPr>
            <w:tcW w:w="360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271" w:type="dxa"/>
            <w:vAlign w:val="center"/>
          </w:tcPr>
          <w:p>
            <w:pPr>
              <w:jc w:val="center"/>
              <w:rPr>
                <w:color w:val="000000"/>
                <w:szCs w:val="21"/>
                <w:highlight w:val="none"/>
              </w:rPr>
            </w:pPr>
            <w:r>
              <w:rPr>
                <w:rFonts w:hint="eastAsia"/>
                <w:color w:val="000000"/>
                <w:szCs w:val="21"/>
                <w:highlight w:val="none"/>
              </w:rPr>
              <w:t>ZH43052510003</w:t>
            </w:r>
          </w:p>
        </w:tc>
        <w:tc>
          <w:tcPr>
            <w:tcW w:w="807" w:type="dxa"/>
            <w:vAlign w:val="center"/>
          </w:tcPr>
          <w:p>
            <w:pPr>
              <w:jc w:val="center"/>
              <w:rPr>
                <w:color w:val="000000"/>
                <w:szCs w:val="21"/>
                <w:highlight w:val="none"/>
              </w:rPr>
            </w:pPr>
            <w:r>
              <w:rPr>
                <w:rFonts w:hint="eastAsia"/>
                <w:color w:val="000000"/>
                <w:szCs w:val="21"/>
                <w:highlight w:val="none"/>
              </w:rPr>
              <w:t>石江镇</w:t>
            </w:r>
          </w:p>
        </w:tc>
        <w:tc>
          <w:tcPr>
            <w:tcW w:w="427" w:type="dxa"/>
            <w:vAlign w:val="center"/>
          </w:tcPr>
          <w:p>
            <w:pPr>
              <w:jc w:val="center"/>
              <w:rPr>
                <w:color w:val="000000"/>
                <w:szCs w:val="21"/>
                <w:highlight w:val="none"/>
              </w:rPr>
            </w:pPr>
            <w:r>
              <w:rPr>
                <w:rFonts w:hint="eastAsia"/>
                <w:color w:val="000000"/>
                <w:szCs w:val="21"/>
                <w:highlight w:val="none"/>
              </w:rPr>
              <w:t>湖南省</w:t>
            </w:r>
          </w:p>
        </w:tc>
        <w:tc>
          <w:tcPr>
            <w:tcW w:w="427" w:type="dxa"/>
            <w:vAlign w:val="center"/>
          </w:tcPr>
          <w:p>
            <w:pPr>
              <w:jc w:val="center"/>
              <w:rPr>
                <w:color w:val="000000"/>
                <w:szCs w:val="21"/>
                <w:highlight w:val="none"/>
              </w:rPr>
            </w:pPr>
            <w:r>
              <w:rPr>
                <w:rFonts w:hint="eastAsia"/>
                <w:color w:val="000000"/>
                <w:szCs w:val="21"/>
                <w:highlight w:val="none"/>
              </w:rPr>
              <w:t>邵阳市</w:t>
            </w:r>
          </w:p>
        </w:tc>
        <w:tc>
          <w:tcPr>
            <w:tcW w:w="427" w:type="dxa"/>
            <w:vAlign w:val="center"/>
          </w:tcPr>
          <w:p>
            <w:pPr>
              <w:jc w:val="center"/>
              <w:rPr>
                <w:color w:val="000000"/>
                <w:szCs w:val="21"/>
                <w:highlight w:val="none"/>
              </w:rPr>
            </w:pPr>
            <w:r>
              <w:rPr>
                <w:rFonts w:hint="eastAsia"/>
                <w:color w:val="000000"/>
                <w:szCs w:val="21"/>
                <w:highlight w:val="none"/>
              </w:rPr>
              <w:t>洞口县</w:t>
            </w:r>
          </w:p>
        </w:tc>
        <w:tc>
          <w:tcPr>
            <w:tcW w:w="889" w:type="dxa"/>
            <w:vAlign w:val="center"/>
          </w:tcPr>
          <w:p>
            <w:pPr>
              <w:jc w:val="center"/>
              <w:rPr>
                <w:color w:val="000000"/>
                <w:szCs w:val="21"/>
                <w:highlight w:val="none"/>
              </w:rPr>
            </w:pPr>
            <w:r>
              <w:rPr>
                <w:rFonts w:hint="eastAsia"/>
                <w:color w:val="000000"/>
                <w:szCs w:val="21"/>
                <w:highlight w:val="none"/>
              </w:rPr>
              <w:t>优先保护单元</w:t>
            </w:r>
          </w:p>
        </w:tc>
        <w:tc>
          <w:tcPr>
            <w:tcW w:w="992" w:type="dxa"/>
            <w:vAlign w:val="center"/>
          </w:tcPr>
          <w:p>
            <w:pPr>
              <w:jc w:val="center"/>
              <w:rPr>
                <w:color w:val="000000"/>
                <w:szCs w:val="21"/>
                <w:highlight w:val="none"/>
              </w:rPr>
            </w:pPr>
            <w:r>
              <w:rPr>
                <w:rFonts w:hint="eastAsia"/>
                <w:color w:val="000000"/>
                <w:szCs w:val="21"/>
                <w:highlight w:val="none"/>
              </w:rPr>
              <w:t>139.78</w:t>
            </w:r>
            <w:r>
              <w:rPr>
                <w:color w:val="000000"/>
                <w:szCs w:val="21"/>
                <w:highlight w:val="none"/>
              </w:rPr>
              <w:t xml:space="preserve"> </w:t>
            </w:r>
          </w:p>
        </w:tc>
        <w:tc>
          <w:tcPr>
            <w:tcW w:w="992" w:type="dxa"/>
            <w:vAlign w:val="center"/>
          </w:tcPr>
          <w:p>
            <w:pPr>
              <w:jc w:val="center"/>
              <w:rPr>
                <w:color w:val="000000"/>
                <w:szCs w:val="21"/>
                <w:highlight w:val="none"/>
              </w:rPr>
            </w:pPr>
            <w:r>
              <w:rPr>
                <w:rFonts w:hint="eastAsia"/>
                <w:color w:val="000000"/>
                <w:szCs w:val="21"/>
                <w:highlight w:val="none"/>
              </w:rPr>
              <w:t>石江镇</w:t>
            </w:r>
          </w:p>
        </w:tc>
        <w:tc>
          <w:tcPr>
            <w:tcW w:w="1587" w:type="dxa"/>
            <w:vAlign w:val="center"/>
          </w:tcPr>
          <w:p>
            <w:pPr>
              <w:jc w:val="center"/>
              <w:rPr>
                <w:rFonts w:hint="eastAsia"/>
                <w:strike/>
                <w:dstrike w:val="0"/>
                <w:color w:val="000000"/>
                <w:szCs w:val="21"/>
                <w:highlight w:val="none"/>
              </w:rPr>
            </w:pPr>
            <w:r>
              <w:rPr>
                <w:rFonts w:hint="eastAsia"/>
                <w:strike w:val="0"/>
                <w:dstrike w:val="0"/>
                <w:color w:val="000000"/>
                <w:szCs w:val="21"/>
                <w:highlight w:val="none"/>
                <w:lang w:val="en-US" w:eastAsia="zh-CN"/>
              </w:rPr>
              <w:t>农产品主产区/自然保护生态区/历史文化资源富集区/宜开发矿产资源富集区</w:t>
            </w:r>
          </w:p>
        </w:tc>
        <w:tc>
          <w:tcPr>
            <w:tcW w:w="2524" w:type="dxa"/>
            <w:gridSpan w:val="2"/>
            <w:vAlign w:val="center"/>
          </w:tcPr>
          <w:p>
            <w:pPr>
              <w:widowControl/>
              <w:jc w:val="both"/>
              <w:rPr>
                <w:rFonts w:hint="default" w:eastAsia="宋体"/>
                <w:strike/>
                <w:dstrike w:val="0"/>
                <w:color w:val="000000"/>
                <w:kern w:val="0"/>
                <w:szCs w:val="21"/>
                <w:highlight w:val="none"/>
                <w:lang w:val="en-US" w:eastAsia="zh-CN"/>
              </w:rPr>
            </w:pPr>
            <w:r>
              <w:rPr>
                <w:rFonts w:hint="eastAsia"/>
                <w:strike w:val="0"/>
                <w:dstrike w:val="0"/>
                <w:color w:val="000000"/>
                <w:kern w:val="0"/>
                <w:szCs w:val="21"/>
                <w:highlight w:val="none"/>
              </w:rPr>
              <w:t>农业种植、畜禽养殖、农副产品加工、食品加工、旅游开发及旅游产品加工、社会事业、</w:t>
            </w:r>
            <w:r>
              <w:rPr>
                <w:strike w:val="0"/>
                <w:dstrike w:val="0"/>
                <w:color w:val="000000"/>
                <w:kern w:val="0"/>
                <w:szCs w:val="21"/>
                <w:highlight w:val="none"/>
              </w:rPr>
              <w:t>造纸</w:t>
            </w:r>
          </w:p>
        </w:tc>
        <w:tc>
          <w:tcPr>
            <w:tcW w:w="3605" w:type="dxa"/>
            <w:vAlign w:val="center"/>
          </w:tcPr>
          <w:p>
            <w:pPr>
              <w:widowControl/>
              <w:rPr>
                <w:rFonts w:hint="eastAsia"/>
                <w:b/>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eastAsia"/>
                <w:b/>
                <w:strike w:val="0"/>
                <w:color w:val="000000"/>
                <w:kern w:val="0"/>
                <w:szCs w:val="21"/>
                <w:highlight w:val="none"/>
                <w:lang w:eastAsia="zh-CN"/>
              </w:rPr>
            </w:pPr>
            <w:r>
              <w:rPr>
                <w:rFonts w:hint="eastAsia"/>
                <w:strike w:val="0"/>
                <w:dstrike w:val="0"/>
                <w:kern w:val="0"/>
                <w:szCs w:val="21"/>
                <w:highlight w:val="none"/>
              </w:rPr>
              <w:t>城镇生活污水、农村生活污水未处理，农村面源污染未得到有效治理。</w:t>
            </w:r>
          </w:p>
          <w:p>
            <w:pPr>
              <w:widowControl/>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rPr>
                <w:rFonts w:hint="default"/>
                <w:b/>
                <w:color w:val="000000"/>
                <w:kern w:val="0"/>
                <w:szCs w:val="21"/>
                <w:highlight w:val="none"/>
                <w:lang w:val="en-US" w:eastAsia="zh-CN"/>
              </w:rPr>
            </w:pPr>
            <w:r>
              <w:rPr>
                <w:rFonts w:hint="eastAsia"/>
                <w:strike w:val="0"/>
                <w:dstrike w:val="0"/>
                <w:color w:val="000000"/>
                <w:szCs w:val="21"/>
                <w:highlight w:val="none"/>
                <w:lang w:val="en-US" w:eastAsia="zh-CN"/>
              </w:rPr>
              <w:t>湖南洞口平溪江国家级湿地公园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71" w:type="dxa"/>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12677" w:type="dxa"/>
            <w:gridSpan w:val="11"/>
            <w:vAlign w:val="center"/>
          </w:tcPr>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红线/一般生态空间；水源涵养重要区\湿地公园\三区三线生态红线\生物多样性保护功能重要区\水土流失敏感区\原生态红线；</w:t>
            </w:r>
          </w:p>
          <w:p>
            <w:pPr>
              <w:ind w:firstLine="422" w:firstLineChars="200"/>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一般管控区；湿地公园；湖南洞口平溪江国家级湿地公园；大气环境优先保护区/大气环境受体敏感重点管控区/大气环境弱扩散重点管控区；湖南洞口平溪江国家湿地公园；农用地优先保护区/建设用地重点管控区/其他重点管控区/一般管控区；矿区/中高风险企业用地；农产品主产区/自然保护生态区/历史文化资源富集区/宜开发矿产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71" w:type="dxa"/>
            <w:vAlign w:val="center"/>
          </w:tcPr>
          <w:p>
            <w:pPr>
              <w:widowControl/>
              <w:jc w:val="center"/>
              <w:rPr>
                <w:b/>
                <w:color w:val="000000"/>
                <w:szCs w:val="21"/>
                <w:highlight w:val="none"/>
              </w:rPr>
            </w:pPr>
            <w:r>
              <w:rPr>
                <w:rFonts w:hint="eastAsia"/>
                <w:b/>
                <w:color w:val="000000"/>
                <w:szCs w:val="21"/>
                <w:highlight w:val="none"/>
              </w:rPr>
              <w:t>管控维度</w:t>
            </w:r>
          </w:p>
        </w:tc>
        <w:tc>
          <w:tcPr>
            <w:tcW w:w="8019"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4658" w:type="dxa"/>
            <w:gridSpan w:val="2"/>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71" w:type="dxa"/>
            <w:vAlign w:val="center"/>
          </w:tcPr>
          <w:p>
            <w:pPr>
              <w:widowControl/>
              <w:jc w:val="center"/>
              <w:rPr>
                <w:color w:val="000000"/>
                <w:szCs w:val="21"/>
                <w:highlight w:val="none"/>
              </w:rPr>
            </w:pPr>
            <w:r>
              <w:rPr>
                <w:rFonts w:hint="eastAsia"/>
                <w:color w:val="000000"/>
                <w:szCs w:val="21"/>
                <w:highlight w:val="none"/>
              </w:rPr>
              <w:t>空间布局约束</w:t>
            </w:r>
          </w:p>
        </w:tc>
        <w:tc>
          <w:tcPr>
            <w:tcW w:w="8019"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）禁止新建有机类危险废物热（裂）解处理项目。</w:t>
            </w:r>
          </w:p>
          <w:p>
            <w:pPr>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（1.</w:t>
            </w:r>
            <w:r>
              <w:rPr>
                <w:rFonts w:hint="eastAsia" w:cs="Times New Roman"/>
                <w:strike w:val="0"/>
                <w:dstrike w:val="0"/>
                <w:color w:val="000000"/>
                <w:szCs w:val="21"/>
                <w:highlight w:val="none"/>
                <w:lang w:val="en-US" w:eastAsia="zh-CN"/>
              </w:rPr>
              <w:t>4</w:t>
            </w:r>
            <w:r>
              <w:rPr>
                <w:rFonts w:hint="eastAsia" w:ascii="Times New Roman" w:hAnsi="Times New Roman" w:eastAsia="宋体" w:cs="Times New Roman"/>
                <w:strike w:val="0"/>
                <w:dstrike w:val="0"/>
                <w:color w:val="000000"/>
                <w:szCs w:val="21"/>
                <w:highlight w:val="none"/>
                <w:lang w:val="en-US" w:eastAsia="zh-CN"/>
              </w:rPr>
              <w:t>）禁止侵占自然湿地等水源涵养空间，已侵占的限期予以恢复。</w:t>
            </w:r>
          </w:p>
        </w:tc>
        <w:tc>
          <w:tcPr>
            <w:tcW w:w="4658" w:type="dxa"/>
            <w:gridSpan w:val="2"/>
            <w:vMerge w:val="restart"/>
          </w:tcPr>
          <w:p>
            <w:pPr>
              <w:tabs>
                <w:tab w:val="left" w:pos="1021"/>
              </w:tabs>
              <w:rPr>
                <w:rFonts w:hint="eastAsia"/>
                <w:strike/>
                <w:dstrike w:val="0"/>
                <w:color w:val="000000"/>
                <w:szCs w:val="21"/>
                <w:highlight w:val="none"/>
              </w:rPr>
            </w:pPr>
            <w:r>
              <w:rPr>
                <w:rFonts w:hint="eastAsia"/>
                <w:strike w:val="0"/>
                <w:dstrike w:val="0"/>
                <w:color w:val="000000"/>
                <w:szCs w:val="21"/>
                <w:highlight w:val="none"/>
                <w:lang w:val="en-US" w:eastAsia="zh-CN"/>
              </w:rPr>
              <w:t>①《洞口县国民经济和社会发展第十四个五年规划和二O三五年远景目标纲要》原文中“水产养殖:主要布局高沙镇、又兰镇、岩山镇、黄桥镇、石江镇、竹市镇、山门镇、长塘乡等乡镇,建立10个连片水面500亩以上的23水产养殖基地。”</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w:t>
            </w:r>
            <w:r>
              <w:rPr>
                <w:rFonts w:hint="eastAsia" w:asciiTheme="minorHAnsi" w:hAnsiTheme="minorHAnsi" w:cstheme="minorBidi"/>
                <w:b w:val="0"/>
                <w:bCs w:val="0"/>
                <w:spacing w:val="-14"/>
                <w:kern w:val="2"/>
                <w:sz w:val="21"/>
                <w:szCs w:val="22"/>
                <w:highlight w:val="none"/>
                <w:lang w:val="en-US" w:eastAsia="zh-CN" w:bidi="ar-SA"/>
              </w:rPr>
              <w:t>（1.6）</w:t>
            </w:r>
            <w:r>
              <w:rPr>
                <w:rFonts w:hint="eastAsia"/>
                <w:strike w:val="0"/>
                <w:dstrike w:val="0"/>
                <w:color w:val="000000"/>
                <w:szCs w:val="21"/>
                <w:highlight w:val="none"/>
                <w:lang w:val="en-US" w:eastAsia="zh-CN"/>
              </w:rPr>
              <w:t>（2.1.1）（2.1.2）（2.2.1）（2.2.2）（2.3.1）（2.3.2）（3.3）（4.1.1）（4.1.2）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 年洞口县深入打好污染防治攻坚战工作方案》</w:t>
            </w:r>
          </w:p>
          <w:p>
            <w:pPr>
              <w:tabs>
                <w:tab w:val="left" w:pos="1021"/>
              </w:tabs>
              <w:rPr>
                <w:rFonts w:hint="eastAsia" w:ascii="Times New Roman" w:hAnsi="Times New Roman" w:eastAsia="宋体" w:cs="Times New Roman"/>
                <w:b w:val="0"/>
                <w:bCs w:val="0"/>
                <w:kern w:val="2"/>
                <w:sz w:val="21"/>
                <w:szCs w:val="21"/>
                <w:highlight w:val="none"/>
                <w:lang w:val="en-US" w:eastAsia="zh-CN" w:bidi="ar-SA"/>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71" w:type="dxa"/>
            <w:vAlign w:val="center"/>
          </w:tcPr>
          <w:p>
            <w:pPr>
              <w:widowControl/>
              <w:jc w:val="center"/>
              <w:rPr>
                <w:color w:val="000000"/>
                <w:szCs w:val="21"/>
                <w:highlight w:val="none"/>
              </w:rPr>
            </w:pPr>
            <w:r>
              <w:rPr>
                <w:rFonts w:hint="eastAsia"/>
                <w:color w:val="000000"/>
                <w:szCs w:val="21"/>
                <w:highlight w:val="none"/>
              </w:rPr>
              <w:t>污染物排放管控</w:t>
            </w:r>
          </w:p>
        </w:tc>
        <w:tc>
          <w:tcPr>
            <w:tcW w:w="8019"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（2.3.2）全面禁止废塑料进口，推广使用可降解塑料制品、塑料替代产品。</w:t>
            </w:r>
          </w:p>
          <w:p>
            <w:pPr>
              <w:tabs>
                <w:tab w:val="left" w:pos="1021"/>
              </w:tabs>
              <w:ind w:firstLine="420" w:firstLineChars="200"/>
              <w:rPr>
                <w:rFonts w:hint="eastAsia"/>
                <w:strike/>
                <w:dstrike w:val="0"/>
                <w:color w:val="000000"/>
                <w:szCs w:val="21"/>
                <w:highlight w:val="none"/>
              </w:rPr>
            </w:pPr>
            <w:r>
              <w:rPr>
                <w:rFonts w:hint="eastAsia" w:ascii="Times New Roman" w:hAnsi="Times New Roman" w:eastAsia="宋体" w:cs="Times New Roman"/>
                <w:strike w:val="0"/>
                <w:dstrike w:val="0"/>
                <w:color w:val="000000"/>
                <w:szCs w:val="21"/>
                <w:highlight w:val="none"/>
                <w:lang w:val="en-US" w:eastAsia="zh-CN"/>
              </w:rPr>
              <w:t>（2.3.3）加强农村垃圾中转站建设，巩固非正规生活垃圾堆放点整治成效，提升农村垃圾治理水平。</w:t>
            </w:r>
          </w:p>
        </w:tc>
        <w:tc>
          <w:tcPr>
            <w:tcW w:w="4658"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1" w:type="dxa"/>
            <w:vAlign w:val="center"/>
          </w:tcPr>
          <w:p>
            <w:pPr>
              <w:widowControl/>
              <w:jc w:val="center"/>
              <w:rPr>
                <w:color w:val="000000"/>
                <w:szCs w:val="21"/>
                <w:highlight w:val="none"/>
              </w:rPr>
            </w:pPr>
            <w:r>
              <w:rPr>
                <w:rFonts w:hint="eastAsia"/>
                <w:color w:val="000000"/>
                <w:szCs w:val="21"/>
                <w:highlight w:val="none"/>
              </w:rPr>
              <w:t>环境风险防控</w:t>
            </w:r>
          </w:p>
        </w:tc>
        <w:tc>
          <w:tcPr>
            <w:tcW w:w="8019"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tc>
        <w:tc>
          <w:tcPr>
            <w:tcW w:w="4658"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1" w:type="dxa"/>
            <w:vAlign w:val="center"/>
          </w:tcPr>
          <w:p>
            <w:pPr>
              <w:widowControl/>
              <w:jc w:val="center"/>
              <w:rPr>
                <w:color w:val="000000"/>
                <w:szCs w:val="21"/>
                <w:highlight w:val="none"/>
              </w:rPr>
            </w:pPr>
            <w:r>
              <w:rPr>
                <w:rFonts w:hint="eastAsia"/>
                <w:color w:val="000000"/>
                <w:szCs w:val="21"/>
                <w:highlight w:val="none"/>
              </w:rPr>
              <w:t>资源开发效率要求</w:t>
            </w:r>
          </w:p>
        </w:tc>
        <w:tc>
          <w:tcPr>
            <w:tcW w:w="8019"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p>
          <w:p>
            <w:pPr>
              <w:tabs>
                <w:tab w:val="left" w:pos="1021"/>
              </w:tabs>
              <w:ind w:firstLine="420" w:firstLineChars="200"/>
              <w:rPr>
                <w:rFonts w:hint="eastAsia"/>
                <w:strike/>
                <w:dstrike w:val="0"/>
                <w:color w:val="000000"/>
                <w:szCs w:val="21"/>
                <w:highlight w:val="none"/>
              </w:rPr>
            </w:pPr>
          </w:p>
        </w:tc>
        <w:tc>
          <w:tcPr>
            <w:tcW w:w="4658" w:type="dxa"/>
            <w:gridSpan w:val="2"/>
            <w:vMerge w:val="continue"/>
            <w:vAlign w:val="center"/>
          </w:tcPr>
          <w:p>
            <w:pPr>
              <w:rPr>
                <w:highlight w:val="none"/>
              </w:rPr>
            </w:pPr>
          </w:p>
        </w:tc>
      </w:tr>
    </w:tbl>
    <w:p>
      <w:pPr>
        <w:pStyle w:val="14"/>
        <w:ind w:firstLine="0" w:firstLineChars="0"/>
        <w:rPr>
          <w:b/>
          <w:color w:val="000000"/>
          <w:sz w:val="28"/>
          <w:szCs w:val="32"/>
        </w:rPr>
        <w:sectPr>
          <w:pgSz w:w="16838" w:h="11906" w:orient="landscape"/>
          <w:pgMar w:top="1800" w:right="1440" w:bottom="1800" w:left="1440" w:header="851" w:footer="992" w:gutter="0"/>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006"/>
        <w:gridCol w:w="685"/>
        <w:gridCol w:w="427"/>
        <w:gridCol w:w="427"/>
        <w:gridCol w:w="427"/>
        <w:gridCol w:w="794"/>
        <w:gridCol w:w="1303"/>
        <w:gridCol w:w="1525"/>
        <w:gridCol w:w="3364"/>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vMerge w:val="restart"/>
            <w:vAlign w:val="center"/>
          </w:tcPr>
          <w:p>
            <w:pPr>
              <w:widowControl/>
              <w:jc w:val="center"/>
              <w:rPr>
                <w:b/>
                <w:color w:val="000000"/>
                <w:kern w:val="0"/>
                <w:szCs w:val="21"/>
                <w:highlight w:val="none"/>
              </w:rPr>
            </w:pPr>
            <w:r>
              <w:rPr>
                <w:rFonts w:hint="eastAsia"/>
                <w:b/>
                <w:color w:val="000000"/>
                <w:kern w:val="0"/>
                <w:szCs w:val="21"/>
                <w:highlight w:val="none"/>
              </w:rPr>
              <w:t>环境管控单元编码</w:t>
            </w:r>
          </w:p>
        </w:tc>
        <w:tc>
          <w:tcPr>
            <w:tcW w:w="965"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1433"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0" w:type="auto"/>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0" w:type="auto"/>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1282"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467"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3677" w:type="dxa"/>
            <w:vMerge w:val="restart"/>
            <w:vAlign w:val="center"/>
          </w:tcPr>
          <w:p>
            <w:pPr>
              <w:jc w:val="center"/>
              <w:rPr>
                <w:b/>
                <w:color w:val="000000"/>
                <w:kern w:val="0"/>
                <w:szCs w:val="21"/>
                <w:highlight w:val="none"/>
              </w:rPr>
            </w:pPr>
            <w:r>
              <w:rPr>
                <w:rFonts w:hint="eastAsia"/>
                <w:b/>
                <w:color w:val="000000"/>
                <w:kern w:val="0"/>
                <w:szCs w:val="21"/>
                <w:highlight w:val="none"/>
              </w:rPr>
              <w:t>经济产业布局</w:t>
            </w:r>
          </w:p>
        </w:tc>
        <w:tc>
          <w:tcPr>
            <w:tcW w:w="2478" w:type="dxa"/>
            <w:vMerge w:val="restart"/>
            <w:vAlign w:val="center"/>
          </w:tcPr>
          <w:p>
            <w:pPr>
              <w:jc w:val="center"/>
              <w:rPr>
                <w:b/>
                <w:color w:val="000000"/>
                <w:kern w:val="0"/>
                <w:szCs w:val="21"/>
                <w:highlight w:val="none"/>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jc w:val="center"/>
        </w:trPr>
        <w:tc>
          <w:tcPr>
            <w:tcW w:w="0" w:type="auto"/>
            <w:vMerge w:val="continue"/>
            <w:vAlign w:val="center"/>
          </w:tcPr>
          <w:p>
            <w:pPr>
              <w:rPr>
                <w:highlight w:val="none"/>
              </w:rPr>
            </w:pPr>
          </w:p>
        </w:tc>
        <w:tc>
          <w:tcPr>
            <w:tcW w:w="965" w:type="dxa"/>
            <w:vMerge w:val="continue"/>
            <w:vAlign w:val="center"/>
          </w:tcPr>
          <w:p>
            <w:pPr>
              <w:rPr>
                <w:highlight w:val="none"/>
              </w:rPr>
            </w:pPr>
          </w:p>
        </w:tc>
        <w:tc>
          <w:tcPr>
            <w:tcW w:w="579" w:type="dxa"/>
            <w:vAlign w:val="center"/>
          </w:tcPr>
          <w:p>
            <w:pPr>
              <w:jc w:val="center"/>
              <w:rPr>
                <w:b/>
                <w:color w:val="000000"/>
                <w:szCs w:val="21"/>
                <w:highlight w:val="none"/>
              </w:rPr>
            </w:pPr>
            <w:r>
              <w:rPr>
                <w:rFonts w:hint="eastAsia"/>
                <w:b/>
                <w:color w:val="000000"/>
                <w:szCs w:val="21"/>
                <w:highlight w:val="none"/>
              </w:rPr>
              <w:t>省</w:t>
            </w:r>
          </w:p>
        </w:tc>
        <w:tc>
          <w:tcPr>
            <w:tcW w:w="0" w:type="auto"/>
            <w:vAlign w:val="center"/>
          </w:tcPr>
          <w:p>
            <w:pPr>
              <w:jc w:val="center"/>
              <w:rPr>
                <w:b/>
                <w:color w:val="000000"/>
                <w:szCs w:val="21"/>
                <w:highlight w:val="none"/>
              </w:rPr>
            </w:pPr>
            <w:r>
              <w:rPr>
                <w:rFonts w:hint="eastAsia"/>
                <w:b/>
                <w:color w:val="000000"/>
                <w:szCs w:val="21"/>
                <w:highlight w:val="none"/>
              </w:rPr>
              <w:t>市</w:t>
            </w:r>
          </w:p>
        </w:tc>
        <w:tc>
          <w:tcPr>
            <w:tcW w:w="0" w:type="auto"/>
            <w:vAlign w:val="center"/>
          </w:tcPr>
          <w:p>
            <w:pPr>
              <w:jc w:val="center"/>
              <w:rPr>
                <w:b/>
                <w:color w:val="000000"/>
                <w:szCs w:val="21"/>
                <w:highlight w:val="none"/>
              </w:rPr>
            </w:pPr>
            <w:r>
              <w:rPr>
                <w:rFonts w:hint="eastAsia"/>
                <w:b/>
                <w:color w:val="000000"/>
                <w:szCs w:val="21"/>
                <w:highlight w:val="none"/>
              </w:rPr>
              <w:t>县</w:t>
            </w:r>
          </w:p>
        </w:tc>
        <w:tc>
          <w:tcPr>
            <w:tcW w:w="0" w:type="auto"/>
            <w:vMerge w:val="continue"/>
            <w:vAlign w:val="center"/>
          </w:tcPr>
          <w:p>
            <w:pPr>
              <w:rPr>
                <w:highlight w:val="none"/>
              </w:rPr>
            </w:pPr>
          </w:p>
        </w:tc>
        <w:tc>
          <w:tcPr>
            <w:tcW w:w="0" w:type="auto"/>
            <w:vMerge w:val="continue"/>
            <w:vAlign w:val="center"/>
          </w:tcPr>
          <w:p>
            <w:pPr>
              <w:rPr>
                <w:highlight w:val="none"/>
              </w:rPr>
            </w:pPr>
          </w:p>
        </w:tc>
        <w:tc>
          <w:tcPr>
            <w:tcW w:w="1282" w:type="dxa"/>
            <w:vMerge w:val="continue"/>
            <w:vAlign w:val="center"/>
          </w:tcPr>
          <w:p>
            <w:pPr>
              <w:rPr>
                <w:highlight w:val="none"/>
              </w:rPr>
            </w:pPr>
          </w:p>
        </w:tc>
        <w:tc>
          <w:tcPr>
            <w:tcW w:w="1467" w:type="dxa"/>
            <w:vMerge w:val="continue"/>
            <w:vAlign w:val="center"/>
          </w:tcPr>
          <w:p>
            <w:pPr>
              <w:rPr>
                <w:highlight w:val="none"/>
              </w:rPr>
            </w:pPr>
          </w:p>
        </w:tc>
        <w:tc>
          <w:tcPr>
            <w:tcW w:w="3677" w:type="dxa"/>
            <w:vMerge w:val="continue"/>
            <w:vAlign w:val="center"/>
          </w:tcPr>
          <w:p>
            <w:pPr>
              <w:rPr>
                <w:highlight w:val="none"/>
              </w:rPr>
            </w:pPr>
          </w:p>
        </w:tc>
        <w:tc>
          <w:tcPr>
            <w:tcW w:w="247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pPr>
              <w:jc w:val="center"/>
              <w:rPr>
                <w:color w:val="000000"/>
                <w:szCs w:val="21"/>
                <w:highlight w:val="none"/>
              </w:rPr>
            </w:pPr>
            <w:r>
              <w:rPr>
                <w:rFonts w:hint="eastAsia"/>
                <w:color w:val="000000"/>
                <w:szCs w:val="21"/>
                <w:highlight w:val="none"/>
              </w:rPr>
              <w:t>ZH43052520004</w:t>
            </w:r>
          </w:p>
        </w:tc>
        <w:tc>
          <w:tcPr>
            <w:tcW w:w="965" w:type="dxa"/>
            <w:vAlign w:val="center"/>
          </w:tcPr>
          <w:p>
            <w:pPr>
              <w:jc w:val="center"/>
              <w:rPr>
                <w:rFonts w:hint="eastAsia"/>
                <w:strike/>
                <w:dstrike w:val="0"/>
                <w:color w:val="000000"/>
                <w:szCs w:val="21"/>
                <w:highlight w:val="none"/>
              </w:rPr>
            </w:pPr>
            <w:r>
              <w:rPr>
                <w:rFonts w:hint="eastAsia"/>
                <w:strike w:val="0"/>
                <w:dstrike w:val="0"/>
                <w:color w:val="000000"/>
                <w:szCs w:val="21"/>
                <w:highlight w:val="none"/>
              </w:rPr>
              <w:t>花园镇/毓兰镇</w:t>
            </w:r>
          </w:p>
        </w:tc>
        <w:tc>
          <w:tcPr>
            <w:tcW w:w="579" w:type="dxa"/>
            <w:vAlign w:val="center"/>
          </w:tcPr>
          <w:p>
            <w:pPr>
              <w:jc w:val="center"/>
              <w:rPr>
                <w:color w:val="000000"/>
                <w:szCs w:val="21"/>
                <w:highlight w:val="none"/>
              </w:rPr>
            </w:pPr>
            <w:r>
              <w:rPr>
                <w:rFonts w:hint="eastAsia"/>
                <w:color w:val="000000"/>
                <w:szCs w:val="21"/>
                <w:highlight w:val="none"/>
              </w:rPr>
              <w:t>湖南省</w:t>
            </w:r>
          </w:p>
        </w:tc>
        <w:tc>
          <w:tcPr>
            <w:tcW w:w="0" w:type="auto"/>
            <w:vAlign w:val="center"/>
          </w:tcPr>
          <w:p>
            <w:pPr>
              <w:jc w:val="center"/>
              <w:rPr>
                <w:color w:val="000000"/>
                <w:szCs w:val="21"/>
                <w:highlight w:val="none"/>
              </w:rPr>
            </w:pPr>
            <w:r>
              <w:rPr>
                <w:rFonts w:hint="eastAsia"/>
                <w:color w:val="000000"/>
                <w:szCs w:val="21"/>
                <w:highlight w:val="none"/>
              </w:rPr>
              <w:t>邵阳市</w:t>
            </w:r>
          </w:p>
        </w:tc>
        <w:tc>
          <w:tcPr>
            <w:tcW w:w="0" w:type="auto"/>
            <w:vAlign w:val="center"/>
          </w:tcPr>
          <w:p>
            <w:pPr>
              <w:jc w:val="center"/>
              <w:rPr>
                <w:color w:val="000000"/>
                <w:szCs w:val="21"/>
                <w:highlight w:val="none"/>
              </w:rPr>
            </w:pPr>
            <w:r>
              <w:rPr>
                <w:rFonts w:hint="eastAsia"/>
                <w:color w:val="000000"/>
                <w:szCs w:val="21"/>
                <w:highlight w:val="none"/>
              </w:rPr>
              <w:t>洞口县</w:t>
            </w:r>
          </w:p>
        </w:tc>
        <w:tc>
          <w:tcPr>
            <w:tcW w:w="0" w:type="auto"/>
            <w:vAlign w:val="center"/>
          </w:tcPr>
          <w:p>
            <w:pPr>
              <w:jc w:val="center"/>
              <w:rPr>
                <w:color w:val="000000"/>
                <w:szCs w:val="21"/>
                <w:highlight w:val="none"/>
              </w:rPr>
            </w:pPr>
            <w:r>
              <w:rPr>
                <w:rFonts w:hint="eastAsia"/>
                <w:color w:val="000000"/>
                <w:szCs w:val="21"/>
                <w:highlight w:val="none"/>
              </w:rPr>
              <w:t>重点管控单元</w:t>
            </w:r>
          </w:p>
        </w:tc>
        <w:tc>
          <w:tcPr>
            <w:tcW w:w="0" w:type="auto"/>
            <w:vAlign w:val="center"/>
          </w:tcPr>
          <w:p>
            <w:pPr>
              <w:jc w:val="center"/>
              <w:rPr>
                <w:rFonts w:hint="eastAsia" w:eastAsia="宋体"/>
                <w:strike/>
                <w:dstrike w:val="0"/>
                <w:color w:val="000000"/>
                <w:szCs w:val="21"/>
                <w:highlight w:val="none"/>
                <w:lang w:val="en-US" w:eastAsia="zh-CN"/>
              </w:rPr>
            </w:pPr>
            <w:r>
              <w:rPr>
                <w:rFonts w:hint="eastAsia"/>
                <w:strike w:val="0"/>
                <w:dstrike w:val="0"/>
                <w:color w:val="000000"/>
                <w:szCs w:val="21"/>
                <w:highlight w:val="none"/>
              </w:rPr>
              <w:t>196.8</w:t>
            </w:r>
            <w:r>
              <w:rPr>
                <w:rFonts w:hint="eastAsia"/>
                <w:strike w:val="0"/>
                <w:dstrike w:val="0"/>
                <w:color w:val="000000"/>
                <w:szCs w:val="21"/>
                <w:highlight w:val="none"/>
                <w:lang w:val="en-US" w:eastAsia="zh-CN"/>
              </w:rPr>
              <w:t>8</w:t>
            </w:r>
          </w:p>
        </w:tc>
        <w:tc>
          <w:tcPr>
            <w:tcW w:w="1282" w:type="dxa"/>
            <w:vAlign w:val="center"/>
          </w:tcPr>
          <w:p>
            <w:pPr>
              <w:jc w:val="center"/>
              <w:rPr>
                <w:rFonts w:hint="eastAsia"/>
                <w:strike/>
                <w:dstrike w:val="0"/>
                <w:color w:val="000000"/>
                <w:szCs w:val="21"/>
                <w:highlight w:val="none"/>
              </w:rPr>
            </w:pPr>
            <w:r>
              <w:rPr>
                <w:rFonts w:hint="eastAsia"/>
                <w:strike w:val="0"/>
                <w:dstrike w:val="0"/>
                <w:color w:val="000000"/>
                <w:szCs w:val="21"/>
                <w:highlight w:val="none"/>
              </w:rPr>
              <w:t>花园镇/毓兰镇</w:t>
            </w:r>
          </w:p>
        </w:tc>
        <w:tc>
          <w:tcPr>
            <w:tcW w:w="1467" w:type="dxa"/>
            <w:vAlign w:val="center"/>
          </w:tcPr>
          <w:p>
            <w:pPr>
              <w:jc w:val="center"/>
              <w:rPr>
                <w:rFonts w:hint="eastAsia" w:eastAsia="宋体"/>
                <w:b/>
                <w:bCs/>
                <w:strike w:val="0"/>
                <w:dstrike w:val="0"/>
                <w:color w:val="000000"/>
                <w:szCs w:val="21"/>
                <w:highlight w:val="none"/>
                <w:lang w:eastAsia="zh-CN"/>
              </w:rPr>
            </w:pPr>
            <w:r>
              <w:rPr>
                <w:rFonts w:hint="eastAsia"/>
                <w:b/>
                <w:bCs/>
                <w:strike w:val="0"/>
                <w:dstrike w:val="0"/>
                <w:color w:val="000000"/>
                <w:szCs w:val="21"/>
                <w:highlight w:val="none"/>
              </w:rPr>
              <w:t>花园镇</w:t>
            </w:r>
            <w:r>
              <w:rPr>
                <w:rFonts w:hint="eastAsia"/>
                <w:b/>
                <w:bCs/>
                <w:strike w:val="0"/>
                <w:dstrike w:val="0"/>
                <w:color w:val="000000"/>
                <w:szCs w:val="21"/>
                <w:highlight w:val="none"/>
                <w:lang w:eastAsia="zh-CN"/>
              </w:rPr>
              <w:t>：</w:t>
            </w:r>
            <w:r>
              <w:rPr>
                <w:rFonts w:hint="eastAsia"/>
                <w:b w:val="0"/>
                <w:bCs w:val="0"/>
                <w:strike w:val="0"/>
                <w:dstrike w:val="0"/>
                <w:color w:val="000000"/>
                <w:szCs w:val="21"/>
                <w:highlight w:val="none"/>
                <w:lang w:eastAsia="zh-CN"/>
              </w:rPr>
              <w:t>农产品主产区</w:t>
            </w:r>
          </w:p>
          <w:p>
            <w:pPr>
              <w:jc w:val="center"/>
              <w:rPr>
                <w:rFonts w:hint="eastAsia" w:eastAsia="宋体"/>
                <w:strike w:val="0"/>
                <w:dstrike w:val="0"/>
                <w:color w:val="000000"/>
                <w:szCs w:val="21"/>
                <w:highlight w:val="none"/>
                <w:lang w:eastAsia="zh-CN"/>
              </w:rPr>
            </w:pPr>
            <w:r>
              <w:rPr>
                <w:rFonts w:hint="eastAsia"/>
                <w:b/>
                <w:bCs/>
                <w:strike w:val="0"/>
                <w:dstrike w:val="0"/>
                <w:color w:val="000000"/>
                <w:szCs w:val="21"/>
                <w:highlight w:val="none"/>
              </w:rPr>
              <w:t>毓兰镇</w:t>
            </w:r>
            <w:r>
              <w:rPr>
                <w:rFonts w:hint="eastAsia"/>
                <w:b/>
                <w:bCs/>
                <w:strike w:val="0"/>
                <w:dstrike w:val="0"/>
                <w:color w:val="000000"/>
                <w:szCs w:val="21"/>
                <w:highlight w:val="none"/>
                <w:lang w:eastAsia="zh-CN"/>
              </w:rPr>
              <w:t>：</w:t>
            </w:r>
            <w:r>
              <w:rPr>
                <w:rFonts w:hint="eastAsia"/>
                <w:b w:val="0"/>
                <w:bCs w:val="0"/>
                <w:strike w:val="0"/>
                <w:dstrike w:val="0"/>
                <w:color w:val="000000"/>
                <w:szCs w:val="21"/>
                <w:highlight w:val="none"/>
                <w:lang w:val="en-US" w:eastAsia="zh-CN"/>
              </w:rPr>
              <w:t>农产品主产区</w:t>
            </w:r>
          </w:p>
        </w:tc>
        <w:tc>
          <w:tcPr>
            <w:tcW w:w="3677" w:type="dxa"/>
            <w:vAlign w:val="center"/>
          </w:tcPr>
          <w:p>
            <w:pPr>
              <w:widowControl/>
              <w:jc w:val="center"/>
              <w:rPr>
                <w:rFonts w:hint="eastAsia"/>
                <w:strike/>
                <w:dstrike w:val="0"/>
                <w:color w:val="000000"/>
                <w:kern w:val="0"/>
                <w:szCs w:val="21"/>
                <w:highlight w:val="none"/>
              </w:rPr>
            </w:pPr>
            <w:r>
              <w:rPr>
                <w:rFonts w:hint="eastAsia"/>
                <w:b/>
                <w:bCs/>
                <w:strike w:val="0"/>
                <w:dstrike w:val="0"/>
                <w:color w:val="000000"/>
                <w:szCs w:val="21"/>
                <w:highlight w:val="none"/>
              </w:rPr>
              <w:t>花园镇</w:t>
            </w:r>
            <w:r>
              <w:rPr>
                <w:rFonts w:hint="eastAsia"/>
                <w:b/>
                <w:bCs/>
                <w:strike w:val="0"/>
                <w:dstrike w:val="0"/>
                <w:color w:val="000000"/>
                <w:szCs w:val="21"/>
                <w:highlight w:val="none"/>
                <w:lang w:eastAsia="zh-CN"/>
              </w:rPr>
              <w:t>：</w:t>
            </w:r>
            <w:r>
              <w:rPr>
                <w:rFonts w:hint="eastAsia"/>
                <w:b w:val="0"/>
                <w:bCs w:val="0"/>
                <w:strike w:val="0"/>
                <w:dstrike w:val="0"/>
                <w:color w:val="000000"/>
                <w:szCs w:val="21"/>
                <w:highlight w:val="none"/>
                <w:lang w:val="en-US" w:eastAsia="zh-CN"/>
              </w:rPr>
              <w:t>农业种植、畜禽养殖、农副产品加工、食品加工、非金属矿物制品业、建材、电子设备制造、旅游开发及旅游产品加工、社会事业、再生资源利用行业、医药制造业等</w:t>
            </w:r>
          </w:p>
          <w:p>
            <w:pPr>
              <w:widowControl/>
              <w:jc w:val="center"/>
              <w:rPr>
                <w:rFonts w:hint="default"/>
                <w:strike/>
                <w:dstrike w:val="0"/>
                <w:color w:val="000000"/>
                <w:kern w:val="0"/>
                <w:szCs w:val="21"/>
                <w:highlight w:val="none"/>
                <w:lang w:val="en-US"/>
              </w:rPr>
            </w:pPr>
            <w:r>
              <w:rPr>
                <w:rFonts w:hint="eastAsia"/>
                <w:b/>
                <w:bCs/>
                <w:strike w:val="0"/>
                <w:dstrike w:val="0"/>
                <w:color w:val="000000"/>
                <w:szCs w:val="21"/>
                <w:highlight w:val="none"/>
              </w:rPr>
              <w:t>毓兰镇</w:t>
            </w:r>
            <w:r>
              <w:rPr>
                <w:rFonts w:hint="eastAsia"/>
                <w:b/>
                <w:bCs/>
                <w:strike w:val="0"/>
                <w:dstrike w:val="0"/>
                <w:color w:val="000000"/>
                <w:szCs w:val="21"/>
                <w:highlight w:val="none"/>
                <w:lang w:eastAsia="zh-CN"/>
              </w:rPr>
              <w:t>：</w:t>
            </w:r>
            <w:r>
              <w:rPr>
                <w:rFonts w:hint="eastAsia"/>
                <w:b w:val="0"/>
                <w:bCs w:val="0"/>
                <w:strike w:val="0"/>
                <w:dstrike w:val="0"/>
                <w:color w:val="000000"/>
                <w:szCs w:val="21"/>
                <w:highlight w:val="none"/>
                <w:lang w:val="en-US" w:eastAsia="zh-CN"/>
              </w:rPr>
              <w:t>农业种植、畜禽养殖、农副产品加工、食品加工、非金属矿物制品业、建材、电子设备制造、旅游开发及旅游产品加工、社会事业、再生资源利用行业、医药制造业等</w:t>
            </w:r>
          </w:p>
        </w:tc>
        <w:tc>
          <w:tcPr>
            <w:tcW w:w="2478" w:type="dxa"/>
            <w:vAlign w:val="center"/>
          </w:tcPr>
          <w:p>
            <w:pPr>
              <w:widowControl/>
              <w:rPr>
                <w:rFonts w:hint="eastAsia"/>
                <w:b/>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eastAsia"/>
                <w:strike/>
                <w:dstrike w:val="0"/>
                <w:color w:val="000000"/>
                <w:kern w:val="0"/>
                <w:szCs w:val="21"/>
                <w:highlight w:val="none"/>
              </w:rPr>
            </w:pPr>
            <w:r>
              <w:rPr>
                <w:rFonts w:hint="eastAsia"/>
                <w:b/>
                <w:bCs/>
                <w:strike w:val="0"/>
                <w:dstrike w:val="0"/>
                <w:color w:val="000000"/>
                <w:szCs w:val="21"/>
                <w:highlight w:val="none"/>
              </w:rPr>
              <w:t>花园镇</w:t>
            </w:r>
            <w:r>
              <w:rPr>
                <w:rFonts w:hint="eastAsia"/>
                <w:b/>
                <w:bCs/>
                <w:strike w:val="0"/>
                <w:dstrike w:val="0"/>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rPr>
                <w:rFonts w:hint="eastAsia"/>
                <w:b/>
                <w:color w:val="000000"/>
                <w:kern w:val="0"/>
                <w:szCs w:val="21"/>
                <w:highlight w:val="none"/>
                <w:lang w:eastAsia="zh-CN"/>
              </w:rPr>
            </w:pPr>
            <w:r>
              <w:rPr>
                <w:rFonts w:hint="eastAsia"/>
                <w:b/>
                <w:bCs/>
                <w:strike w:val="0"/>
                <w:dstrike w:val="0"/>
                <w:color w:val="000000"/>
                <w:szCs w:val="21"/>
                <w:highlight w:val="none"/>
              </w:rPr>
              <w:t>毓兰镇</w:t>
            </w:r>
            <w:r>
              <w:rPr>
                <w:rFonts w:hint="eastAsia"/>
                <w:b/>
                <w:bCs/>
                <w:strike w:val="0"/>
                <w:dstrike w:val="0"/>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rPr>
                <w:rFonts w:hint="default" w:eastAsia="宋体"/>
                <w:b/>
                <w:color w:val="000000"/>
                <w:kern w:val="0"/>
                <w:szCs w:val="21"/>
                <w:highlight w:val="none"/>
                <w:lang w:val="en-US" w:eastAsia="zh-CN"/>
              </w:rPr>
            </w:pPr>
            <w:r>
              <w:rPr>
                <w:rFonts w:hint="eastAsia"/>
                <w:b/>
                <w:bCs/>
                <w:strike w:val="0"/>
                <w:dstrike w:val="0"/>
                <w:color w:val="000000"/>
                <w:szCs w:val="21"/>
                <w:highlight w:val="none"/>
              </w:rPr>
              <w:t>毓兰镇</w:t>
            </w:r>
            <w:r>
              <w:rPr>
                <w:rFonts w:hint="eastAsia"/>
                <w:b/>
                <w:bCs/>
                <w:strike w:val="0"/>
                <w:dstrike w:val="0"/>
                <w:color w:val="000000"/>
                <w:szCs w:val="21"/>
                <w:highlight w:val="none"/>
                <w:lang w:eastAsia="zh-CN"/>
              </w:rPr>
              <w:t>：</w:t>
            </w:r>
            <w:r>
              <w:rPr>
                <w:rFonts w:hint="eastAsia"/>
                <w:strike w:val="0"/>
                <w:dstrike w:val="0"/>
                <w:color w:val="000000"/>
                <w:kern w:val="0"/>
                <w:szCs w:val="21"/>
                <w:highlight w:val="none"/>
              </w:rPr>
              <w:t>蔡锷故里</w:t>
            </w:r>
            <w:r>
              <w:rPr>
                <w:rFonts w:hint="eastAsia"/>
                <w:strike w:val="0"/>
                <w:dstrike w:val="0"/>
                <w:color w:val="000000"/>
                <w:kern w:val="0"/>
                <w:szCs w:val="21"/>
                <w:highlight w:val="none"/>
                <w:lang w:val="en-US" w:eastAsia="zh-CN"/>
              </w:rPr>
              <w:t>风景名胜区（半江景区）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0" w:type="auto"/>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0" w:type="auto"/>
            <w:gridSpan w:val="10"/>
            <w:vAlign w:val="center"/>
          </w:tcPr>
          <w:p>
            <w:pPr>
              <w:jc w:val="both"/>
              <w:rPr>
                <w:rFonts w:hint="eastAsia"/>
                <w:b/>
                <w:bCs/>
                <w:strike w:val="0"/>
                <w:dstrike w:val="0"/>
                <w:color w:val="000000"/>
                <w:szCs w:val="21"/>
                <w:highlight w:val="none"/>
                <w:lang w:eastAsia="zh-CN"/>
              </w:rPr>
            </w:pPr>
            <w:r>
              <w:rPr>
                <w:rFonts w:hint="eastAsia"/>
                <w:b/>
                <w:bCs/>
                <w:strike w:val="0"/>
                <w:dstrike w:val="0"/>
                <w:color w:val="000000"/>
                <w:szCs w:val="21"/>
                <w:highlight w:val="none"/>
              </w:rPr>
              <w:t>花园镇</w:t>
            </w:r>
            <w:r>
              <w:rPr>
                <w:rFonts w:hint="eastAsia"/>
                <w:b/>
                <w:bCs/>
                <w:strike w:val="0"/>
                <w:dstrike w:val="0"/>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红线/一般生态空间；三区三线生态红线\水源涵养重要区\原生态红线\生物多样性保护功能重要区\水土流失敏感区；</w:t>
            </w:r>
          </w:p>
          <w:p>
            <w:pPr>
              <w:ind w:firstLine="422" w:firstLineChars="200"/>
              <w:jc w:val="both"/>
              <w:rPr>
                <w:rFonts w:hint="default"/>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水环境一般管控区；大气环境受体敏感重点管控区/大气环境弱扩散重点管控区；农用地优先保护区/其他重点管控区/一般管控区；矿区；农产品主产区；</w:t>
            </w:r>
          </w:p>
          <w:p>
            <w:pPr>
              <w:jc w:val="both"/>
              <w:rPr>
                <w:rFonts w:hint="eastAsia"/>
                <w:b/>
                <w:bCs/>
                <w:strike w:val="0"/>
                <w:dstrike w:val="0"/>
                <w:color w:val="000000"/>
                <w:szCs w:val="21"/>
                <w:highlight w:val="none"/>
                <w:lang w:eastAsia="zh-CN"/>
              </w:rPr>
            </w:pPr>
            <w:r>
              <w:rPr>
                <w:rFonts w:hint="eastAsia"/>
                <w:b/>
                <w:bCs/>
                <w:strike w:val="0"/>
                <w:dstrike w:val="0"/>
                <w:color w:val="000000"/>
                <w:szCs w:val="21"/>
                <w:highlight w:val="none"/>
              </w:rPr>
              <w:t>毓兰镇</w:t>
            </w:r>
            <w:r>
              <w:rPr>
                <w:rFonts w:hint="eastAsia"/>
                <w:b/>
                <w:bCs/>
                <w:strike w:val="0"/>
                <w:dstrike w:val="0"/>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红线/一般生态空间；风景名胜区\水源涵养重要区\三区三线生态红线\原生态红线\生物多样性保护功能重要区\水土流失敏感区；</w:t>
            </w:r>
          </w:p>
          <w:p>
            <w:pPr>
              <w:ind w:firstLine="422" w:firstLineChars="200"/>
              <w:jc w:val="both"/>
              <w:rPr>
                <w:rFonts w:hint="default"/>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高排放重点管控区/大气环境受体敏感重点管控区/大气环境弱扩散重点管控区；蔡锷故里风景名胜区/洞口工业园区；农用地优先保护区/其他重点管控区/一般管控区；矿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vAlign w:val="center"/>
          </w:tcPr>
          <w:p>
            <w:pPr>
              <w:widowControl/>
              <w:jc w:val="center"/>
              <w:rPr>
                <w:b/>
                <w:color w:val="000000"/>
                <w:szCs w:val="21"/>
                <w:highlight w:val="none"/>
              </w:rPr>
            </w:pPr>
            <w:r>
              <w:rPr>
                <w:rFonts w:hint="eastAsia"/>
                <w:b/>
                <w:color w:val="000000"/>
                <w:szCs w:val="21"/>
                <w:highlight w:val="none"/>
              </w:rPr>
              <w:t>管控维度</w:t>
            </w:r>
          </w:p>
        </w:tc>
        <w:tc>
          <w:tcPr>
            <w:tcW w:w="10045"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2478" w:type="dxa"/>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空间布局约束</w:t>
            </w:r>
          </w:p>
        </w:tc>
        <w:tc>
          <w:tcPr>
            <w:tcW w:w="10045"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）禁止新建有机类危险废物热（裂）解处理项目。</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1.4</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禁止侵占自然湿地等水源涵养空间，已侵占的限期予以恢复。</w:t>
            </w:r>
          </w:p>
        </w:tc>
        <w:tc>
          <w:tcPr>
            <w:tcW w:w="2478" w:type="dxa"/>
            <w:vMerge w:val="restart"/>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《2023年洞口县深入打好污染防治攻坚战工作方案》</w:t>
            </w:r>
          </w:p>
          <w:p>
            <w:pPr>
              <w:tabs>
                <w:tab w:val="left" w:pos="1021"/>
              </w:tabs>
              <w:rPr>
                <w:rFonts w:hint="eastAsia" w:ascii="Times New Roman" w:hAnsi="Times New Roman" w:eastAsia="宋体" w:cs="Times New Roman"/>
                <w:b w:val="0"/>
                <w:bCs w:val="0"/>
                <w:kern w:val="2"/>
                <w:sz w:val="21"/>
                <w:szCs w:val="21"/>
                <w:highlight w:val="none"/>
                <w:lang w:val="en-US" w:eastAsia="zh-CN" w:bidi="ar-SA"/>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污染物排放管控</w:t>
            </w:r>
          </w:p>
        </w:tc>
        <w:tc>
          <w:tcPr>
            <w:tcW w:w="10045"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（2.3.2）全面禁止废塑料进口，推广使用可降解塑料制品、塑料替代产品。</w:t>
            </w:r>
          </w:p>
          <w:p>
            <w:pPr>
              <w:tabs>
                <w:tab w:val="left" w:pos="1021"/>
              </w:tabs>
              <w:ind w:firstLine="420" w:firstLineChars="200"/>
              <w:rPr>
                <w:rFonts w:hint="eastAsia"/>
                <w:strike/>
                <w:dstrike w:val="0"/>
                <w:color w:val="000000"/>
                <w:szCs w:val="21"/>
                <w:highlight w:val="none"/>
              </w:rPr>
            </w:pPr>
            <w:r>
              <w:rPr>
                <w:rFonts w:hint="eastAsia" w:ascii="Times New Roman" w:hAnsi="Times New Roman" w:eastAsia="宋体" w:cs="Times New Roman"/>
                <w:strike w:val="0"/>
                <w:dstrike w:val="0"/>
                <w:color w:val="000000"/>
                <w:szCs w:val="21"/>
                <w:highlight w:val="none"/>
                <w:lang w:val="en-US" w:eastAsia="zh-CN"/>
              </w:rPr>
              <w:t>（2.3.3）加强农村垃圾中转站建设，巩固非正规生活垃圾堆放点整治成效，提升农村垃圾治理水平。</w:t>
            </w:r>
          </w:p>
        </w:tc>
        <w:tc>
          <w:tcPr>
            <w:tcW w:w="247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环境风险防控</w:t>
            </w:r>
          </w:p>
        </w:tc>
        <w:tc>
          <w:tcPr>
            <w:tcW w:w="10045"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tc>
        <w:tc>
          <w:tcPr>
            <w:tcW w:w="247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资源开发效率要求</w:t>
            </w:r>
          </w:p>
        </w:tc>
        <w:tc>
          <w:tcPr>
            <w:tcW w:w="10045"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rPr>
                <w:rFonts w:hint="eastAsia"/>
                <w:strike/>
                <w:dstrike w:val="0"/>
                <w:color w:val="000000"/>
                <w:szCs w:val="21"/>
                <w:highlight w:val="none"/>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tc>
        <w:tc>
          <w:tcPr>
            <w:tcW w:w="2478" w:type="dxa"/>
            <w:vMerge w:val="continue"/>
            <w:vAlign w:val="center"/>
          </w:tcPr>
          <w:p>
            <w:pPr>
              <w:rPr>
                <w:highlight w:val="none"/>
              </w:rPr>
            </w:pPr>
          </w:p>
        </w:tc>
      </w:tr>
    </w:tbl>
    <w:p>
      <w:pPr>
        <w:widowControl/>
        <w:jc w:val="left"/>
        <w:rPr>
          <w:color w:val="000000"/>
          <w:szCs w:val="21"/>
        </w:rPr>
      </w:pPr>
      <w:r>
        <w:rPr>
          <w:color w:val="000000"/>
          <w:szCs w:val="21"/>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980"/>
        <w:gridCol w:w="974"/>
        <w:gridCol w:w="977"/>
        <w:gridCol w:w="974"/>
        <w:gridCol w:w="996"/>
        <w:gridCol w:w="1782"/>
        <w:gridCol w:w="1125"/>
        <w:gridCol w:w="1452"/>
        <w:gridCol w:w="46"/>
        <w:gridCol w:w="1649"/>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Merge w:val="restart"/>
            <w:vAlign w:val="center"/>
          </w:tcPr>
          <w:p>
            <w:pPr>
              <w:widowControl/>
              <w:jc w:val="center"/>
              <w:rPr>
                <w:b/>
                <w:color w:val="000000"/>
                <w:kern w:val="0"/>
                <w:szCs w:val="21"/>
                <w:highlight w:val="none"/>
              </w:rPr>
            </w:pPr>
            <w:r>
              <w:rPr>
                <w:color w:val="000000"/>
                <w:szCs w:val="21"/>
                <w:highlight w:val="none"/>
              </w:rPr>
              <w:br w:type="page"/>
            </w:r>
            <w:r>
              <w:rPr>
                <w:rFonts w:hint="eastAsia"/>
                <w:b/>
                <w:color w:val="000000"/>
                <w:kern w:val="0"/>
                <w:szCs w:val="21"/>
                <w:highlight w:val="none"/>
              </w:rPr>
              <w:t>环境管控单元编码</w:t>
            </w:r>
          </w:p>
        </w:tc>
        <w:tc>
          <w:tcPr>
            <w:tcW w:w="954"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2840"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977"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1718" w:type="dxa"/>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1089"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409"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1750" w:type="dxa"/>
            <w:gridSpan w:val="2"/>
            <w:vMerge w:val="restart"/>
            <w:vAlign w:val="center"/>
          </w:tcPr>
          <w:p>
            <w:pPr>
              <w:jc w:val="center"/>
              <w:rPr>
                <w:b/>
                <w:color w:val="000000"/>
                <w:kern w:val="0"/>
                <w:szCs w:val="21"/>
                <w:highlight w:val="none"/>
              </w:rPr>
            </w:pPr>
            <w:r>
              <w:rPr>
                <w:rFonts w:hint="eastAsia"/>
                <w:b/>
                <w:color w:val="000000"/>
                <w:kern w:val="0"/>
                <w:szCs w:val="21"/>
                <w:highlight w:val="none"/>
                <w:lang w:val="en-US" w:eastAsia="zh-CN"/>
              </w:rPr>
              <w:t>①</w:t>
            </w:r>
            <w:r>
              <w:rPr>
                <w:rFonts w:hint="eastAsia"/>
                <w:b/>
                <w:color w:val="000000"/>
                <w:kern w:val="0"/>
                <w:szCs w:val="21"/>
                <w:highlight w:val="none"/>
              </w:rPr>
              <w:t>经济产业布局</w:t>
            </w:r>
          </w:p>
        </w:tc>
        <w:tc>
          <w:tcPr>
            <w:tcW w:w="2311" w:type="dxa"/>
            <w:vMerge w:val="restart"/>
            <w:vAlign w:val="center"/>
          </w:tcPr>
          <w:p>
            <w:pPr>
              <w:jc w:val="center"/>
              <w:rPr>
                <w:b/>
                <w:color w:val="000000"/>
                <w:kern w:val="0"/>
                <w:szCs w:val="21"/>
                <w:highlight w:val="none"/>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jc w:val="center"/>
        </w:trPr>
        <w:tc>
          <w:tcPr>
            <w:tcW w:w="0" w:type="auto"/>
            <w:vMerge w:val="continue"/>
            <w:vAlign w:val="center"/>
          </w:tcPr>
          <w:p>
            <w:pPr>
              <w:rPr>
                <w:highlight w:val="none"/>
              </w:rPr>
            </w:pPr>
          </w:p>
        </w:tc>
        <w:tc>
          <w:tcPr>
            <w:tcW w:w="954" w:type="dxa"/>
            <w:vMerge w:val="continue"/>
            <w:vAlign w:val="center"/>
          </w:tcPr>
          <w:p>
            <w:pPr>
              <w:rPr>
                <w:highlight w:val="none"/>
              </w:rPr>
            </w:pPr>
          </w:p>
        </w:tc>
        <w:tc>
          <w:tcPr>
            <w:tcW w:w="945" w:type="dxa"/>
            <w:vAlign w:val="center"/>
          </w:tcPr>
          <w:p>
            <w:pPr>
              <w:jc w:val="center"/>
              <w:rPr>
                <w:b/>
                <w:color w:val="000000"/>
                <w:szCs w:val="21"/>
                <w:highlight w:val="none"/>
              </w:rPr>
            </w:pPr>
            <w:r>
              <w:rPr>
                <w:rFonts w:hint="eastAsia"/>
                <w:b/>
                <w:color w:val="000000"/>
                <w:szCs w:val="21"/>
                <w:highlight w:val="none"/>
              </w:rPr>
              <w:t>省</w:t>
            </w:r>
          </w:p>
        </w:tc>
        <w:tc>
          <w:tcPr>
            <w:tcW w:w="950" w:type="dxa"/>
            <w:vAlign w:val="center"/>
          </w:tcPr>
          <w:p>
            <w:pPr>
              <w:jc w:val="center"/>
              <w:rPr>
                <w:b/>
                <w:color w:val="000000"/>
                <w:szCs w:val="21"/>
                <w:highlight w:val="none"/>
              </w:rPr>
            </w:pPr>
            <w:r>
              <w:rPr>
                <w:rFonts w:hint="eastAsia"/>
                <w:b/>
                <w:color w:val="000000"/>
                <w:szCs w:val="21"/>
                <w:highlight w:val="none"/>
              </w:rPr>
              <w:t>市</w:t>
            </w:r>
          </w:p>
        </w:tc>
        <w:tc>
          <w:tcPr>
            <w:tcW w:w="945" w:type="dxa"/>
            <w:vAlign w:val="center"/>
          </w:tcPr>
          <w:p>
            <w:pPr>
              <w:jc w:val="center"/>
              <w:rPr>
                <w:b/>
                <w:color w:val="000000"/>
                <w:szCs w:val="21"/>
                <w:highlight w:val="none"/>
              </w:rPr>
            </w:pPr>
            <w:r>
              <w:rPr>
                <w:rFonts w:hint="eastAsia"/>
                <w:b/>
                <w:color w:val="000000"/>
                <w:szCs w:val="21"/>
                <w:highlight w:val="none"/>
              </w:rPr>
              <w:t>县</w:t>
            </w:r>
          </w:p>
        </w:tc>
        <w:tc>
          <w:tcPr>
            <w:tcW w:w="977" w:type="dxa"/>
            <w:vMerge w:val="continue"/>
            <w:vAlign w:val="center"/>
          </w:tcPr>
          <w:p>
            <w:pPr>
              <w:rPr>
                <w:highlight w:val="none"/>
              </w:rPr>
            </w:pPr>
          </w:p>
        </w:tc>
        <w:tc>
          <w:tcPr>
            <w:tcW w:w="1718" w:type="dxa"/>
            <w:vMerge w:val="continue"/>
            <w:vAlign w:val="center"/>
          </w:tcPr>
          <w:p>
            <w:pPr>
              <w:rPr>
                <w:highlight w:val="none"/>
              </w:rPr>
            </w:pPr>
          </w:p>
        </w:tc>
        <w:tc>
          <w:tcPr>
            <w:tcW w:w="1089" w:type="dxa"/>
            <w:vMerge w:val="continue"/>
            <w:vAlign w:val="center"/>
          </w:tcPr>
          <w:p>
            <w:pPr>
              <w:rPr>
                <w:highlight w:val="none"/>
              </w:rPr>
            </w:pPr>
          </w:p>
        </w:tc>
        <w:tc>
          <w:tcPr>
            <w:tcW w:w="1409" w:type="dxa"/>
            <w:vMerge w:val="continue"/>
            <w:vAlign w:val="center"/>
          </w:tcPr>
          <w:p>
            <w:pPr>
              <w:rPr>
                <w:highlight w:val="none"/>
              </w:rPr>
            </w:pPr>
          </w:p>
        </w:tc>
        <w:tc>
          <w:tcPr>
            <w:tcW w:w="1750" w:type="dxa"/>
            <w:gridSpan w:val="2"/>
            <w:vMerge w:val="continue"/>
            <w:vAlign w:val="center"/>
          </w:tcPr>
          <w:p>
            <w:pPr>
              <w:rPr>
                <w:highlight w:val="none"/>
              </w:rPr>
            </w:pPr>
          </w:p>
        </w:tc>
        <w:tc>
          <w:tcPr>
            <w:tcW w:w="2311"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0" w:type="auto"/>
            <w:vAlign w:val="center"/>
          </w:tcPr>
          <w:p>
            <w:pPr>
              <w:jc w:val="center"/>
              <w:rPr>
                <w:color w:val="000000"/>
                <w:szCs w:val="21"/>
                <w:highlight w:val="none"/>
              </w:rPr>
            </w:pPr>
            <w:r>
              <w:rPr>
                <w:color w:val="000000"/>
                <w:szCs w:val="21"/>
                <w:highlight w:val="none"/>
              </w:rPr>
              <w:t>ZH430525</w:t>
            </w:r>
          </w:p>
          <w:p>
            <w:pPr>
              <w:jc w:val="center"/>
              <w:rPr>
                <w:color w:val="000000"/>
                <w:szCs w:val="21"/>
                <w:highlight w:val="none"/>
              </w:rPr>
            </w:pPr>
            <w:r>
              <w:rPr>
                <w:color w:val="000000"/>
                <w:szCs w:val="21"/>
                <w:highlight w:val="none"/>
              </w:rPr>
              <w:t>20001</w:t>
            </w:r>
          </w:p>
        </w:tc>
        <w:tc>
          <w:tcPr>
            <w:tcW w:w="954" w:type="dxa"/>
            <w:vAlign w:val="center"/>
          </w:tcPr>
          <w:p>
            <w:pPr>
              <w:jc w:val="center"/>
              <w:rPr>
                <w:color w:val="000000"/>
                <w:szCs w:val="21"/>
                <w:highlight w:val="none"/>
              </w:rPr>
            </w:pPr>
            <w:r>
              <w:rPr>
                <w:rFonts w:hint="eastAsia"/>
                <w:color w:val="000000"/>
                <w:szCs w:val="21"/>
                <w:highlight w:val="none"/>
              </w:rPr>
              <w:t>高沙镇</w:t>
            </w:r>
            <w:r>
              <w:rPr>
                <w:rFonts w:hint="eastAsia"/>
                <w:color w:val="000000"/>
                <w:szCs w:val="21"/>
                <w:highlight w:val="none"/>
                <w:lang w:eastAsia="zh-CN"/>
              </w:rPr>
              <w:t>/</w:t>
            </w:r>
            <w:r>
              <w:rPr>
                <w:rFonts w:hint="eastAsia"/>
                <w:color w:val="000000"/>
                <w:szCs w:val="21"/>
                <w:highlight w:val="none"/>
              </w:rPr>
              <w:t>黄桥镇</w:t>
            </w:r>
            <w:r>
              <w:rPr>
                <w:rFonts w:hint="eastAsia"/>
                <w:color w:val="000000"/>
                <w:szCs w:val="21"/>
                <w:highlight w:val="none"/>
                <w:lang w:eastAsia="zh-CN"/>
              </w:rPr>
              <w:t>/</w:t>
            </w:r>
            <w:r>
              <w:rPr>
                <w:rFonts w:hint="eastAsia"/>
                <w:color w:val="000000"/>
                <w:szCs w:val="21"/>
                <w:highlight w:val="none"/>
              </w:rPr>
              <w:t>杨林镇</w:t>
            </w:r>
            <w:r>
              <w:rPr>
                <w:rFonts w:hint="eastAsia"/>
                <w:color w:val="000000"/>
                <w:szCs w:val="21"/>
                <w:highlight w:val="none"/>
                <w:lang w:eastAsia="zh-CN"/>
              </w:rPr>
              <w:t>/</w:t>
            </w:r>
            <w:r>
              <w:rPr>
                <w:rFonts w:hint="eastAsia"/>
                <w:color w:val="000000"/>
                <w:szCs w:val="21"/>
                <w:highlight w:val="none"/>
              </w:rPr>
              <w:t>竹市镇</w:t>
            </w:r>
          </w:p>
        </w:tc>
        <w:tc>
          <w:tcPr>
            <w:tcW w:w="945" w:type="dxa"/>
            <w:vAlign w:val="center"/>
          </w:tcPr>
          <w:p>
            <w:pPr>
              <w:jc w:val="center"/>
              <w:rPr>
                <w:color w:val="000000"/>
                <w:szCs w:val="21"/>
                <w:highlight w:val="none"/>
              </w:rPr>
            </w:pPr>
            <w:r>
              <w:rPr>
                <w:rFonts w:hint="eastAsia"/>
                <w:color w:val="000000"/>
                <w:szCs w:val="21"/>
                <w:highlight w:val="none"/>
              </w:rPr>
              <w:t>湖南省</w:t>
            </w:r>
          </w:p>
        </w:tc>
        <w:tc>
          <w:tcPr>
            <w:tcW w:w="950" w:type="dxa"/>
            <w:vAlign w:val="center"/>
          </w:tcPr>
          <w:p>
            <w:pPr>
              <w:jc w:val="center"/>
              <w:rPr>
                <w:color w:val="000000"/>
                <w:szCs w:val="21"/>
                <w:highlight w:val="none"/>
              </w:rPr>
            </w:pPr>
            <w:r>
              <w:rPr>
                <w:rFonts w:hint="eastAsia"/>
                <w:color w:val="000000"/>
                <w:szCs w:val="21"/>
                <w:highlight w:val="none"/>
              </w:rPr>
              <w:t>邵阳市</w:t>
            </w:r>
          </w:p>
        </w:tc>
        <w:tc>
          <w:tcPr>
            <w:tcW w:w="945" w:type="dxa"/>
            <w:vAlign w:val="center"/>
          </w:tcPr>
          <w:p>
            <w:pPr>
              <w:jc w:val="center"/>
              <w:rPr>
                <w:color w:val="000000"/>
                <w:szCs w:val="21"/>
                <w:highlight w:val="none"/>
              </w:rPr>
            </w:pPr>
            <w:r>
              <w:rPr>
                <w:rFonts w:hint="eastAsia"/>
                <w:color w:val="000000"/>
                <w:szCs w:val="21"/>
                <w:highlight w:val="none"/>
              </w:rPr>
              <w:t>洞口县</w:t>
            </w:r>
          </w:p>
        </w:tc>
        <w:tc>
          <w:tcPr>
            <w:tcW w:w="977" w:type="dxa"/>
            <w:vAlign w:val="center"/>
          </w:tcPr>
          <w:p>
            <w:pPr>
              <w:jc w:val="center"/>
              <w:rPr>
                <w:color w:val="000000"/>
                <w:szCs w:val="21"/>
                <w:highlight w:val="none"/>
              </w:rPr>
            </w:pPr>
            <w:r>
              <w:rPr>
                <w:rFonts w:hint="eastAsia"/>
                <w:color w:val="000000"/>
                <w:szCs w:val="21"/>
                <w:highlight w:val="none"/>
              </w:rPr>
              <w:t>重点管控单元</w:t>
            </w:r>
          </w:p>
        </w:tc>
        <w:tc>
          <w:tcPr>
            <w:tcW w:w="1718" w:type="dxa"/>
            <w:vAlign w:val="center"/>
          </w:tcPr>
          <w:p>
            <w:pPr>
              <w:jc w:val="center"/>
              <w:rPr>
                <w:rFonts w:hint="default" w:eastAsia="宋体"/>
                <w:strike/>
                <w:dstrike w:val="0"/>
                <w:color w:val="000000"/>
                <w:szCs w:val="21"/>
                <w:highlight w:val="none"/>
                <w:lang w:val="en-US" w:eastAsia="zh-CN"/>
              </w:rPr>
            </w:pPr>
            <w:r>
              <w:rPr>
                <w:rFonts w:hint="eastAsia"/>
                <w:strike w:val="0"/>
                <w:dstrike w:val="0"/>
                <w:color w:val="000000"/>
                <w:szCs w:val="21"/>
                <w:highlight w:val="none"/>
              </w:rPr>
              <w:t>480.</w:t>
            </w:r>
            <w:r>
              <w:rPr>
                <w:rFonts w:hint="eastAsia"/>
                <w:strike w:val="0"/>
                <w:dstrike w:val="0"/>
                <w:color w:val="000000"/>
                <w:szCs w:val="21"/>
                <w:highlight w:val="none"/>
                <w:lang w:val="en-US" w:eastAsia="zh-CN"/>
              </w:rPr>
              <w:t>07</w:t>
            </w:r>
          </w:p>
        </w:tc>
        <w:tc>
          <w:tcPr>
            <w:tcW w:w="1089" w:type="dxa"/>
            <w:vAlign w:val="center"/>
          </w:tcPr>
          <w:p>
            <w:pPr>
              <w:jc w:val="center"/>
              <w:rPr>
                <w:color w:val="000000"/>
                <w:szCs w:val="21"/>
                <w:highlight w:val="none"/>
              </w:rPr>
            </w:pPr>
            <w:r>
              <w:rPr>
                <w:rFonts w:hint="eastAsia"/>
                <w:color w:val="000000"/>
                <w:szCs w:val="21"/>
                <w:highlight w:val="none"/>
              </w:rPr>
              <w:t>高沙镇</w:t>
            </w:r>
            <w:r>
              <w:rPr>
                <w:rFonts w:hint="eastAsia"/>
                <w:color w:val="000000"/>
                <w:szCs w:val="21"/>
                <w:highlight w:val="none"/>
                <w:lang w:eastAsia="zh-CN"/>
              </w:rPr>
              <w:t>/</w:t>
            </w:r>
            <w:r>
              <w:rPr>
                <w:rFonts w:hint="eastAsia"/>
                <w:color w:val="000000"/>
                <w:szCs w:val="21"/>
                <w:highlight w:val="none"/>
              </w:rPr>
              <w:t>黄桥镇</w:t>
            </w:r>
            <w:r>
              <w:rPr>
                <w:rFonts w:hint="eastAsia"/>
                <w:color w:val="000000"/>
                <w:szCs w:val="21"/>
                <w:highlight w:val="none"/>
                <w:lang w:eastAsia="zh-CN"/>
              </w:rPr>
              <w:t>/</w:t>
            </w:r>
            <w:r>
              <w:rPr>
                <w:rFonts w:hint="eastAsia"/>
                <w:color w:val="000000"/>
                <w:szCs w:val="21"/>
                <w:highlight w:val="none"/>
              </w:rPr>
              <w:t>杨林镇</w:t>
            </w:r>
            <w:r>
              <w:rPr>
                <w:rFonts w:hint="eastAsia"/>
                <w:color w:val="000000"/>
                <w:szCs w:val="21"/>
                <w:highlight w:val="none"/>
                <w:lang w:eastAsia="zh-CN"/>
              </w:rPr>
              <w:t>/</w:t>
            </w:r>
            <w:r>
              <w:rPr>
                <w:rFonts w:hint="eastAsia"/>
                <w:color w:val="000000"/>
                <w:szCs w:val="21"/>
                <w:highlight w:val="none"/>
              </w:rPr>
              <w:t>竹市镇</w:t>
            </w:r>
          </w:p>
        </w:tc>
        <w:tc>
          <w:tcPr>
            <w:tcW w:w="1409" w:type="dxa"/>
            <w:vAlign w:val="center"/>
          </w:tcPr>
          <w:p>
            <w:pPr>
              <w:jc w:val="center"/>
              <w:rPr>
                <w:rFonts w:hint="eastAsia" w:eastAsia="宋体"/>
                <w:b/>
                <w:bCs/>
                <w:color w:val="000000"/>
                <w:szCs w:val="21"/>
                <w:highlight w:val="none"/>
                <w:lang w:eastAsia="zh-CN"/>
              </w:rPr>
            </w:pPr>
            <w:r>
              <w:rPr>
                <w:rFonts w:hint="eastAsia"/>
                <w:b/>
                <w:bCs/>
                <w:color w:val="000000"/>
                <w:szCs w:val="21"/>
                <w:highlight w:val="none"/>
              </w:rPr>
              <w:t>高沙镇</w:t>
            </w:r>
            <w:r>
              <w:rPr>
                <w:rFonts w:hint="eastAsia"/>
                <w:b/>
                <w:bCs/>
                <w:color w:val="000000"/>
                <w:szCs w:val="21"/>
                <w:highlight w:val="none"/>
                <w:lang w:eastAsia="zh-CN"/>
              </w:rPr>
              <w:t>：</w:t>
            </w:r>
            <w:r>
              <w:rPr>
                <w:rFonts w:hint="eastAsia"/>
                <w:b w:val="0"/>
                <w:bCs w:val="0"/>
                <w:color w:val="000000"/>
                <w:szCs w:val="21"/>
                <w:highlight w:val="none"/>
                <w:lang w:val="en-US" w:eastAsia="zh-CN"/>
              </w:rPr>
              <w:t>农产品主产区/历史文化资源富集区/宜开发矿产资源富集区/</w:t>
            </w:r>
          </w:p>
          <w:p>
            <w:pPr>
              <w:jc w:val="center"/>
              <w:rPr>
                <w:rFonts w:hint="eastAsia" w:eastAsia="宋体"/>
                <w:b/>
                <w:bCs/>
                <w:color w:val="000000"/>
                <w:szCs w:val="21"/>
                <w:highlight w:val="none"/>
                <w:lang w:eastAsia="zh-CN"/>
              </w:rPr>
            </w:pPr>
            <w:r>
              <w:rPr>
                <w:rFonts w:hint="eastAsia"/>
                <w:b/>
                <w:bCs/>
                <w:color w:val="000000"/>
                <w:szCs w:val="21"/>
                <w:highlight w:val="none"/>
              </w:rPr>
              <w:t>黄桥镇</w:t>
            </w:r>
            <w:r>
              <w:rPr>
                <w:rFonts w:hint="eastAsia"/>
                <w:b/>
                <w:bCs/>
                <w:color w:val="000000"/>
                <w:szCs w:val="21"/>
                <w:highlight w:val="none"/>
                <w:lang w:eastAsia="zh-CN"/>
              </w:rPr>
              <w:t>：</w:t>
            </w:r>
            <w:r>
              <w:rPr>
                <w:rFonts w:hint="eastAsia"/>
                <w:b w:val="0"/>
                <w:bCs w:val="0"/>
                <w:color w:val="000000"/>
                <w:szCs w:val="21"/>
                <w:highlight w:val="none"/>
                <w:lang w:val="en-US" w:eastAsia="zh-CN"/>
              </w:rPr>
              <w:t>矿区/农产品主产区/自然保护生态区/历史文化资源富集区/宜开发矿产资源富集区</w:t>
            </w:r>
          </w:p>
          <w:p>
            <w:pPr>
              <w:jc w:val="both"/>
              <w:rPr>
                <w:rFonts w:hint="eastAsia" w:eastAsia="宋体"/>
                <w:b/>
                <w:bCs/>
                <w:color w:val="000000"/>
                <w:szCs w:val="21"/>
                <w:highlight w:val="none"/>
                <w:lang w:eastAsia="zh-CN"/>
              </w:rPr>
            </w:pPr>
            <w:r>
              <w:rPr>
                <w:rFonts w:hint="eastAsia"/>
                <w:b/>
                <w:bCs/>
                <w:color w:val="000000"/>
                <w:szCs w:val="21"/>
                <w:highlight w:val="none"/>
              </w:rPr>
              <w:t>杨林镇</w:t>
            </w:r>
            <w:r>
              <w:rPr>
                <w:rFonts w:hint="eastAsia"/>
                <w:b/>
                <w:bCs/>
                <w:color w:val="000000"/>
                <w:szCs w:val="21"/>
                <w:highlight w:val="none"/>
                <w:lang w:eastAsia="zh-CN"/>
              </w:rPr>
              <w:t>：</w:t>
            </w:r>
            <w:r>
              <w:rPr>
                <w:rFonts w:hint="eastAsia"/>
                <w:b w:val="0"/>
                <w:bCs w:val="0"/>
                <w:color w:val="000000"/>
                <w:szCs w:val="21"/>
                <w:highlight w:val="none"/>
                <w:lang w:val="en-US" w:eastAsia="zh-CN"/>
              </w:rPr>
              <w:t>农产品主产区/重要文化与景观功能区</w:t>
            </w:r>
          </w:p>
          <w:p>
            <w:pPr>
              <w:jc w:val="center"/>
              <w:rPr>
                <w:rFonts w:hint="eastAsia"/>
                <w:b/>
                <w:bCs/>
                <w:color w:val="000000"/>
                <w:szCs w:val="21"/>
                <w:highlight w:val="none"/>
                <w:lang w:eastAsia="zh-CN"/>
              </w:rPr>
            </w:pPr>
            <w:r>
              <w:rPr>
                <w:rFonts w:hint="eastAsia"/>
                <w:b/>
                <w:bCs/>
                <w:color w:val="000000"/>
                <w:szCs w:val="21"/>
                <w:highlight w:val="none"/>
              </w:rPr>
              <w:t>竹市镇</w:t>
            </w:r>
            <w:r>
              <w:rPr>
                <w:rFonts w:hint="eastAsia"/>
                <w:b/>
                <w:bCs/>
                <w:color w:val="000000"/>
                <w:szCs w:val="21"/>
                <w:highlight w:val="none"/>
                <w:lang w:eastAsia="zh-CN"/>
              </w:rPr>
              <w:t>：</w:t>
            </w:r>
          </w:p>
          <w:p>
            <w:pPr>
              <w:jc w:val="center"/>
              <w:rPr>
                <w:rFonts w:hint="eastAsia"/>
                <w:b/>
                <w:bCs/>
                <w:color w:val="000000"/>
                <w:szCs w:val="21"/>
                <w:highlight w:val="none"/>
                <w:lang w:eastAsia="zh-CN"/>
              </w:rPr>
            </w:pPr>
            <w:r>
              <w:rPr>
                <w:rFonts w:hint="eastAsia"/>
                <w:b w:val="0"/>
                <w:bCs w:val="0"/>
                <w:color w:val="000000"/>
                <w:szCs w:val="21"/>
                <w:highlight w:val="none"/>
                <w:lang w:val="en-US" w:eastAsia="zh-CN"/>
              </w:rPr>
              <w:t>农产品主产区/自然保护生态区/历史文化资源富集区</w:t>
            </w:r>
          </w:p>
        </w:tc>
        <w:tc>
          <w:tcPr>
            <w:tcW w:w="1750" w:type="dxa"/>
            <w:gridSpan w:val="2"/>
            <w:vAlign w:val="center"/>
          </w:tcPr>
          <w:p>
            <w:pPr>
              <w:widowControl/>
              <w:jc w:val="center"/>
              <w:rPr>
                <w:rFonts w:hint="default"/>
                <w:b/>
                <w:bCs/>
                <w:color w:val="000000"/>
                <w:szCs w:val="21"/>
                <w:highlight w:val="none"/>
                <w:lang w:val="en-US" w:eastAsia="zh-CN"/>
              </w:rPr>
            </w:pPr>
            <w:r>
              <w:rPr>
                <w:rFonts w:hint="eastAsia"/>
                <w:b/>
                <w:bCs/>
                <w:color w:val="000000"/>
                <w:szCs w:val="21"/>
                <w:highlight w:val="none"/>
              </w:rPr>
              <w:t>高沙镇</w:t>
            </w:r>
            <w:r>
              <w:rPr>
                <w:rFonts w:hint="eastAsia"/>
                <w:b/>
                <w:bCs/>
                <w:color w:val="000000"/>
                <w:szCs w:val="21"/>
                <w:highlight w:val="none"/>
                <w:lang w:eastAsia="zh-CN"/>
              </w:rPr>
              <w:t>：</w:t>
            </w:r>
            <w:r>
              <w:rPr>
                <w:rFonts w:hint="eastAsia"/>
                <w:strike w:val="0"/>
                <w:dstrike w:val="0"/>
                <w:color w:val="000000"/>
                <w:kern w:val="0"/>
                <w:szCs w:val="21"/>
                <w:highlight w:val="none"/>
              </w:rPr>
              <w:t>农业种植、畜禽养殖、农副产品加工、食品加工、屠宰、建材、非金属矿物制品业、矿山开采、电子设备制造、旅游开发及旅游产品加工、社会事业、再生资源利用行业</w:t>
            </w:r>
          </w:p>
          <w:p>
            <w:pPr>
              <w:widowControl/>
              <w:jc w:val="both"/>
              <w:rPr>
                <w:rFonts w:hint="default"/>
                <w:b/>
                <w:bCs/>
                <w:color w:val="000000"/>
                <w:szCs w:val="21"/>
                <w:highlight w:val="none"/>
                <w:lang w:val="en-US" w:eastAsia="zh-CN"/>
              </w:rPr>
            </w:pPr>
            <w:r>
              <w:rPr>
                <w:rFonts w:hint="eastAsia"/>
                <w:b/>
                <w:bCs/>
                <w:color w:val="000000"/>
                <w:szCs w:val="21"/>
                <w:highlight w:val="none"/>
              </w:rPr>
              <w:t>黄桥镇</w:t>
            </w:r>
            <w:r>
              <w:rPr>
                <w:rFonts w:hint="eastAsia"/>
                <w:b/>
                <w:bCs/>
                <w:color w:val="000000"/>
                <w:szCs w:val="21"/>
                <w:highlight w:val="none"/>
                <w:lang w:eastAsia="zh-CN"/>
              </w:rPr>
              <w:t>：</w:t>
            </w:r>
            <w:r>
              <w:rPr>
                <w:rFonts w:hint="eastAsia"/>
                <w:strike w:val="0"/>
                <w:dstrike w:val="0"/>
                <w:color w:val="000000"/>
                <w:kern w:val="0"/>
                <w:szCs w:val="21"/>
                <w:highlight w:val="none"/>
              </w:rPr>
              <w:t>农业种植、畜禽养殖、农副产品加工、食品加工、屠宰、建材、非金属矿物制品业、矿山开采、电子设备制造、旅游开发及旅游产品加工、社会事业、再生资源利用行业</w:t>
            </w:r>
          </w:p>
          <w:p>
            <w:pPr>
              <w:widowControl/>
              <w:jc w:val="both"/>
              <w:rPr>
                <w:rFonts w:hint="default"/>
                <w:b/>
                <w:bCs/>
                <w:color w:val="000000"/>
                <w:szCs w:val="21"/>
                <w:highlight w:val="none"/>
                <w:lang w:val="en-US" w:eastAsia="zh-CN"/>
              </w:rPr>
            </w:pPr>
            <w:r>
              <w:rPr>
                <w:rFonts w:hint="eastAsia"/>
                <w:b/>
                <w:bCs/>
                <w:color w:val="000000"/>
                <w:szCs w:val="21"/>
                <w:highlight w:val="none"/>
              </w:rPr>
              <w:t>杨林镇</w:t>
            </w:r>
            <w:r>
              <w:rPr>
                <w:rFonts w:hint="eastAsia"/>
                <w:b/>
                <w:bCs/>
                <w:color w:val="000000"/>
                <w:szCs w:val="21"/>
                <w:highlight w:val="none"/>
                <w:lang w:eastAsia="zh-CN"/>
              </w:rPr>
              <w:t>：</w:t>
            </w:r>
            <w:r>
              <w:rPr>
                <w:rFonts w:hint="eastAsia"/>
                <w:strike w:val="0"/>
                <w:dstrike w:val="0"/>
                <w:color w:val="000000"/>
                <w:kern w:val="0"/>
                <w:szCs w:val="21"/>
                <w:highlight w:val="none"/>
              </w:rPr>
              <w:t>农业种植、畜禽养殖、农副产品加工、食品加工、屠宰、建材、非金属矿物制品业、矿山开采、电子设备制造、旅游开发及旅游产品加工、社会事业、再生资源利用行业</w:t>
            </w:r>
          </w:p>
          <w:p>
            <w:pPr>
              <w:widowControl/>
              <w:jc w:val="both"/>
              <w:rPr>
                <w:rFonts w:hint="eastAsia"/>
                <w:b/>
                <w:bCs/>
                <w:color w:val="000000"/>
                <w:szCs w:val="21"/>
                <w:highlight w:val="none"/>
                <w:lang w:eastAsia="zh-CN"/>
              </w:rPr>
            </w:pPr>
            <w:r>
              <w:rPr>
                <w:rFonts w:hint="eastAsia"/>
                <w:b/>
                <w:bCs/>
                <w:color w:val="000000"/>
                <w:szCs w:val="21"/>
                <w:highlight w:val="none"/>
              </w:rPr>
              <w:t>竹市镇</w:t>
            </w:r>
            <w:r>
              <w:rPr>
                <w:rFonts w:hint="eastAsia"/>
                <w:b/>
                <w:bCs/>
                <w:color w:val="000000"/>
                <w:szCs w:val="21"/>
                <w:highlight w:val="none"/>
                <w:lang w:eastAsia="zh-CN"/>
              </w:rPr>
              <w:t>：</w:t>
            </w:r>
            <w:r>
              <w:rPr>
                <w:rFonts w:hint="eastAsia"/>
                <w:strike w:val="0"/>
                <w:dstrike w:val="0"/>
                <w:color w:val="000000"/>
                <w:kern w:val="0"/>
                <w:szCs w:val="21"/>
                <w:highlight w:val="none"/>
              </w:rPr>
              <w:t>农业种植、畜禽养殖、农副产品加工、食品加工、屠宰、建材、非金属矿物制品业、矿山开采、电子设备制造、旅游开发及旅游产品加工、社会事业、再生资源利用行业</w:t>
            </w:r>
          </w:p>
        </w:tc>
        <w:tc>
          <w:tcPr>
            <w:tcW w:w="2311" w:type="dxa"/>
            <w:vAlign w:val="center"/>
          </w:tcPr>
          <w:p>
            <w:pPr>
              <w:widowControl/>
              <w:rPr>
                <w:rFonts w:hint="eastAsia"/>
                <w:b/>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default"/>
                <w:b/>
                <w:bCs/>
                <w:color w:val="000000"/>
                <w:szCs w:val="21"/>
                <w:highlight w:val="none"/>
                <w:lang w:val="en-US" w:eastAsia="zh-CN"/>
              </w:rPr>
            </w:pPr>
            <w:r>
              <w:rPr>
                <w:rFonts w:hint="eastAsia"/>
                <w:b/>
                <w:bCs/>
                <w:color w:val="000000"/>
                <w:szCs w:val="21"/>
                <w:highlight w:val="none"/>
              </w:rPr>
              <w:t>高沙镇</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jc w:val="both"/>
              <w:rPr>
                <w:rFonts w:hint="default"/>
                <w:b/>
                <w:bCs/>
                <w:color w:val="000000"/>
                <w:szCs w:val="21"/>
                <w:highlight w:val="none"/>
                <w:lang w:val="en-US" w:eastAsia="zh-CN"/>
              </w:rPr>
            </w:pPr>
            <w:r>
              <w:rPr>
                <w:rFonts w:hint="eastAsia"/>
                <w:b/>
                <w:bCs/>
                <w:color w:val="000000"/>
                <w:szCs w:val="21"/>
                <w:highlight w:val="none"/>
              </w:rPr>
              <w:t>黄桥镇</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jc w:val="both"/>
              <w:rPr>
                <w:rFonts w:hint="default"/>
                <w:b/>
                <w:bCs/>
                <w:color w:val="000000"/>
                <w:szCs w:val="21"/>
                <w:highlight w:val="none"/>
                <w:lang w:val="en-US" w:eastAsia="zh-CN"/>
              </w:rPr>
            </w:pPr>
            <w:r>
              <w:rPr>
                <w:rFonts w:hint="eastAsia"/>
                <w:b/>
                <w:bCs/>
                <w:color w:val="000000"/>
                <w:szCs w:val="21"/>
                <w:highlight w:val="none"/>
              </w:rPr>
              <w:t>杨林镇</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jc w:val="both"/>
              <w:rPr>
                <w:rFonts w:hint="eastAsia"/>
                <w:b/>
                <w:color w:val="000000"/>
                <w:kern w:val="0"/>
                <w:szCs w:val="21"/>
                <w:highlight w:val="none"/>
                <w:lang w:eastAsia="zh-CN"/>
              </w:rPr>
            </w:pPr>
            <w:r>
              <w:rPr>
                <w:rFonts w:hint="eastAsia"/>
                <w:b/>
                <w:bCs/>
                <w:color w:val="000000"/>
                <w:szCs w:val="21"/>
                <w:highlight w:val="none"/>
              </w:rPr>
              <w:t>竹市镇</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jc w:val="both"/>
              <w:rPr>
                <w:rFonts w:hint="eastAsia"/>
                <w:b/>
                <w:color w:val="000000"/>
                <w:kern w:val="0"/>
                <w:szCs w:val="21"/>
                <w:highlight w:val="none"/>
                <w:lang w:val="en-US" w:eastAsia="zh-CN"/>
              </w:rPr>
            </w:pPr>
            <w:r>
              <w:rPr>
                <w:rFonts w:hint="eastAsia"/>
                <w:b/>
                <w:color w:val="000000"/>
                <w:kern w:val="0"/>
                <w:szCs w:val="21"/>
                <w:highlight w:val="none"/>
                <w:lang w:val="en-US" w:eastAsia="zh-CN"/>
              </w:rPr>
              <w:t>竹市镇：</w:t>
            </w:r>
            <w:r>
              <w:rPr>
                <w:rFonts w:hint="eastAsia"/>
                <w:strike w:val="0"/>
                <w:dstrike w:val="0"/>
                <w:kern w:val="0"/>
                <w:szCs w:val="21"/>
                <w:highlight w:val="none"/>
                <w:lang w:val="en-US" w:eastAsia="zh-CN"/>
              </w:rPr>
              <w:t>湖南洞口平溪江国家级湿地公园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0" w:type="auto"/>
            <w:gridSpan w:val="11"/>
            <w:vAlign w:val="center"/>
          </w:tcPr>
          <w:p>
            <w:pPr>
              <w:jc w:val="both"/>
              <w:rPr>
                <w:rFonts w:hint="eastAsia"/>
                <w:b/>
                <w:bCs/>
                <w:color w:val="000000"/>
                <w:szCs w:val="21"/>
                <w:highlight w:val="none"/>
                <w:lang w:eastAsia="zh-CN"/>
              </w:rPr>
            </w:pPr>
            <w:r>
              <w:rPr>
                <w:rFonts w:hint="eastAsia"/>
                <w:b/>
                <w:bCs/>
                <w:color w:val="000000"/>
                <w:szCs w:val="21"/>
                <w:highlight w:val="none"/>
              </w:rPr>
              <w:t>高沙镇</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一般生态空间；风景名胜区\水源涵养重要区\原生态红线\生物多样性保护功能重要区\水土流失敏感区；</w:t>
            </w:r>
          </w:p>
          <w:p>
            <w:pPr>
              <w:ind w:firstLine="422" w:firstLineChars="200"/>
              <w:jc w:val="both"/>
              <w:rPr>
                <w:rFonts w:hint="default"/>
                <w:b w:val="0"/>
                <w:bCs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高排放重点管控区/大气环境受体敏感重点管控区/大气环境弱扩散重点管控区；蔡锷故里风景名胜区/洞口工业园区；农用地优先保护区/建设用地重点管控区/其他重点管控区/一般管控区；矿区/中高风险企业用地；农产品主产区/历史文化资源富集区/宜开发矿产资源富集区；</w:t>
            </w:r>
          </w:p>
          <w:p>
            <w:pPr>
              <w:jc w:val="both"/>
              <w:rPr>
                <w:rFonts w:hint="eastAsia"/>
                <w:b/>
                <w:bCs/>
                <w:color w:val="000000"/>
                <w:szCs w:val="21"/>
                <w:highlight w:val="none"/>
                <w:lang w:eastAsia="zh-CN"/>
              </w:rPr>
            </w:pPr>
            <w:r>
              <w:rPr>
                <w:rFonts w:hint="eastAsia"/>
                <w:b/>
                <w:bCs/>
                <w:color w:val="000000"/>
                <w:szCs w:val="21"/>
                <w:highlight w:val="none"/>
              </w:rPr>
              <w:t>黄桥镇</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红线/一般生态空间；水源涵养重要区\水土流失敏感区\湿地公园\三区三线生态红线；</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受体敏感重点管控区/大气环境弱扩散重点管控区；湖南洞口平溪江国家湿地公园；农用地优先保护区/其他重点管控区/一般管控区；矿区；农产品主产区/自然保护生态区/历史文化资源富集区/宜开发矿产资源富集区；</w:t>
            </w:r>
          </w:p>
          <w:p>
            <w:pPr>
              <w:jc w:val="both"/>
              <w:rPr>
                <w:rFonts w:hint="eastAsia"/>
                <w:b/>
                <w:bCs/>
                <w:color w:val="000000"/>
                <w:szCs w:val="21"/>
                <w:highlight w:val="none"/>
                <w:lang w:eastAsia="zh-CN"/>
              </w:rPr>
            </w:pPr>
            <w:r>
              <w:rPr>
                <w:rFonts w:hint="eastAsia"/>
                <w:b/>
                <w:bCs/>
                <w:color w:val="000000"/>
                <w:szCs w:val="21"/>
                <w:highlight w:val="none"/>
              </w:rPr>
              <w:t>杨林镇</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一般生态空间；水源涵养重要区\水土流失敏感区\生物多样性保护功能重要区\原生态红线；</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受体敏感重点管控区/大气环境弱扩散重点管控区；农用地优先保护区/建设用地重点管控区/一般管控区；中高风险企业用地；农产品主产区/重要文化与景观功能区；</w:t>
            </w:r>
          </w:p>
          <w:p>
            <w:pPr>
              <w:jc w:val="both"/>
              <w:rPr>
                <w:rFonts w:hint="eastAsia"/>
                <w:b/>
                <w:bCs/>
                <w:color w:val="000000"/>
                <w:szCs w:val="21"/>
                <w:highlight w:val="none"/>
                <w:lang w:eastAsia="zh-CN"/>
              </w:rPr>
            </w:pPr>
            <w:r>
              <w:rPr>
                <w:rFonts w:hint="eastAsia"/>
                <w:b/>
                <w:bCs/>
                <w:color w:val="000000"/>
                <w:szCs w:val="21"/>
                <w:highlight w:val="none"/>
              </w:rPr>
              <w:t>竹市镇</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红线/一般生态空间；三区三线生态红线\湿地公园\水源涵养重要区\生物多样性保护功能重要区\原生态红线\水土流失敏感区\石漠化敏感区；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一般管控区；湿地公园；湖南洞口平溪江国家级湿地公园；大气环境优先保护区/大气环境受体敏感重点管控区/大气环境弱扩散重点管控区；湖南洞口平溪江国家湿地公园；农用地优先保护区/建设用地重点管控区/其他重点管控区/一般管控区；矿区/中高风险企业用地；农产品主产区/自然保护生态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center"/>
          </w:tcPr>
          <w:p>
            <w:pPr>
              <w:widowControl/>
              <w:jc w:val="center"/>
              <w:rPr>
                <w:b/>
                <w:color w:val="000000"/>
                <w:szCs w:val="21"/>
                <w:highlight w:val="none"/>
              </w:rPr>
            </w:pPr>
            <w:r>
              <w:rPr>
                <w:rFonts w:hint="eastAsia"/>
                <w:b/>
                <w:color w:val="000000"/>
                <w:szCs w:val="21"/>
                <w:highlight w:val="none"/>
              </w:rPr>
              <w:t>管控维度</w:t>
            </w:r>
          </w:p>
        </w:tc>
        <w:tc>
          <w:tcPr>
            <w:tcW w:w="9027"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4021" w:type="dxa"/>
            <w:gridSpan w:val="2"/>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空间布局约束</w:t>
            </w:r>
          </w:p>
        </w:tc>
        <w:tc>
          <w:tcPr>
            <w:tcW w:w="9027"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）禁止新建有机类危险废物热（裂）解处理项目。</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（1.</w:t>
            </w:r>
            <w:r>
              <w:rPr>
                <w:rFonts w:hint="eastAsia" w:cs="Times New Roman"/>
                <w:strike w:val="0"/>
                <w:dstrike w:val="0"/>
                <w:color w:val="000000"/>
                <w:szCs w:val="21"/>
                <w:highlight w:val="none"/>
                <w:lang w:val="en-US" w:eastAsia="zh-CN"/>
              </w:rPr>
              <w:t>4</w:t>
            </w:r>
            <w:r>
              <w:rPr>
                <w:rFonts w:hint="eastAsia" w:ascii="Times New Roman" w:hAnsi="Times New Roman" w:eastAsia="宋体" w:cs="Times New Roman"/>
                <w:strike w:val="0"/>
                <w:dstrike w:val="0"/>
                <w:color w:val="000000"/>
                <w:szCs w:val="21"/>
                <w:highlight w:val="none"/>
                <w:lang w:val="en-US" w:eastAsia="zh-CN"/>
              </w:rPr>
              <w:t>）</w:t>
            </w:r>
            <w:r>
              <w:rPr>
                <w:rFonts w:hint="eastAsia"/>
                <w:strike w:val="0"/>
                <w:dstrike w:val="0"/>
                <w:color w:val="000000"/>
                <w:szCs w:val="21"/>
                <w:highlight w:val="none"/>
                <w:lang w:val="en-US" w:eastAsia="zh-CN"/>
              </w:rPr>
              <w:t>禁止侵占自然湿地等水源涵养空间，已侵占的限期予以恢复。</w:t>
            </w:r>
          </w:p>
        </w:tc>
        <w:tc>
          <w:tcPr>
            <w:tcW w:w="4021" w:type="dxa"/>
            <w:gridSpan w:val="2"/>
            <w:vMerge w:val="restart"/>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 年洞口县深入打好污染防治攻坚战工作方案》</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污染物排放管控</w:t>
            </w:r>
          </w:p>
        </w:tc>
        <w:tc>
          <w:tcPr>
            <w:tcW w:w="9027"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（2.3.2）全面禁止废塑料进口，推广使用可降解塑料制品、塑料替代产品。</w:t>
            </w:r>
          </w:p>
          <w:p>
            <w:pPr>
              <w:tabs>
                <w:tab w:val="left" w:pos="1021"/>
              </w:tabs>
              <w:ind w:firstLine="420" w:firstLineChars="200"/>
              <w:rPr>
                <w:rFonts w:hint="eastAsia"/>
                <w:strike/>
                <w:dstrike w:val="0"/>
                <w:color w:val="000000"/>
                <w:szCs w:val="21"/>
                <w:highlight w:val="none"/>
              </w:rPr>
            </w:pPr>
            <w:r>
              <w:rPr>
                <w:rFonts w:hint="eastAsia" w:ascii="Times New Roman" w:hAnsi="Times New Roman" w:eastAsia="宋体" w:cs="Times New Roman"/>
                <w:strike w:val="0"/>
                <w:dstrike w:val="0"/>
                <w:color w:val="000000"/>
                <w:szCs w:val="21"/>
                <w:highlight w:val="none"/>
                <w:lang w:val="en-US" w:eastAsia="zh-CN"/>
              </w:rPr>
              <w:t>（2.3.3）加强农村垃圾中转站建设，巩固非正规生活垃圾堆放点整治成效，提升农村垃圾治理水平。</w:t>
            </w:r>
          </w:p>
        </w:tc>
        <w:tc>
          <w:tcPr>
            <w:tcW w:w="4021"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环境风险防控</w:t>
            </w:r>
          </w:p>
        </w:tc>
        <w:tc>
          <w:tcPr>
            <w:tcW w:w="9027"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tc>
        <w:tc>
          <w:tcPr>
            <w:tcW w:w="4021"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资源开发效率要求</w:t>
            </w:r>
          </w:p>
        </w:tc>
        <w:tc>
          <w:tcPr>
            <w:tcW w:w="9027"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p>
            <w:pPr>
              <w:tabs>
                <w:tab w:val="left" w:pos="1021"/>
              </w:tabs>
              <w:ind w:firstLine="420" w:firstLineChars="200"/>
              <w:rPr>
                <w:rFonts w:hint="eastAsia"/>
                <w:strike/>
                <w:dstrike w:val="0"/>
                <w:color w:val="000000"/>
                <w:szCs w:val="21"/>
                <w:highlight w:val="none"/>
              </w:rPr>
            </w:pPr>
          </w:p>
          <w:p>
            <w:pPr>
              <w:tabs>
                <w:tab w:val="left" w:pos="1021"/>
              </w:tabs>
              <w:ind w:firstLine="420" w:firstLineChars="200"/>
              <w:rPr>
                <w:rFonts w:hint="eastAsia"/>
                <w:strike/>
                <w:dstrike w:val="0"/>
                <w:color w:val="000000"/>
                <w:szCs w:val="21"/>
                <w:highlight w:val="none"/>
                <w:u w:val="none"/>
              </w:rPr>
            </w:pPr>
          </w:p>
        </w:tc>
        <w:tc>
          <w:tcPr>
            <w:tcW w:w="4021" w:type="dxa"/>
            <w:gridSpan w:val="2"/>
            <w:vMerge w:val="continue"/>
            <w:vAlign w:val="center"/>
          </w:tcPr>
          <w:p>
            <w:pPr>
              <w:rPr>
                <w:highlight w:val="none"/>
              </w:rPr>
            </w:pPr>
          </w:p>
        </w:tc>
      </w:tr>
    </w:tbl>
    <w:p>
      <w:pPr>
        <w:rPr>
          <w:color w:val="000000"/>
        </w:rPr>
        <w:sectPr>
          <w:pgSz w:w="16838" w:h="11906" w:orient="landscape"/>
          <w:pgMar w:top="1800" w:right="1440" w:bottom="1800" w:left="1440" w:header="851" w:footer="992" w:gutter="0"/>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032"/>
        <w:gridCol w:w="427"/>
        <w:gridCol w:w="427"/>
        <w:gridCol w:w="427"/>
        <w:gridCol w:w="851"/>
        <w:gridCol w:w="1134"/>
        <w:gridCol w:w="1175"/>
        <w:gridCol w:w="1416"/>
        <w:gridCol w:w="2035"/>
        <w:gridCol w:w="507"/>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651" w:type="dxa"/>
            <w:vMerge w:val="restart"/>
            <w:vAlign w:val="center"/>
          </w:tcPr>
          <w:p>
            <w:pPr>
              <w:widowControl/>
              <w:jc w:val="center"/>
              <w:rPr>
                <w:b/>
                <w:color w:val="000000"/>
                <w:kern w:val="0"/>
                <w:szCs w:val="21"/>
                <w:highlight w:val="none"/>
              </w:rPr>
            </w:pPr>
            <w:r>
              <w:rPr>
                <w:rFonts w:hint="eastAsia"/>
                <w:b/>
                <w:color w:val="000000"/>
                <w:kern w:val="0"/>
                <w:szCs w:val="21"/>
                <w:highlight w:val="none"/>
              </w:rPr>
              <w:t>环境管控单元编码</w:t>
            </w:r>
          </w:p>
        </w:tc>
        <w:tc>
          <w:tcPr>
            <w:tcW w:w="1032"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1281"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851"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1134" w:type="dxa"/>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1175"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416"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2542" w:type="dxa"/>
            <w:gridSpan w:val="2"/>
            <w:vMerge w:val="restart"/>
            <w:vAlign w:val="center"/>
          </w:tcPr>
          <w:p>
            <w:pPr>
              <w:jc w:val="center"/>
              <w:rPr>
                <w:b/>
                <w:color w:val="000000"/>
                <w:kern w:val="0"/>
                <w:szCs w:val="21"/>
                <w:highlight w:val="none"/>
              </w:rPr>
            </w:pPr>
            <w:r>
              <w:rPr>
                <w:rFonts w:hint="eastAsia"/>
                <w:b/>
                <w:color w:val="000000"/>
                <w:kern w:val="0"/>
                <w:szCs w:val="21"/>
                <w:highlight w:val="none"/>
              </w:rPr>
              <w:t>经济产业布局</w:t>
            </w:r>
          </w:p>
        </w:tc>
        <w:tc>
          <w:tcPr>
            <w:tcW w:w="2866" w:type="dxa"/>
            <w:vMerge w:val="restart"/>
            <w:vAlign w:val="center"/>
          </w:tcPr>
          <w:p>
            <w:pPr>
              <w:jc w:val="center"/>
              <w:rPr>
                <w:b/>
                <w:color w:val="000000"/>
                <w:kern w:val="0"/>
                <w:szCs w:val="21"/>
                <w:highlight w:val="none"/>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jc w:val="center"/>
        </w:trPr>
        <w:tc>
          <w:tcPr>
            <w:tcW w:w="1651" w:type="dxa"/>
            <w:vMerge w:val="continue"/>
            <w:vAlign w:val="center"/>
          </w:tcPr>
          <w:p>
            <w:pPr>
              <w:rPr>
                <w:highlight w:val="none"/>
              </w:rPr>
            </w:pPr>
          </w:p>
        </w:tc>
        <w:tc>
          <w:tcPr>
            <w:tcW w:w="1032" w:type="dxa"/>
            <w:vMerge w:val="continue"/>
            <w:vAlign w:val="center"/>
          </w:tcPr>
          <w:p>
            <w:pPr>
              <w:rPr>
                <w:highlight w:val="none"/>
              </w:rPr>
            </w:pPr>
          </w:p>
        </w:tc>
        <w:tc>
          <w:tcPr>
            <w:tcW w:w="427" w:type="dxa"/>
            <w:vAlign w:val="center"/>
          </w:tcPr>
          <w:p>
            <w:pPr>
              <w:jc w:val="center"/>
              <w:rPr>
                <w:b/>
                <w:color w:val="000000"/>
                <w:szCs w:val="21"/>
                <w:highlight w:val="none"/>
              </w:rPr>
            </w:pPr>
            <w:r>
              <w:rPr>
                <w:rFonts w:hint="eastAsia"/>
                <w:b/>
                <w:color w:val="000000"/>
                <w:szCs w:val="21"/>
                <w:highlight w:val="none"/>
              </w:rPr>
              <w:t>省</w:t>
            </w:r>
          </w:p>
        </w:tc>
        <w:tc>
          <w:tcPr>
            <w:tcW w:w="427" w:type="dxa"/>
            <w:vAlign w:val="center"/>
          </w:tcPr>
          <w:p>
            <w:pPr>
              <w:jc w:val="center"/>
              <w:rPr>
                <w:b/>
                <w:color w:val="000000"/>
                <w:szCs w:val="21"/>
                <w:highlight w:val="none"/>
              </w:rPr>
            </w:pPr>
            <w:r>
              <w:rPr>
                <w:rFonts w:hint="eastAsia"/>
                <w:b/>
                <w:color w:val="000000"/>
                <w:szCs w:val="21"/>
                <w:highlight w:val="none"/>
              </w:rPr>
              <w:t>市</w:t>
            </w:r>
          </w:p>
        </w:tc>
        <w:tc>
          <w:tcPr>
            <w:tcW w:w="427" w:type="dxa"/>
            <w:vAlign w:val="center"/>
          </w:tcPr>
          <w:p>
            <w:pPr>
              <w:jc w:val="center"/>
              <w:rPr>
                <w:b/>
                <w:color w:val="000000"/>
                <w:szCs w:val="21"/>
                <w:highlight w:val="none"/>
              </w:rPr>
            </w:pPr>
            <w:r>
              <w:rPr>
                <w:rFonts w:hint="eastAsia"/>
                <w:b/>
                <w:color w:val="000000"/>
                <w:szCs w:val="21"/>
                <w:highlight w:val="none"/>
              </w:rPr>
              <w:t>县</w:t>
            </w:r>
          </w:p>
        </w:tc>
        <w:tc>
          <w:tcPr>
            <w:tcW w:w="851" w:type="dxa"/>
            <w:vMerge w:val="continue"/>
            <w:vAlign w:val="center"/>
          </w:tcPr>
          <w:p>
            <w:pPr>
              <w:rPr>
                <w:highlight w:val="none"/>
              </w:rPr>
            </w:pPr>
          </w:p>
        </w:tc>
        <w:tc>
          <w:tcPr>
            <w:tcW w:w="1134" w:type="dxa"/>
            <w:vMerge w:val="continue"/>
            <w:vAlign w:val="center"/>
          </w:tcPr>
          <w:p>
            <w:pPr>
              <w:rPr>
                <w:highlight w:val="none"/>
              </w:rPr>
            </w:pPr>
          </w:p>
        </w:tc>
        <w:tc>
          <w:tcPr>
            <w:tcW w:w="1175" w:type="dxa"/>
            <w:vMerge w:val="continue"/>
            <w:vAlign w:val="center"/>
          </w:tcPr>
          <w:p>
            <w:pPr>
              <w:rPr>
                <w:highlight w:val="none"/>
              </w:rPr>
            </w:pPr>
          </w:p>
        </w:tc>
        <w:tc>
          <w:tcPr>
            <w:tcW w:w="1416" w:type="dxa"/>
            <w:vMerge w:val="continue"/>
            <w:vAlign w:val="center"/>
          </w:tcPr>
          <w:p>
            <w:pPr>
              <w:rPr>
                <w:highlight w:val="none"/>
              </w:rPr>
            </w:pPr>
          </w:p>
        </w:tc>
        <w:tc>
          <w:tcPr>
            <w:tcW w:w="2542" w:type="dxa"/>
            <w:gridSpan w:val="2"/>
            <w:vMerge w:val="continue"/>
            <w:vAlign w:val="center"/>
          </w:tcPr>
          <w:p>
            <w:pPr>
              <w:rPr>
                <w:highlight w:val="none"/>
              </w:rPr>
            </w:pPr>
          </w:p>
        </w:tc>
        <w:tc>
          <w:tcPr>
            <w:tcW w:w="2866"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651" w:type="dxa"/>
            <w:vAlign w:val="center"/>
          </w:tcPr>
          <w:p>
            <w:pPr>
              <w:jc w:val="center"/>
              <w:rPr>
                <w:color w:val="000000"/>
                <w:szCs w:val="21"/>
                <w:highlight w:val="none"/>
              </w:rPr>
            </w:pPr>
            <w:r>
              <w:rPr>
                <w:color w:val="000000"/>
                <w:szCs w:val="21"/>
                <w:highlight w:val="none"/>
              </w:rPr>
              <w:t>ZH43052520002</w:t>
            </w:r>
          </w:p>
        </w:tc>
        <w:tc>
          <w:tcPr>
            <w:tcW w:w="1032" w:type="dxa"/>
            <w:vAlign w:val="center"/>
          </w:tcPr>
          <w:p>
            <w:pPr>
              <w:jc w:val="center"/>
              <w:rPr>
                <w:color w:val="000000"/>
                <w:szCs w:val="21"/>
                <w:highlight w:val="none"/>
              </w:rPr>
            </w:pPr>
            <w:r>
              <w:rPr>
                <w:rFonts w:hint="eastAsia"/>
                <w:color w:val="000000"/>
                <w:szCs w:val="21"/>
                <w:highlight w:val="none"/>
              </w:rPr>
              <w:t>花古街道</w:t>
            </w:r>
            <w:r>
              <w:rPr>
                <w:rFonts w:hint="eastAsia"/>
                <w:color w:val="000000"/>
                <w:szCs w:val="21"/>
                <w:highlight w:val="none"/>
                <w:lang w:eastAsia="zh-CN"/>
              </w:rPr>
              <w:t>/</w:t>
            </w:r>
            <w:r>
              <w:rPr>
                <w:rFonts w:hint="eastAsia"/>
                <w:color w:val="000000"/>
                <w:szCs w:val="21"/>
                <w:highlight w:val="none"/>
              </w:rPr>
              <w:t>文昌街道</w:t>
            </w:r>
            <w:r>
              <w:rPr>
                <w:rFonts w:hint="eastAsia"/>
                <w:color w:val="000000"/>
                <w:szCs w:val="21"/>
                <w:highlight w:val="none"/>
                <w:lang w:eastAsia="zh-CN"/>
              </w:rPr>
              <w:t>/</w:t>
            </w:r>
            <w:r>
              <w:rPr>
                <w:rFonts w:hint="eastAsia"/>
                <w:color w:val="000000"/>
                <w:szCs w:val="21"/>
                <w:highlight w:val="none"/>
              </w:rPr>
              <w:t>雪峰街道</w:t>
            </w:r>
          </w:p>
        </w:tc>
        <w:tc>
          <w:tcPr>
            <w:tcW w:w="427" w:type="dxa"/>
            <w:vAlign w:val="center"/>
          </w:tcPr>
          <w:p>
            <w:pPr>
              <w:jc w:val="center"/>
              <w:rPr>
                <w:color w:val="000000"/>
                <w:szCs w:val="21"/>
                <w:highlight w:val="none"/>
              </w:rPr>
            </w:pPr>
            <w:r>
              <w:rPr>
                <w:rFonts w:hint="eastAsia"/>
                <w:color w:val="000000"/>
                <w:szCs w:val="21"/>
                <w:highlight w:val="none"/>
              </w:rPr>
              <w:t>湖南省</w:t>
            </w:r>
          </w:p>
        </w:tc>
        <w:tc>
          <w:tcPr>
            <w:tcW w:w="427" w:type="dxa"/>
            <w:vAlign w:val="center"/>
          </w:tcPr>
          <w:p>
            <w:pPr>
              <w:jc w:val="center"/>
              <w:rPr>
                <w:color w:val="000000"/>
                <w:szCs w:val="21"/>
                <w:highlight w:val="none"/>
              </w:rPr>
            </w:pPr>
            <w:r>
              <w:rPr>
                <w:rFonts w:hint="eastAsia"/>
                <w:color w:val="000000"/>
                <w:szCs w:val="21"/>
                <w:highlight w:val="none"/>
              </w:rPr>
              <w:t>邵阳市</w:t>
            </w:r>
          </w:p>
        </w:tc>
        <w:tc>
          <w:tcPr>
            <w:tcW w:w="427" w:type="dxa"/>
            <w:vAlign w:val="center"/>
          </w:tcPr>
          <w:p>
            <w:pPr>
              <w:jc w:val="center"/>
              <w:rPr>
                <w:color w:val="000000"/>
                <w:szCs w:val="21"/>
                <w:highlight w:val="none"/>
              </w:rPr>
            </w:pPr>
            <w:r>
              <w:rPr>
                <w:rFonts w:hint="eastAsia"/>
                <w:color w:val="000000"/>
                <w:szCs w:val="21"/>
                <w:highlight w:val="none"/>
              </w:rPr>
              <w:t>洞口县</w:t>
            </w:r>
          </w:p>
        </w:tc>
        <w:tc>
          <w:tcPr>
            <w:tcW w:w="851" w:type="dxa"/>
            <w:vAlign w:val="center"/>
          </w:tcPr>
          <w:p>
            <w:pPr>
              <w:jc w:val="center"/>
              <w:rPr>
                <w:color w:val="000000"/>
                <w:szCs w:val="21"/>
                <w:highlight w:val="none"/>
              </w:rPr>
            </w:pPr>
            <w:r>
              <w:rPr>
                <w:rFonts w:hint="eastAsia"/>
                <w:color w:val="000000"/>
                <w:szCs w:val="21"/>
                <w:highlight w:val="none"/>
              </w:rPr>
              <w:t>重点管控单元</w:t>
            </w:r>
          </w:p>
        </w:tc>
        <w:tc>
          <w:tcPr>
            <w:tcW w:w="1134" w:type="dxa"/>
            <w:vAlign w:val="center"/>
          </w:tcPr>
          <w:p>
            <w:pPr>
              <w:jc w:val="center"/>
              <w:rPr>
                <w:rFonts w:ascii="Arial" w:hAnsi="Arial" w:cs="Arial"/>
                <w:strike/>
                <w:dstrike w:val="0"/>
                <w:color w:val="000000"/>
                <w:sz w:val="20"/>
                <w:szCs w:val="20"/>
                <w:highlight w:val="none"/>
              </w:rPr>
            </w:pPr>
            <w:r>
              <w:rPr>
                <w:rFonts w:hint="eastAsia" w:ascii="Arial" w:hAnsi="Arial" w:cs="Arial"/>
                <w:strike w:val="0"/>
                <w:dstrike w:val="0"/>
                <w:color w:val="000000"/>
                <w:sz w:val="20"/>
                <w:szCs w:val="20"/>
                <w:highlight w:val="none"/>
              </w:rPr>
              <w:t>142.10</w:t>
            </w:r>
          </w:p>
        </w:tc>
        <w:tc>
          <w:tcPr>
            <w:tcW w:w="1175" w:type="dxa"/>
            <w:vAlign w:val="center"/>
          </w:tcPr>
          <w:p>
            <w:pPr>
              <w:jc w:val="center"/>
              <w:rPr>
                <w:color w:val="000000"/>
                <w:szCs w:val="21"/>
                <w:highlight w:val="none"/>
              </w:rPr>
            </w:pPr>
            <w:r>
              <w:rPr>
                <w:rFonts w:hint="eastAsia"/>
                <w:color w:val="000000"/>
                <w:szCs w:val="21"/>
                <w:highlight w:val="none"/>
              </w:rPr>
              <w:t>花古街道</w:t>
            </w:r>
            <w:r>
              <w:rPr>
                <w:rFonts w:hint="eastAsia"/>
                <w:color w:val="000000"/>
                <w:szCs w:val="21"/>
                <w:highlight w:val="none"/>
                <w:lang w:eastAsia="zh-CN"/>
              </w:rPr>
              <w:t>/</w:t>
            </w:r>
            <w:r>
              <w:rPr>
                <w:rFonts w:hint="eastAsia"/>
                <w:color w:val="000000"/>
                <w:szCs w:val="21"/>
                <w:highlight w:val="none"/>
              </w:rPr>
              <w:t>文昌街道</w:t>
            </w:r>
            <w:r>
              <w:rPr>
                <w:rFonts w:hint="eastAsia"/>
                <w:color w:val="000000"/>
                <w:szCs w:val="21"/>
                <w:highlight w:val="none"/>
                <w:lang w:eastAsia="zh-CN"/>
              </w:rPr>
              <w:t>/</w:t>
            </w:r>
            <w:r>
              <w:rPr>
                <w:rFonts w:hint="eastAsia"/>
                <w:color w:val="000000"/>
                <w:szCs w:val="21"/>
                <w:highlight w:val="none"/>
              </w:rPr>
              <w:t>雪峰街道</w:t>
            </w:r>
            <w:r>
              <w:rPr>
                <w:rFonts w:hint="eastAsia"/>
                <w:strike/>
                <w:dstrike w:val="0"/>
                <w:color w:val="000000"/>
                <w:szCs w:val="21"/>
                <w:highlight w:val="none"/>
                <w:lang w:eastAsia="zh-CN"/>
              </w:rPr>
              <w:t>/</w:t>
            </w:r>
          </w:p>
        </w:tc>
        <w:tc>
          <w:tcPr>
            <w:tcW w:w="1416" w:type="dxa"/>
            <w:vAlign w:val="center"/>
          </w:tcPr>
          <w:p>
            <w:pPr>
              <w:jc w:val="center"/>
              <w:rPr>
                <w:rFonts w:hint="eastAsia"/>
                <w:b/>
                <w:bCs/>
                <w:color w:val="000000"/>
                <w:szCs w:val="21"/>
                <w:highlight w:val="none"/>
                <w:lang w:eastAsia="zh-CN"/>
              </w:rPr>
            </w:pPr>
            <w:r>
              <w:rPr>
                <w:rFonts w:hint="eastAsia"/>
                <w:b/>
                <w:bCs/>
                <w:color w:val="000000"/>
                <w:szCs w:val="21"/>
                <w:highlight w:val="none"/>
              </w:rPr>
              <w:t>花古街道</w:t>
            </w:r>
            <w:r>
              <w:rPr>
                <w:rFonts w:hint="eastAsia"/>
                <w:b/>
                <w:bCs/>
                <w:color w:val="000000"/>
                <w:szCs w:val="21"/>
                <w:highlight w:val="none"/>
                <w:lang w:eastAsia="zh-CN"/>
              </w:rPr>
              <w:t>：</w:t>
            </w:r>
            <w:r>
              <w:rPr>
                <w:rFonts w:hint="eastAsia"/>
                <w:b w:val="0"/>
                <w:bCs w:val="0"/>
                <w:color w:val="000000"/>
                <w:szCs w:val="21"/>
                <w:highlight w:val="none"/>
                <w:lang w:val="en-US" w:eastAsia="zh-CN"/>
              </w:rPr>
              <w:t>城市化地区</w:t>
            </w:r>
          </w:p>
          <w:p>
            <w:pPr>
              <w:jc w:val="center"/>
              <w:rPr>
                <w:rFonts w:hint="eastAsia"/>
                <w:b/>
                <w:bCs/>
                <w:color w:val="000000"/>
                <w:szCs w:val="21"/>
                <w:highlight w:val="none"/>
                <w:lang w:eastAsia="zh-CN"/>
              </w:rPr>
            </w:pPr>
            <w:r>
              <w:rPr>
                <w:rFonts w:hint="eastAsia"/>
                <w:b/>
                <w:bCs/>
                <w:color w:val="000000"/>
                <w:szCs w:val="21"/>
                <w:highlight w:val="none"/>
              </w:rPr>
              <w:t>文昌街道</w:t>
            </w:r>
            <w:r>
              <w:rPr>
                <w:rFonts w:hint="eastAsia"/>
                <w:b/>
                <w:bCs/>
                <w:color w:val="000000"/>
                <w:szCs w:val="21"/>
                <w:highlight w:val="none"/>
                <w:lang w:eastAsia="zh-CN"/>
              </w:rPr>
              <w:t>：</w:t>
            </w:r>
            <w:r>
              <w:rPr>
                <w:rFonts w:hint="eastAsia"/>
                <w:b w:val="0"/>
                <w:bCs w:val="0"/>
                <w:color w:val="000000"/>
                <w:szCs w:val="21"/>
                <w:highlight w:val="none"/>
                <w:lang w:eastAsia="zh-CN"/>
              </w:rPr>
              <w:t>城市化地区/自然保护生态区</w:t>
            </w:r>
          </w:p>
          <w:p>
            <w:pPr>
              <w:jc w:val="center"/>
              <w:rPr>
                <w:rFonts w:hint="eastAsia" w:eastAsia="宋体"/>
                <w:color w:val="000000"/>
                <w:szCs w:val="21"/>
                <w:highlight w:val="none"/>
                <w:lang w:eastAsia="zh-CN"/>
              </w:rPr>
            </w:pPr>
            <w:r>
              <w:rPr>
                <w:rFonts w:hint="eastAsia"/>
                <w:b/>
                <w:bCs/>
                <w:color w:val="000000"/>
                <w:szCs w:val="21"/>
                <w:highlight w:val="none"/>
              </w:rPr>
              <w:t>雪峰街道</w:t>
            </w:r>
            <w:r>
              <w:rPr>
                <w:rFonts w:hint="eastAsia"/>
                <w:b/>
                <w:bCs/>
                <w:color w:val="000000"/>
                <w:szCs w:val="21"/>
                <w:highlight w:val="none"/>
                <w:lang w:eastAsia="zh-CN"/>
              </w:rPr>
              <w:t>：</w:t>
            </w:r>
            <w:r>
              <w:rPr>
                <w:rFonts w:hint="eastAsia"/>
                <w:b w:val="0"/>
                <w:bCs w:val="0"/>
                <w:color w:val="000000"/>
                <w:szCs w:val="21"/>
                <w:highlight w:val="none"/>
                <w:lang w:eastAsia="zh-CN"/>
              </w:rPr>
              <w:t>农产品主产区/宜开发矿产资源富集区</w:t>
            </w:r>
          </w:p>
        </w:tc>
        <w:tc>
          <w:tcPr>
            <w:tcW w:w="2542" w:type="dxa"/>
            <w:gridSpan w:val="2"/>
            <w:vAlign w:val="center"/>
          </w:tcPr>
          <w:p>
            <w:pPr>
              <w:widowControl/>
              <w:jc w:val="both"/>
              <w:rPr>
                <w:rFonts w:hint="default"/>
                <w:b w:val="0"/>
                <w:bCs w:val="0"/>
                <w:color w:val="000000"/>
                <w:szCs w:val="21"/>
                <w:highlight w:val="none"/>
                <w:lang w:val="en-US" w:eastAsia="zh-CN"/>
              </w:rPr>
            </w:pPr>
            <w:r>
              <w:rPr>
                <w:rFonts w:hint="eastAsia"/>
                <w:b/>
                <w:bCs/>
                <w:color w:val="000000"/>
                <w:szCs w:val="21"/>
                <w:highlight w:val="none"/>
              </w:rPr>
              <w:t>花古街道</w:t>
            </w:r>
            <w:r>
              <w:rPr>
                <w:rFonts w:hint="eastAsia"/>
                <w:b/>
                <w:bCs/>
                <w:color w:val="000000"/>
                <w:szCs w:val="21"/>
                <w:highlight w:val="none"/>
                <w:lang w:eastAsia="zh-CN"/>
              </w:rPr>
              <w:t>：</w:t>
            </w:r>
            <w:r>
              <w:rPr>
                <w:rFonts w:hint="eastAsia"/>
                <w:b w:val="0"/>
                <w:bCs w:val="0"/>
                <w:color w:val="000000"/>
                <w:szCs w:val="21"/>
                <w:highlight w:val="none"/>
                <w:lang w:val="en-US" w:eastAsia="zh-CN"/>
              </w:rPr>
              <w:t>农业种植、畜禽养殖、农副产品加工、食品加工、非金属矿物制品业、商贸物流、电子设备制造、旅游开发及旅游产品加工、社会事业、再生资源利用行业、医药制造业</w:t>
            </w:r>
          </w:p>
          <w:p>
            <w:pPr>
              <w:widowControl/>
              <w:jc w:val="both"/>
              <w:rPr>
                <w:rFonts w:hint="default"/>
                <w:b w:val="0"/>
                <w:bCs w:val="0"/>
                <w:color w:val="000000"/>
                <w:szCs w:val="21"/>
                <w:highlight w:val="none"/>
                <w:lang w:val="en-US" w:eastAsia="zh-CN"/>
              </w:rPr>
            </w:pPr>
            <w:r>
              <w:rPr>
                <w:rFonts w:hint="eastAsia"/>
                <w:b/>
                <w:bCs/>
                <w:color w:val="000000"/>
                <w:szCs w:val="21"/>
                <w:highlight w:val="none"/>
              </w:rPr>
              <w:t>文昌街道</w:t>
            </w:r>
            <w:r>
              <w:rPr>
                <w:rFonts w:hint="eastAsia"/>
                <w:b/>
                <w:bCs/>
                <w:color w:val="000000"/>
                <w:szCs w:val="21"/>
                <w:highlight w:val="none"/>
                <w:lang w:eastAsia="zh-CN"/>
              </w:rPr>
              <w:t>：</w:t>
            </w:r>
            <w:r>
              <w:rPr>
                <w:rFonts w:hint="eastAsia"/>
                <w:b w:val="0"/>
                <w:bCs w:val="0"/>
                <w:color w:val="000000"/>
                <w:szCs w:val="21"/>
                <w:highlight w:val="none"/>
                <w:lang w:val="en-US" w:eastAsia="zh-CN"/>
              </w:rPr>
              <w:t>农业种植、畜禽养殖、农副产品加工、食品加工、非金属矿物制品业、商贸物流、电子设备制造、旅游开发及旅游产品加工、社会事业、再生资源利用行业、医药制造业</w:t>
            </w:r>
          </w:p>
          <w:p>
            <w:pPr>
              <w:widowControl/>
              <w:jc w:val="both"/>
              <w:rPr>
                <w:rFonts w:hint="default"/>
                <w:b w:val="0"/>
                <w:bCs w:val="0"/>
                <w:color w:val="000000"/>
                <w:szCs w:val="21"/>
                <w:highlight w:val="none"/>
                <w:lang w:val="en-US" w:eastAsia="zh-CN"/>
              </w:rPr>
            </w:pPr>
            <w:r>
              <w:rPr>
                <w:rFonts w:hint="eastAsia"/>
                <w:b/>
                <w:bCs/>
                <w:color w:val="000000"/>
                <w:szCs w:val="21"/>
                <w:highlight w:val="none"/>
              </w:rPr>
              <w:t>雪峰街道</w:t>
            </w:r>
            <w:r>
              <w:rPr>
                <w:rFonts w:hint="eastAsia"/>
                <w:b/>
                <w:bCs/>
                <w:color w:val="000000"/>
                <w:szCs w:val="21"/>
                <w:highlight w:val="none"/>
                <w:lang w:eastAsia="zh-CN"/>
              </w:rPr>
              <w:t>：</w:t>
            </w:r>
            <w:r>
              <w:rPr>
                <w:rFonts w:hint="eastAsia"/>
                <w:b w:val="0"/>
                <w:bCs w:val="0"/>
                <w:color w:val="000000"/>
                <w:szCs w:val="21"/>
                <w:highlight w:val="none"/>
                <w:lang w:val="en-US" w:eastAsia="zh-CN"/>
              </w:rPr>
              <w:t>农业种植、畜禽养殖、农副产品加工、食品加工、非金属矿物制品业、商贸物流、电子设备制造、旅游开发及旅游产品加工、社会事业、再生资源利用行业、医药制造业</w:t>
            </w:r>
          </w:p>
        </w:tc>
        <w:tc>
          <w:tcPr>
            <w:tcW w:w="2866" w:type="dxa"/>
            <w:vAlign w:val="center"/>
          </w:tcPr>
          <w:p>
            <w:pPr>
              <w:widowControl/>
              <w:rPr>
                <w:rFonts w:hint="eastAsia"/>
                <w:b/>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default"/>
                <w:b w:val="0"/>
                <w:bCs w:val="0"/>
                <w:color w:val="000000"/>
                <w:szCs w:val="21"/>
                <w:highlight w:val="none"/>
                <w:lang w:val="en-US" w:eastAsia="zh-CN"/>
              </w:rPr>
            </w:pPr>
            <w:r>
              <w:rPr>
                <w:rFonts w:hint="eastAsia"/>
                <w:b/>
                <w:bCs/>
                <w:color w:val="000000"/>
                <w:szCs w:val="21"/>
                <w:highlight w:val="none"/>
              </w:rPr>
              <w:t>花古街道</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jc w:val="both"/>
              <w:rPr>
                <w:rFonts w:hint="default"/>
                <w:b w:val="0"/>
                <w:bCs w:val="0"/>
                <w:color w:val="000000"/>
                <w:szCs w:val="21"/>
                <w:highlight w:val="none"/>
                <w:lang w:val="en-US" w:eastAsia="zh-CN"/>
              </w:rPr>
            </w:pPr>
            <w:r>
              <w:rPr>
                <w:rFonts w:hint="eastAsia"/>
                <w:b/>
                <w:bCs/>
                <w:color w:val="000000"/>
                <w:szCs w:val="21"/>
                <w:highlight w:val="none"/>
              </w:rPr>
              <w:t>文昌街道</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rPr>
                <w:rFonts w:hint="eastAsia"/>
                <w:b/>
                <w:color w:val="000000"/>
                <w:kern w:val="0"/>
                <w:szCs w:val="21"/>
                <w:highlight w:val="none"/>
                <w:lang w:eastAsia="zh-CN"/>
              </w:rPr>
            </w:pPr>
            <w:r>
              <w:rPr>
                <w:rFonts w:hint="eastAsia"/>
                <w:b/>
                <w:bCs/>
                <w:color w:val="000000"/>
                <w:szCs w:val="21"/>
                <w:highlight w:val="none"/>
              </w:rPr>
              <w:t>雪峰街道</w:t>
            </w:r>
            <w:r>
              <w:rPr>
                <w:rFonts w:hint="eastAsia"/>
                <w:b/>
                <w:bCs/>
                <w:color w:val="000000"/>
                <w:szCs w:val="21"/>
                <w:highlight w:val="none"/>
                <w:lang w:eastAsia="zh-CN"/>
              </w:rPr>
              <w:t>：</w:t>
            </w:r>
            <w:r>
              <w:rPr>
                <w:rFonts w:hint="eastAsia"/>
                <w:strike w:val="0"/>
                <w:dstrike w:val="0"/>
                <w:kern w:val="0"/>
                <w:szCs w:val="21"/>
                <w:highlight w:val="none"/>
              </w:rPr>
              <w:t>农村生活污水未处理，农村面源污染未得到有效治理。</w:t>
            </w:r>
          </w:p>
          <w:p>
            <w:pPr>
              <w:widowControl/>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rPr>
                <w:rFonts w:hint="eastAsia"/>
                <w:b/>
                <w:color w:val="000000"/>
                <w:kern w:val="0"/>
                <w:szCs w:val="21"/>
                <w:highlight w:val="none"/>
                <w:lang w:val="en-US" w:eastAsia="zh-CN"/>
              </w:rPr>
            </w:pPr>
            <w:r>
              <w:rPr>
                <w:rFonts w:hint="eastAsia"/>
                <w:b/>
                <w:bCs/>
                <w:color w:val="000000"/>
                <w:szCs w:val="21"/>
                <w:highlight w:val="none"/>
              </w:rPr>
              <w:t>花古街道</w:t>
            </w:r>
            <w:r>
              <w:rPr>
                <w:rFonts w:hint="eastAsia"/>
                <w:b/>
                <w:bCs/>
                <w:color w:val="000000"/>
                <w:szCs w:val="21"/>
                <w:highlight w:val="none"/>
                <w:lang w:eastAsia="zh-CN"/>
              </w:rPr>
              <w:t>：</w:t>
            </w:r>
            <w:r>
              <w:rPr>
                <w:rFonts w:hint="eastAsia"/>
                <w:b w:val="0"/>
                <w:bCs w:val="0"/>
                <w:color w:val="000000"/>
                <w:szCs w:val="21"/>
                <w:highlight w:val="none"/>
                <w:lang w:val="en-US" w:eastAsia="zh-CN"/>
              </w:rPr>
              <w:t>蔡锷故里风景名胜区、湖南洞口平溪江国家湿地公园</w:t>
            </w:r>
          </w:p>
          <w:p>
            <w:pPr>
              <w:widowControl/>
              <w:rPr>
                <w:rFonts w:hint="eastAsia"/>
                <w:b/>
                <w:color w:val="000000"/>
                <w:kern w:val="0"/>
                <w:szCs w:val="21"/>
                <w:highlight w:val="none"/>
                <w:lang w:val="en-US" w:eastAsia="zh-CN"/>
              </w:rPr>
            </w:pPr>
            <w:r>
              <w:rPr>
                <w:rFonts w:hint="eastAsia"/>
                <w:b/>
                <w:bCs/>
                <w:color w:val="000000"/>
                <w:szCs w:val="21"/>
                <w:highlight w:val="none"/>
              </w:rPr>
              <w:t>文昌街道</w:t>
            </w:r>
            <w:r>
              <w:rPr>
                <w:rFonts w:hint="eastAsia"/>
                <w:b/>
                <w:bCs/>
                <w:color w:val="000000"/>
                <w:szCs w:val="21"/>
                <w:highlight w:val="none"/>
                <w:lang w:eastAsia="zh-CN"/>
              </w:rPr>
              <w:t>：</w:t>
            </w:r>
            <w:r>
              <w:rPr>
                <w:rFonts w:hint="eastAsia"/>
                <w:b w:val="0"/>
                <w:bCs w:val="0"/>
                <w:color w:val="000000"/>
                <w:szCs w:val="21"/>
                <w:highlight w:val="none"/>
                <w:lang w:val="en-US" w:eastAsia="zh-CN"/>
              </w:rPr>
              <w:t>湖南洞口平溪江国家级湿地公园、邵阳市洞口县平溪河饮用水水源保护区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51" w:type="dxa"/>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12297" w:type="dxa"/>
            <w:gridSpan w:val="11"/>
            <w:vAlign w:val="center"/>
          </w:tcPr>
          <w:p>
            <w:pPr>
              <w:jc w:val="both"/>
              <w:rPr>
                <w:rFonts w:hint="eastAsia"/>
                <w:b/>
                <w:bCs/>
                <w:color w:val="000000"/>
                <w:szCs w:val="21"/>
                <w:highlight w:val="none"/>
                <w:lang w:eastAsia="zh-CN"/>
              </w:rPr>
            </w:pPr>
            <w:r>
              <w:rPr>
                <w:rFonts w:hint="eastAsia"/>
                <w:b/>
                <w:bCs/>
                <w:color w:val="000000"/>
                <w:szCs w:val="21"/>
                <w:highlight w:val="none"/>
              </w:rPr>
              <w:t>花古街道</w:t>
            </w:r>
            <w:r>
              <w:rPr>
                <w:rFonts w:hint="eastAsia"/>
                <w:b/>
                <w:bCs/>
                <w:color w:val="000000"/>
                <w:szCs w:val="21"/>
                <w:highlight w:val="none"/>
                <w:lang w:eastAsia="zh-CN"/>
              </w:rPr>
              <w:t>：</w:t>
            </w:r>
          </w:p>
          <w:p>
            <w:pPr>
              <w:ind w:firstLine="422" w:firstLineChars="200"/>
              <w:jc w:val="both"/>
              <w:rPr>
                <w:rFonts w:hint="eastAsia"/>
                <w:b w:val="0"/>
                <w:bCs w:val="0"/>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红线/一般生态空间；三区三线生态红线\水源涵养重要区\风景名胜区\生物多样性保护功能重要区\湿地公园\原生态红线；</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 xml:space="preserve"> 水环境优先保护区/ 水环境工业污染重点管控区/水环境一般管控区；湿地公园/工业园区；湖南洞口平溪江国家级湿地公园/洞口经济开发区；大气环境优先保护区/大气环境高排放重点管控区/大气环境受体敏感重点管控区/大气环境弱扩散重点管控区；蔡锷故里风景名胜区/湖南洞口平溪江国家湿地公园/洞口工业园区/洞口经济开发区；农用地优先保护区/一般管控区；洞口经济开发区；城市化地区；</w:t>
            </w:r>
          </w:p>
          <w:p>
            <w:pPr>
              <w:jc w:val="both"/>
              <w:rPr>
                <w:rFonts w:hint="eastAsia"/>
                <w:b/>
                <w:bCs/>
                <w:color w:val="000000"/>
                <w:szCs w:val="21"/>
                <w:highlight w:val="none"/>
                <w:lang w:eastAsia="zh-CN"/>
              </w:rPr>
            </w:pPr>
            <w:r>
              <w:rPr>
                <w:rFonts w:hint="eastAsia"/>
                <w:b/>
                <w:bCs/>
                <w:color w:val="000000"/>
                <w:szCs w:val="21"/>
                <w:highlight w:val="none"/>
              </w:rPr>
              <w:t>文昌街道</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红线/一般生态空间；风景名胜区\湿地公园\三区三线生态红线\水源涵养重要区\水土流失敏感区\原生态红线\生物多样性保护功能重要区；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 xml:space="preserve">环境质量底线： </w:t>
            </w:r>
            <w:r>
              <w:rPr>
                <w:rFonts w:hint="eastAsia"/>
                <w:b w:val="0"/>
                <w:bCs w:val="0"/>
                <w:strike w:val="0"/>
                <w:dstrike w:val="0"/>
                <w:color w:val="000000"/>
                <w:szCs w:val="21"/>
                <w:highlight w:val="none"/>
                <w:lang w:val="en-US" w:eastAsia="zh-CN"/>
              </w:rPr>
              <w:t>水环境优先保护区/水环境城镇生活污染重点管控区/水环境一般管控区；湿地公园、水源地（县级及以上）/污水处理厂；湖南洞口平溪江国家级湿地公园、邵阳市洞口县平溪河饮用水水源保护区/洞口县污水处理厂（汇水）；大气环境优先保护区/大气环境受体敏感重点管控区/大气环境弱扩散重点管控区；蔡锷故里风景名胜区/湖南洞口平溪江国家湿地公园；农用地优先保护区/一般管控区；城市化地区/自然保护生态区；高污染燃料禁燃区；</w:t>
            </w:r>
          </w:p>
          <w:p>
            <w:pPr>
              <w:jc w:val="both"/>
              <w:rPr>
                <w:rFonts w:hint="eastAsia"/>
                <w:b/>
                <w:bCs/>
                <w:color w:val="000000"/>
                <w:szCs w:val="21"/>
                <w:highlight w:val="none"/>
                <w:lang w:eastAsia="zh-CN"/>
              </w:rPr>
            </w:pPr>
            <w:r>
              <w:rPr>
                <w:rFonts w:hint="eastAsia"/>
                <w:b/>
                <w:bCs/>
                <w:color w:val="000000"/>
                <w:szCs w:val="21"/>
                <w:highlight w:val="none"/>
              </w:rPr>
              <w:t>雪峰街道</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红线/一般生态空间；三区三线生态红线\水源涵养重要区\湿地公园\原生态红线\生物多样性保护功能重要区\水土流失敏感区；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优先保护区/水环境工业园重点管控区/水环境城镇生活污染重点管控区/水环境一般管控区；湿地公园/工业园区/污水处理厂；湖南洞口平溪江国家级湿地公园/洞口经济开发区/洞口县污水处理厂；大气环境优先保护区/大气环境高排放重点管控区/大气环境受体敏感重点管控区/大气环境弱扩散重点管控区；湖南洞口平溪江国家湿地公园/洞口经济开发区；农用地优先保护区/其他重点管控区/一般管控区；矿区；洞口经济开发区；农产品主产区/宜开发矿产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651" w:type="dxa"/>
            <w:vAlign w:val="center"/>
          </w:tcPr>
          <w:p>
            <w:pPr>
              <w:widowControl/>
              <w:jc w:val="center"/>
              <w:rPr>
                <w:b/>
                <w:color w:val="000000"/>
                <w:szCs w:val="21"/>
                <w:highlight w:val="none"/>
              </w:rPr>
            </w:pPr>
            <w:r>
              <w:rPr>
                <w:rFonts w:hint="eastAsia"/>
                <w:b/>
                <w:color w:val="000000"/>
                <w:szCs w:val="21"/>
                <w:highlight w:val="none"/>
              </w:rPr>
              <w:t>管控维度</w:t>
            </w:r>
          </w:p>
        </w:tc>
        <w:tc>
          <w:tcPr>
            <w:tcW w:w="8924"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3373" w:type="dxa"/>
            <w:gridSpan w:val="2"/>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空间布局约束</w:t>
            </w:r>
          </w:p>
        </w:tc>
        <w:tc>
          <w:tcPr>
            <w:tcW w:w="8924"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）禁止新建有机类危险废物热（裂）解处理项目。</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（1.</w:t>
            </w:r>
            <w:r>
              <w:rPr>
                <w:rFonts w:hint="eastAsia" w:cs="Times New Roman"/>
                <w:strike w:val="0"/>
                <w:dstrike w:val="0"/>
                <w:color w:val="000000"/>
                <w:szCs w:val="21"/>
                <w:highlight w:val="none"/>
                <w:lang w:val="en-US" w:eastAsia="zh-CN"/>
              </w:rPr>
              <w:t>4</w:t>
            </w:r>
            <w:r>
              <w:rPr>
                <w:rFonts w:hint="eastAsia" w:ascii="Times New Roman" w:hAnsi="Times New Roman" w:eastAsia="宋体" w:cs="Times New Roman"/>
                <w:strike w:val="0"/>
                <w:dstrike w:val="0"/>
                <w:color w:val="000000"/>
                <w:szCs w:val="21"/>
                <w:highlight w:val="none"/>
                <w:lang w:val="en-US" w:eastAsia="zh-CN"/>
              </w:rPr>
              <w:t>）禁止侵占自然湿地等水源涵养空间，已侵占的限期予以恢复。</w:t>
            </w:r>
          </w:p>
        </w:tc>
        <w:tc>
          <w:tcPr>
            <w:tcW w:w="3373" w:type="dxa"/>
            <w:gridSpan w:val="2"/>
            <w:vMerge w:val="restart"/>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 年洞口县深入打好污染防治攻坚战工作方案》</w:t>
            </w:r>
          </w:p>
          <w:p>
            <w:pPr>
              <w:rPr>
                <w:highlight w:val="none"/>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污染物排放管控</w:t>
            </w:r>
          </w:p>
        </w:tc>
        <w:tc>
          <w:tcPr>
            <w:tcW w:w="8924"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2.2.3</w:t>
            </w:r>
            <w:r>
              <w:rPr>
                <w:rFonts w:hint="eastAsia"/>
                <w:strike w:val="0"/>
                <w:dstrike w:val="0"/>
                <w:color w:val="000000"/>
                <w:szCs w:val="21"/>
                <w:highlight w:val="none"/>
                <w:lang w:eastAsia="zh-CN"/>
              </w:rPr>
              <w:t>）加强汽修行业VOCs综合治理，加大餐饮油烟污染治理力度。</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dstrike w:val="0"/>
                <w:color w:val="000000"/>
                <w:szCs w:val="21"/>
                <w:highlight w:val="none"/>
              </w:rPr>
            </w:pPr>
            <w:r>
              <w:rPr>
                <w:rFonts w:hint="eastAsia"/>
                <w:strike w:val="0"/>
                <w:dstrike w:val="0"/>
                <w:color w:val="000000"/>
                <w:szCs w:val="21"/>
                <w:highlight w:val="none"/>
                <w:lang w:val="en-US" w:eastAsia="zh-CN"/>
              </w:rPr>
              <w:t>（2.3.2）全面禁止废塑料进口，推广使用可降解塑料制品、塑料替代产品。</w:t>
            </w:r>
          </w:p>
        </w:tc>
        <w:tc>
          <w:tcPr>
            <w:tcW w:w="3373"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环境风险防控</w:t>
            </w:r>
          </w:p>
        </w:tc>
        <w:tc>
          <w:tcPr>
            <w:tcW w:w="8924"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tc>
        <w:tc>
          <w:tcPr>
            <w:tcW w:w="3373" w:type="dxa"/>
            <w:gridSpan w:val="2"/>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51" w:type="dxa"/>
            <w:vAlign w:val="center"/>
          </w:tcPr>
          <w:p>
            <w:pPr>
              <w:widowControl/>
              <w:jc w:val="center"/>
              <w:rPr>
                <w:color w:val="000000"/>
                <w:szCs w:val="21"/>
                <w:highlight w:val="none"/>
              </w:rPr>
            </w:pPr>
            <w:r>
              <w:rPr>
                <w:rFonts w:hint="eastAsia"/>
                <w:color w:val="000000"/>
                <w:szCs w:val="21"/>
                <w:highlight w:val="none"/>
              </w:rPr>
              <w:t>资源开发效率要求</w:t>
            </w:r>
          </w:p>
        </w:tc>
        <w:tc>
          <w:tcPr>
            <w:tcW w:w="8924" w:type="dxa"/>
            <w:gridSpan w:val="9"/>
            <w:vAlign w:val="top"/>
          </w:tcPr>
          <w:p>
            <w:pPr>
              <w:tabs>
                <w:tab w:val="left" w:pos="1021"/>
              </w:tabs>
              <w:jc w:val="both"/>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jc w:val="both"/>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jc w:val="both"/>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ind w:firstLine="420" w:firstLineChars="200"/>
              <w:jc w:val="both"/>
              <w:rPr>
                <w:rFonts w:hint="eastAsia"/>
                <w:strike/>
                <w:dstrike w:val="0"/>
                <w:color w:val="000000"/>
                <w:szCs w:val="21"/>
                <w:highlight w:val="none"/>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tc>
        <w:tc>
          <w:tcPr>
            <w:tcW w:w="3373" w:type="dxa"/>
            <w:gridSpan w:val="2"/>
            <w:vMerge w:val="continue"/>
            <w:vAlign w:val="center"/>
          </w:tcPr>
          <w:p>
            <w:pPr>
              <w:rPr>
                <w:highlight w:val="none"/>
              </w:rPr>
            </w:pPr>
          </w:p>
        </w:tc>
      </w:tr>
    </w:tbl>
    <w:p>
      <w:pPr>
        <w:widowControl/>
        <w:jc w:val="left"/>
        <w:rPr>
          <w:color w:val="000000"/>
        </w:rPr>
        <w:sectPr>
          <w:pgSz w:w="16838" w:h="11906" w:orient="landscape"/>
          <w:pgMar w:top="1800" w:right="1440" w:bottom="1800" w:left="1440" w:header="851" w:footer="992" w:gutter="0"/>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876"/>
        <w:gridCol w:w="769"/>
        <w:gridCol w:w="427"/>
        <w:gridCol w:w="427"/>
        <w:gridCol w:w="427"/>
        <w:gridCol w:w="821"/>
        <w:gridCol w:w="1208"/>
        <w:gridCol w:w="1307"/>
        <w:gridCol w:w="2898"/>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0" w:type="auto"/>
            <w:vMerge w:val="restart"/>
            <w:vAlign w:val="center"/>
          </w:tcPr>
          <w:p>
            <w:pPr>
              <w:widowControl/>
              <w:jc w:val="center"/>
              <w:rPr>
                <w:b/>
                <w:color w:val="000000"/>
                <w:kern w:val="0"/>
                <w:szCs w:val="21"/>
                <w:highlight w:val="none"/>
              </w:rPr>
            </w:pPr>
            <w:r>
              <w:rPr>
                <w:color w:val="000000"/>
                <w:szCs w:val="21"/>
                <w:highlight w:val="none"/>
              </w:rPr>
              <w:br w:type="page"/>
            </w:r>
            <w:r>
              <w:rPr>
                <w:rFonts w:hint="eastAsia"/>
                <w:b/>
                <w:color w:val="000000"/>
                <w:kern w:val="0"/>
                <w:szCs w:val="21"/>
                <w:highlight w:val="none"/>
              </w:rPr>
              <w:t>环境管控单元编码</w:t>
            </w:r>
          </w:p>
        </w:tc>
        <w:tc>
          <w:tcPr>
            <w:tcW w:w="821" w:type="dxa"/>
            <w:vMerge w:val="restart"/>
            <w:vAlign w:val="center"/>
          </w:tcPr>
          <w:p>
            <w:pPr>
              <w:widowControl/>
              <w:jc w:val="center"/>
              <w:rPr>
                <w:b/>
                <w:color w:val="000000"/>
                <w:kern w:val="0"/>
                <w:szCs w:val="21"/>
                <w:highlight w:val="none"/>
              </w:rPr>
            </w:pPr>
            <w:r>
              <w:rPr>
                <w:rFonts w:hint="eastAsia"/>
                <w:b/>
                <w:color w:val="000000"/>
                <w:kern w:val="0"/>
                <w:szCs w:val="21"/>
                <w:highlight w:val="none"/>
              </w:rPr>
              <w:t>单元名称</w:t>
            </w:r>
          </w:p>
        </w:tc>
        <w:tc>
          <w:tcPr>
            <w:tcW w:w="1550" w:type="dxa"/>
            <w:gridSpan w:val="3"/>
            <w:vAlign w:val="center"/>
          </w:tcPr>
          <w:p>
            <w:pPr>
              <w:widowControl/>
              <w:jc w:val="center"/>
              <w:rPr>
                <w:b/>
                <w:color w:val="000000"/>
                <w:kern w:val="0"/>
                <w:szCs w:val="21"/>
                <w:highlight w:val="none"/>
              </w:rPr>
            </w:pPr>
            <w:r>
              <w:rPr>
                <w:rFonts w:hint="eastAsia"/>
                <w:b/>
                <w:color w:val="000000"/>
                <w:kern w:val="0"/>
                <w:szCs w:val="21"/>
                <w:highlight w:val="none"/>
              </w:rPr>
              <w:t>行政区划</w:t>
            </w:r>
          </w:p>
        </w:tc>
        <w:tc>
          <w:tcPr>
            <w:tcW w:w="0" w:type="auto"/>
            <w:vMerge w:val="restart"/>
            <w:vAlign w:val="center"/>
          </w:tcPr>
          <w:p>
            <w:pPr>
              <w:widowControl/>
              <w:jc w:val="center"/>
              <w:rPr>
                <w:b/>
                <w:color w:val="000000"/>
                <w:kern w:val="0"/>
                <w:szCs w:val="21"/>
                <w:highlight w:val="none"/>
              </w:rPr>
            </w:pPr>
            <w:r>
              <w:rPr>
                <w:rFonts w:hint="eastAsia"/>
                <w:b/>
                <w:color w:val="000000"/>
                <w:kern w:val="0"/>
                <w:szCs w:val="21"/>
                <w:highlight w:val="none"/>
              </w:rPr>
              <w:t>单元分类</w:t>
            </w:r>
          </w:p>
        </w:tc>
        <w:tc>
          <w:tcPr>
            <w:tcW w:w="0" w:type="auto"/>
            <w:vMerge w:val="restart"/>
            <w:vAlign w:val="center"/>
          </w:tcPr>
          <w:p>
            <w:pPr>
              <w:jc w:val="center"/>
              <w:rPr>
                <w:b/>
                <w:color w:val="000000"/>
                <w:kern w:val="0"/>
                <w:szCs w:val="21"/>
                <w:highlight w:val="none"/>
              </w:rPr>
            </w:pPr>
            <w:r>
              <w:rPr>
                <w:rFonts w:hint="eastAsia"/>
                <w:b/>
                <w:color w:val="000000"/>
                <w:kern w:val="0"/>
                <w:szCs w:val="21"/>
                <w:highlight w:val="none"/>
              </w:rPr>
              <w:t>单元面积</w:t>
            </w:r>
            <w:r>
              <w:rPr>
                <w:b/>
                <w:color w:val="000000"/>
                <w:kern w:val="0"/>
                <w:szCs w:val="21"/>
                <w:highlight w:val="none"/>
              </w:rPr>
              <w:t>(km</w:t>
            </w:r>
            <w:r>
              <w:rPr>
                <w:b/>
                <w:color w:val="000000"/>
                <w:kern w:val="0"/>
                <w:szCs w:val="21"/>
                <w:highlight w:val="none"/>
                <w:vertAlign w:val="superscript"/>
              </w:rPr>
              <w:t>2</w:t>
            </w:r>
            <w:r>
              <w:rPr>
                <w:b/>
                <w:color w:val="000000"/>
                <w:kern w:val="0"/>
                <w:szCs w:val="21"/>
                <w:highlight w:val="none"/>
              </w:rPr>
              <w:t>)</w:t>
            </w:r>
          </w:p>
        </w:tc>
        <w:tc>
          <w:tcPr>
            <w:tcW w:w="1175" w:type="dxa"/>
            <w:vMerge w:val="restart"/>
            <w:vAlign w:val="center"/>
          </w:tcPr>
          <w:p>
            <w:pPr>
              <w:jc w:val="center"/>
              <w:rPr>
                <w:b/>
                <w:color w:val="000000"/>
                <w:kern w:val="0"/>
                <w:szCs w:val="21"/>
                <w:highlight w:val="none"/>
              </w:rPr>
            </w:pPr>
            <w:r>
              <w:rPr>
                <w:rFonts w:hint="eastAsia"/>
                <w:b/>
                <w:color w:val="000000"/>
                <w:kern w:val="0"/>
                <w:szCs w:val="21"/>
                <w:highlight w:val="none"/>
              </w:rPr>
              <w:t>涉及乡镇</w:t>
            </w:r>
            <w:r>
              <w:rPr>
                <w:b/>
                <w:color w:val="000000"/>
                <w:kern w:val="0"/>
                <w:szCs w:val="21"/>
                <w:highlight w:val="none"/>
              </w:rPr>
              <w:t>(</w:t>
            </w:r>
            <w:r>
              <w:rPr>
                <w:rFonts w:hint="eastAsia"/>
                <w:b/>
                <w:color w:val="000000"/>
                <w:kern w:val="0"/>
                <w:szCs w:val="21"/>
                <w:highlight w:val="none"/>
              </w:rPr>
              <w:t>街道</w:t>
            </w:r>
            <w:r>
              <w:rPr>
                <w:b/>
                <w:color w:val="000000"/>
                <w:kern w:val="0"/>
                <w:szCs w:val="21"/>
                <w:highlight w:val="none"/>
              </w:rPr>
              <w:t>)</w:t>
            </w:r>
          </w:p>
        </w:tc>
        <w:tc>
          <w:tcPr>
            <w:tcW w:w="1225" w:type="dxa"/>
            <w:vMerge w:val="restart"/>
            <w:vAlign w:val="center"/>
          </w:tcPr>
          <w:p>
            <w:pPr>
              <w:jc w:val="center"/>
              <w:rPr>
                <w:b/>
                <w:color w:val="000000"/>
                <w:kern w:val="0"/>
                <w:szCs w:val="21"/>
                <w:highlight w:val="none"/>
              </w:rPr>
            </w:pPr>
            <w:r>
              <w:rPr>
                <w:rFonts w:hint="eastAsia"/>
                <w:b/>
                <w:color w:val="000000"/>
                <w:kern w:val="0"/>
                <w:szCs w:val="21"/>
                <w:highlight w:val="none"/>
              </w:rPr>
              <w:t>主体功能定位</w:t>
            </w:r>
          </w:p>
        </w:tc>
        <w:tc>
          <w:tcPr>
            <w:tcW w:w="3079" w:type="dxa"/>
            <w:vMerge w:val="restart"/>
            <w:vAlign w:val="center"/>
          </w:tcPr>
          <w:p>
            <w:pPr>
              <w:jc w:val="center"/>
              <w:rPr>
                <w:b/>
                <w:color w:val="000000"/>
                <w:kern w:val="0"/>
                <w:szCs w:val="21"/>
                <w:highlight w:val="none"/>
              </w:rPr>
            </w:pPr>
            <w:r>
              <w:rPr>
                <w:rFonts w:hint="eastAsia"/>
                <w:b/>
                <w:color w:val="000000"/>
                <w:kern w:val="0"/>
                <w:szCs w:val="21"/>
                <w:highlight w:val="none"/>
                <w:lang w:val="en-US" w:eastAsia="zh-CN"/>
              </w:rPr>
              <w:t>①</w:t>
            </w:r>
            <w:r>
              <w:rPr>
                <w:rFonts w:hint="eastAsia"/>
                <w:b/>
                <w:color w:val="000000"/>
                <w:kern w:val="0"/>
                <w:szCs w:val="21"/>
                <w:highlight w:val="none"/>
              </w:rPr>
              <w:t>经济产业布局</w:t>
            </w:r>
          </w:p>
        </w:tc>
        <w:tc>
          <w:tcPr>
            <w:tcW w:w="3425" w:type="dxa"/>
            <w:vMerge w:val="restart"/>
            <w:vAlign w:val="center"/>
          </w:tcPr>
          <w:p>
            <w:pPr>
              <w:jc w:val="center"/>
              <w:rPr>
                <w:b/>
                <w:color w:val="000000"/>
                <w:kern w:val="0"/>
                <w:szCs w:val="21"/>
                <w:highlight w:val="none"/>
              </w:rPr>
            </w:pPr>
            <w:r>
              <w:rPr>
                <w:rFonts w:hint="eastAsia"/>
                <w:b/>
                <w:color w:val="000000"/>
                <w:kern w:val="0"/>
                <w:szCs w:val="21"/>
                <w:highlight w:val="none"/>
              </w:rPr>
              <w:t>主要环境问题</w:t>
            </w:r>
            <w:r>
              <w:rPr>
                <w:rFonts w:hint="eastAsia"/>
                <w:b/>
                <w:color w:val="000000"/>
                <w:kern w:val="0"/>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blHeader/>
          <w:jc w:val="center"/>
        </w:trPr>
        <w:tc>
          <w:tcPr>
            <w:tcW w:w="0" w:type="auto"/>
            <w:vMerge w:val="continue"/>
            <w:vAlign w:val="center"/>
          </w:tcPr>
          <w:p>
            <w:pPr>
              <w:rPr>
                <w:highlight w:val="none"/>
              </w:rPr>
            </w:pPr>
          </w:p>
        </w:tc>
        <w:tc>
          <w:tcPr>
            <w:tcW w:w="821" w:type="dxa"/>
            <w:vMerge w:val="continue"/>
            <w:vAlign w:val="center"/>
          </w:tcPr>
          <w:p>
            <w:pPr>
              <w:rPr>
                <w:highlight w:val="none"/>
              </w:rPr>
            </w:pPr>
          </w:p>
        </w:tc>
        <w:tc>
          <w:tcPr>
            <w:tcW w:w="696" w:type="dxa"/>
            <w:vAlign w:val="center"/>
          </w:tcPr>
          <w:p>
            <w:pPr>
              <w:jc w:val="center"/>
              <w:rPr>
                <w:b/>
                <w:color w:val="000000"/>
                <w:szCs w:val="21"/>
                <w:highlight w:val="none"/>
              </w:rPr>
            </w:pPr>
            <w:r>
              <w:rPr>
                <w:rFonts w:hint="eastAsia"/>
                <w:b/>
                <w:color w:val="000000"/>
                <w:szCs w:val="21"/>
                <w:highlight w:val="none"/>
              </w:rPr>
              <w:t>省</w:t>
            </w:r>
          </w:p>
        </w:tc>
        <w:tc>
          <w:tcPr>
            <w:tcW w:w="0" w:type="auto"/>
            <w:vAlign w:val="center"/>
          </w:tcPr>
          <w:p>
            <w:pPr>
              <w:jc w:val="center"/>
              <w:rPr>
                <w:b/>
                <w:color w:val="000000"/>
                <w:szCs w:val="21"/>
                <w:highlight w:val="none"/>
              </w:rPr>
            </w:pPr>
            <w:r>
              <w:rPr>
                <w:rFonts w:hint="eastAsia"/>
                <w:b/>
                <w:color w:val="000000"/>
                <w:szCs w:val="21"/>
                <w:highlight w:val="none"/>
              </w:rPr>
              <w:t>市</w:t>
            </w:r>
          </w:p>
        </w:tc>
        <w:tc>
          <w:tcPr>
            <w:tcW w:w="0" w:type="auto"/>
            <w:vAlign w:val="center"/>
          </w:tcPr>
          <w:p>
            <w:pPr>
              <w:jc w:val="center"/>
              <w:rPr>
                <w:b/>
                <w:color w:val="000000"/>
                <w:szCs w:val="21"/>
                <w:highlight w:val="none"/>
              </w:rPr>
            </w:pPr>
            <w:r>
              <w:rPr>
                <w:rFonts w:hint="eastAsia"/>
                <w:b/>
                <w:color w:val="000000"/>
                <w:szCs w:val="21"/>
                <w:highlight w:val="none"/>
              </w:rPr>
              <w:t>县</w:t>
            </w:r>
          </w:p>
        </w:tc>
        <w:tc>
          <w:tcPr>
            <w:tcW w:w="0" w:type="auto"/>
            <w:vMerge w:val="continue"/>
            <w:vAlign w:val="center"/>
          </w:tcPr>
          <w:p>
            <w:pPr>
              <w:rPr>
                <w:highlight w:val="none"/>
              </w:rPr>
            </w:pPr>
          </w:p>
        </w:tc>
        <w:tc>
          <w:tcPr>
            <w:tcW w:w="0" w:type="auto"/>
            <w:vMerge w:val="continue"/>
            <w:vAlign w:val="center"/>
          </w:tcPr>
          <w:p>
            <w:pPr>
              <w:rPr>
                <w:highlight w:val="none"/>
              </w:rPr>
            </w:pPr>
          </w:p>
        </w:tc>
        <w:tc>
          <w:tcPr>
            <w:tcW w:w="1175" w:type="dxa"/>
            <w:vMerge w:val="continue"/>
            <w:vAlign w:val="center"/>
          </w:tcPr>
          <w:p>
            <w:pPr>
              <w:rPr>
                <w:highlight w:val="none"/>
              </w:rPr>
            </w:pPr>
          </w:p>
        </w:tc>
        <w:tc>
          <w:tcPr>
            <w:tcW w:w="1225" w:type="dxa"/>
            <w:vMerge w:val="continue"/>
            <w:vAlign w:val="center"/>
          </w:tcPr>
          <w:p>
            <w:pPr>
              <w:rPr>
                <w:highlight w:val="none"/>
              </w:rPr>
            </w:pPr>
          </w:p>
        </w:tc>
        <w:tc>
          <w:tcPr>
            <w:tcW w:w="3079" w:type="dxa"/>
            <w:vMerge w:val="continue"/>
            <w:vAlign w:val="center"/>
          </w:tcPr>
          <w:p>
            <w:pPr>
              <w:rPr>
                <w:highlight w:val="none"/>
              </w:rPr>
            </w:pPr>
          </w:p>
        </w:tc>
        <w:tc>
          <w:tcPr>
            <w:tcW w:w="342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0" w:type="auto"/>
            <w:vAlign w:val="center"/>
          </w:tcPr>
          <w:p>
            <w:pPr>
              <w:jc w:val="center"/>
              <w:rPr>
                <w:color w:val="000000"/>
                <w:szCs w:val="21"/>
                <w:highlight w:val="none"/>
              </w:rPr>
            </w:pPr>
            <w:r>
              <w:rPr>
                <w:color w:val="000000"/>
                <w:szCs w:val="21"/>
                <w:highlight w:val="none"/>
              </w:rPr>
              <w:t>ZH43052530001</w:t>
            </w:r>
          </w:p>
        </w:tc>
        <w:tc>
          <w:tcPr>
            <w:tcW w:w="821" w:type="dxa"/>
            <w:vAlign w:val="center"/>
          </w:tcPr>
          <w:p>
            <w:pPr>
              <w:jc w:val="center"/>
              <w:rPr>
                <w:color w:val="000000"/>
                <w:szCs w:val="21"/>
                <w:highlight w:val="none"/>
              </w:rPr>
            </w:pPr>
            <w:r>
              <w:rPr>
                <w:rFonts w:hint="eastAsia"/>
                <w:color w:val="000000"/>
                <w:szCs w:val="21"/>
                <w:highlight w:val="none"/>
              </w:rPr>
              <w:t>醪田镇</w:t>
            </w:r>
            <w:r>
              <w:rPr>
                <w:rFonts w:hint="eastAsia"/>
                <w:color w:val="000000"/>
                <w:szCs w:val="21"/>
                <w:highlight w:val="none"/>
                <w:lang w:eastAsia="zh-CN"/>
              </w:rPr>
              <w:t>/</w:t>
            </w:r>
            <w:r>
              <w:rPr>
                <w:rFonts w:hint="eastAsia"/>
                <w:color w:val="000000"/>
                <w:szCs w:val="21"/>
                <w:highlight w:val="none"/>
              </w:rPr>
              <w:t>山门镇</w:t>
            </w:r>
            <w:r>
              <w:rPr>
                <w:rFonts w:hint="eastAsia"/>
                <w:color w:val="000000"/>
                <w:szCs w:val="21"/>
                <w:highlight w:val="none"/>
                <w:lang w:eastAsia="zh-CN"/>
              </w:rPr>
              <w:t>/</w:t>
            </w:r>
            <w:r>
              <w:rPr>
                <w:rFonts w:hint="eastAsia"/>
                <w:color w:val="000000"/>
                <w:szCs w:val="21"/>
                <w:highlight w:val="none"/>
              </w:rPr>
              <w:t>水东镇</w:t>
            </w:r>
          </w:p>
        </w:tc>
        <w:tc>
          <w:tcPr>
            <w:tcW w:w="696" w:type="dxa"/>
            <w:vAlign w:val="center"/>
          </w:tcPr>
          <w:p>
            <w:pPr>
              <w:jc w:val="center"/>
              <w:rPr>
                <w:color w:val="000000"/>
                <w:szCs w:val="21"/>
                <w:highlight w:val="none"/>
              </w:rPr>
            </w:pPr>
            <w:r>
              <w:rPr>
                <w:rFonts w:hint="eastAsia"/>
                <w:color w:val="000000"/>
                <w:szCs w:val="21"/>
                <w:highlight w:val="none"/>
              </w:rPr>
              <w:t>湖南省</w:t>
            </w:r>
          </w:p>
        </w:tc>
        <w:tc>
          <w:tcPr>
            <w:tcW w:w="0" w:type="auto"/>
            <w:vAlign w:val="center"/>
          </w:tcPr>
          <w:p>
            <w:pPr>
              <w:jc w:val="center"/>
              <w:rPr>
                <w:color w:val="000000"/>
                <w:szCs w:val="21"/>
                <w:highlight w:val="none"/>
              </w:rPr>
            </w:pPr>
            <w:r>
              <w:rPr>
                <w:rFonts w:hint="eastAsia"/>
                <w:color w:val="000000"/>
                <w:szCs w:val="21"/>
                <w:highlight w:val="none"/>
              </w:rPr>
              <w:t>邵阳市</w:t>
            </w:r>
          </w:p>
        </w:tc>
        <w:tc>
          <w:tcPr>
            <w:tcW w:w="0" w:type="auto"/>
            <w:vAlign w:val="center"/>
          </w:tcPr>
          <w:p>
            <w:pPr>
              <w:jc w:val="center"/>
              <w:rPr>
                <w:color w:val="000000"/>
                <w:szCs w:val="21"/>
                <w:highlight w:val="none"/>
              </w:rPr>
            </w:pPr>
            <w:r>
              <w:rPr>
                <w:rFonts w:hint="eastAsia"/>
                <w:color w:val="000000"/>
                <w:szCs w:val="21"/>
                <w:highlight w:val="none"/>
              </w:rPr>
              <w:t>洞口县</w:t>
            </w:r>
          </w:p>
        </w:tc>
        <w:tc>
          <w:tcPr>
            <w:tcW w:w="0" w:type="auto"/>
            <w:vAlign w:val="center"/>
          </w:tcPr>
          <w:p>
            <w:pPr>
              <w:jc w:val="center"/>
              <w:rPr>
                <w:color w:val="000000"/>
                <w:szCs w:val="21"/>
                <w:highlight w:val="none"/>
              </w:rPr>
            </w:pPr>
            <w:r>
              <w:rPr>
                <w:rFonts w:hint="eastAsia"/>
                <w:color w:val="000000"/>
                <w:szCs w:val="21"/>
                <w:highlight w:val="none"/>
              </w:rPr>
              <w:t>一般管控单元</w:t>
            </w:r>
          </w:p>
        </w:tc>
        <w:tc>
          <w:tcPr>
            <w:tcW w:w="0" w:type="auto"/>
            <w:vAlign w:val="center"/>
          </w:tcPr>
          <w:p>
            <w:pPr>
              <w:jc w:val="center"/>
              <w:rPr>
                <w:rFonts w:hint="default" w:eastAsia="宋体"/>
                <w:strike/>
                <w:dstrike w:val="0"/>
                <w:color w:val="000000"/>
                <w:sz w:val="22"/>
                <w:highlight w:val="none"/>
                <w:lang w:val="en-US" w:eastAsia="zh-CN"/>
              </w:rPr>
            </w:pPr>
            <w:r>
              <w:rPr>
                <w:rFonts w:hint="eastAsia"/>
                <w:strike w:val="0"/>
                <w:dstrike w:val="0"/>
                <w:color w:val="000000"/>
                <w:sz w:val="22"/>
                <w:highlight w:val="none"/>
                <w:lang w:val="en-US" w:eastAsia="zh-CN"/>
              </w:rPr>
              <w:t>190.20</w:t>
            </w:r>
          </w:p>
        </w:tc>
        <w:tc>
          <w:tcPr>
            <w:tcW w:w="1175" w:type="dxa"/>
            <w:vAlign w:val="center"/>
          </w:tcPr>
          <w:p>
            <w:pPr>
              <w:jc w:val="center"/>
              <w:rPr>
                <w:color w:val="000000"/>
                <w:szCs w:val="21"/>
                <w:highlight w:val="none"/>
              </w:rPr>
            </w:pPr>
            <w:r>
              <w:rPr>
                <w:rFonts w:hint="eastAsia"/>
                <w:color w:val="000000"/>
                <w:szCs w:val="21"/>
                <w:highlight w:val="none"/>
              </w:rPr>
              <w:t>醪田镇</w:t>
            </w:r>
            <w:r>
              <w:rPr>
                <w:rFonts w:hint="eastAsia"/>
                <w:color w:val="000000"/>
                <w:szCs w:val="21"/>
                <w:highlight w:val="none"/>
                <w:lang w:eastAsia="zh-CN"/>
              </w:rPr>
              <w:t>/</w:t>
            </w:r>
            <w:r>
              <w:rPr>
                <w:rFonts w:hint="eastAsia"/>
                <w:color w:val="000000"/>
                <w:szCs w:val="21"/>
                <w:highlight w:val="none"/>
              </w:rPr>
              <w:t>山门镇</w:t>
            </w:r>
            <w:r>
              <w:rPr>
                <w:rFonts w:hint="eastAsia"/>
                <w:color w:val="000000"/>
                <w:szCs w:val="21"/>
                <w:highlight w:val="none"/>
                <w:lang w:eastAsia="zh-CN"/>
              </w:rPr>
              <w:t>/</w:t>
            </w:r>
            <w:r>
              <w:rPr>
                <w:rFonts w:hint="eastAsia"/>
                <w:color w:val="000000"/>
                <w:szCs w:val="21"/>
                <w:highlight w:val="none"/>
              </w:rPr>
              <w:t>水东镇</w:t>
            </w:r>
          </w:p>
        </w:tc>
        <w:tc>
          <w:tcPr>
            <w:tcW w:w="1225" w:type="dxa"/>
            <w:vAlign w:val="center"/>
          </w:tcPr>
          <w:p>
            <w:pPr>
              <w:jc w:val="center"/>
              <w:rPr>
                <w:rFonts w:hint="eastAsia"/>
                <w:b/>
                <w:bCs/>
                <w:color w:val="000000"/>
                <w:szCs w:val="21"/>
                <w:highlight w:val="none"/>
                <w:lang w:eastAsia="zh-CN"/>
              </w:rPr>
            </w:pPr>
            <w:r>
              <w:rPr>
                <w:rFonts w:hint="eastAsia"/>
                <w:b/>
                <w:bCs/>
                <w:color w:val="000000"/>
                <w:szCs w:val="21"/>
                <w:highlight w:val="none"/>
              </w:rPr>
              <w:t>醪田镇</w:t>
            </w:r>
            <w:r>
              <w:rPr>
                <w:rFonts w:hint="eastAsia"/>
                <w:b/>
                <w:bCs/>
                <w:color w:val="000000"/>
                <w:szCs w:val="21"/>
                <w:highlight w:val="none"/>
                <w:lang w:eastAsia="zh-CN"/>
              </w:rPr>
              <w:t>：</w:t>
            </w:r>
          </w:p>
          <w:p>
            <w:pPr>
              <w:jc w:val="center"/>
              <w:rPr>
                <w:rFonts w:hint="eastAsia"/>
                <w:b/>
                <w:bCs/>
                <w:color w:val="000000"/>
                <w:szCs w:val="21"/>
                <w:highlight w:val="none"/>
                <w:lang w:eastAsia="zh-CN"/>
              </w:rPr>
            </w:pPr>
            <w:r>
              <w:rPr>
                <w:rFonts w:hint="eastAsia"/>
                <w:b w:val="0"/>
                <w:bCs w:val="0"/>
                <w:color w:val="000000"/>
                <w:szCs w:val="21"/>
                <w:highlight w:val="none"/>
                <w:lang w:val="en-US" w:eastAsia="zh-CN"/>
              </w:rPr>
              <w:t>农产品主产区</w:t>
            </w:r>
          </w:p>
          <w:p>
            <w:pPr>
              <w:jc w:val="center"/>
              <w:rPr>
                <w:rFonts w:hint="eastAsia"/>
                <w:b/>
                <w:bCs/>
                <w:color w:val="000000"/>
                <w:szCs w:val="21"/>
                <w:highlight w:val="none"/>
                <w:lang w:eastAsia="zh-CN"/>
              </w:rPr>
            </w:pPr>
            <w:r>
              <w:rPr>
                <w:rFonts w:hint="eastAsia"/>
                <w:b/>
                <w:bCs/>
                <w:color w:val="000000"/>
                <w:szCs w:val="21"/>
                <w:highlight w:val="none"/>
              </w:rPr>
              <w:t>山门镇</w:t>
            </w:r>
            <w:r>
              <w:rPr>
                <w:rFonts w:hint="eastAsia"/>
                <w:b/>
                <w:bCs/>
                <w:color w:val="000000"/>
                <w:szCs w:val="21"/>
                <w:highlight w:val="none"/>
                <w:lang w:eastAsia="zh-CN"/>
              </w:rPr>
              <w:t>：</w:t>
            </w:r>
          </w:p>
          <w:p>
            <w:pPr>
              <w:jc w:val="center"/>
              <w:rPr>
                <w:rFonts w:hint="eastAsia"/>
                <w:b/>
                <w:bCs/>
                <w:color w:val="000000"/>
                <w:szCs w:val="21"/>
                <w:highlight w:val="none"/>
                <w:lang w:eastAsia="zh-CN"/>
              </w:rPr>
            </w:pPr>
            <w:r>
              <w:rPr>
                <w:rFonts w:hint="eastAsia"/>
                <w:b w:val="0"/>
                <w:bCs w:val="0"/>
                <w:color w:val="000000"/>
                <w:szCs w:val="21"/>
                <w:highlight w:val="none"/>
                <w:lang w:val="en-US" w:eastAsia="zh-CN"/>
              </w:rPr>
              <w:t>矿区/农产品主产区/历史文化资源富集区/宜开发矿产资源富集区</w:t>
            </w:r>
          </w:p>
          <w:p>
            <w:pPr>
              <w:jc w:val="center"/>
              <w:rPr>
                <w:rFonts w:hint="eastAsia"/>
                <w:b/>
                <w:bCs/>
                <w:color w:val="000000"/>
                <w:szCs w:val="21"/>
                <w:highlight w:val="none"/>
                <w:lang w:eastAsia="zh-CN"/>
              </w:rPr>
            </w:pPr>
            <w:r>
              <w:rPr>
                <w:rFonts w:hint="eastAsia"/>
                <w:b/>
                <w:bCs/>
                <w:color w:val="000000"/>
                <w:szCs w:val="21"/>
                <w:highlight w:val="none"/>
              </w:rPr>
              <w:t>水东镇</w:t>
            </w:r>
            <w:r>
              <w:rPr>
                <w:rFonts w:hint="eastAsia"/>
                <w:b/>
                <w:bCs/>
                <w:color w:val="000000"/>
                <w:szCs w:val="21"/>
                <w:highlight w:val="none"/>
                <w:lang w:eastAsia="zh-CN"/>
              </w:rPr>
              <w:t>：</w:t>
            </w:r>
          </w:p>
          <w:p>
            <w:pPr>
              <w:jc w:val="center"/>
              <w:rPr>
                <w:rFonts w:hint="default"/>
                <w:b/>
                <w:bCs/>
                <w:color w:val="000000"/>
                <w:szCs w:val="21"/>
                <w:highlight w:val="none"/>
                <w:lang w:val="en-US" w:eastAsia="zh-CN"/>
              </w:rPr>
            </w:pPr>
            <w:r>
              <w:rPr>
                <w:rFonts w:hint="eastAsia"/>
                <w:b w:val="0"/>
                <w:bCs w:val="0"/>
                <w:color w:val="000000"/>
                <w:szCs w:val="21"/>
                <w:highlight w:val="none"/>
                <w:lang w:val="en-US" w:eastAsia="zh-CN"/>
              </w:rPr>
              <w:t>农产品主产区</w:t>
            </w:r>
          </w:p>
        </w:tc>
        <w:tc>
          <w:tcPr>
            <w:tcW w:w="3079" w:type="dxa"/>
            <w:vAlign w:val="center"/>
          </w:tcPr>
          <w:p>
            <w:pPr>
              <w:jc w:val="both"/>
              <w:rPr>
                <w:rFonts w:hint="default"/>
                <w:strike/>
                <w:dstrike w:val="0"/>
                <w:kern w:val="0"/>
                <w:szCs w:val="21"/>
                <w:highlight w:val="none"/>
                <w:lang w:val="en-US"/>
              </w:rPr>
            </w:pPr>
            <w:r>
              <w:rPr>
                <w:rFonts w:hint="eastAsia"/>
                <w:b/>
                <w:bCs/>
                <w:color w:val="000000"/>
                <w:szCs w:val="21"/>
                <w:highlight w:val="none"/>
              </w:rPr>
              <w:t>醪田镇</w:t>
            </w:r>
            <w:r>
              <w:rPr>
                <w:rFonts w:hint="eastAsia"/>
                <w:b/>
                <w:bCs/>
                <w:color w:val="000000"/>
                <w:szCs w:val="21"/>
                <w:highlight w:val="none"/>
                <w:lang w:eastAsia="zh-CN"/>
              </w:rPr>
              <w:t>：</w:t>
            </w:r>
            <w:r>
              <w:rPr>
                <w:rFonts w:hint="eastAsia" w:cstheme="minorBidi"/>
                <w:strike w:val="0"/>
                <w:dstrike w:val="0"/>
                <w:kern w:val="2"/>
                <w:sz w:val="21"/>
                <w:szCs w:val="24"/>
                <w:highlight w:val="none"/>
                <w:vertAlign w:val="baseline"/>
                <w:lang w:val="en-US" w:eastAsia="zh-CN" w:bidi="ar-SA"/>
              </w:rPr>
              <w:t>农业种植、畜禽养殖、农副产品加工、食品加工、非金属矿物制品业、矿山开采、电子设备制造、旅游开发及旅游产品加工、社会事业、再生资源利用行业等</w:t>
            </w:r>
          </w:p>
          <w:p>
            <w:pPr>
              <w:jc w:val="both"/>
              <w:rPr>
                <w:rFonts w:hint="eastAsia" w:cstheme="minorBidi"/>
                <w:strike w:val="0"/>
                <w:dstrike w:val="0"/>
                <w:kern w:val="2"/>
                <w:sz w:val="21"/>
                <w:szCs w:val="24"/>
                <w:highlight w:val="none"/>
                <w:vertAlign w:val="baseline"/>
                <w:lang w:val="en-US" w:eastAsia="zh-CN" w:bidi="ar-SA"/>
              </w:rPr>
            </w:pPr>
            <w:r>
              <w:rPr>
                <w:rFonts w:hint="eastAsia"/>
                <w:b/>
                <w:bCs/>
                <w:color w:val="000000"/>
                <w:szCs w:val="21"/>
                <w:highlight w:val="none"/>
              </w:rPr>
              <w:t>山门镇</w:t>
            </w:r>
            <w:r>
              <w:rPr>
                <w:rFonts w:hint="eastAsia"/>
                <w:b/>
                <w:bCs/>
                <w:color w:val="000000"/>
                <w:szCs w:val="21"/>
                <w:highlight w:val="none"/>
                <w:lang w:eastAsia="zh-CN"/>
              </w:rPr>
              <w:t>：</w:t>
            </w:r>
            <w:r>
              <w:rPr>
                <w:rFonts w:hint="eastAsia" w:cstheme="minorBidi"/>
                <w:strike w:val="0"/>
                <w:dstrike w:val="0"/>
                <w:kern w:val="2"/>
                <w:sz w:val="21"/>
                <w:szCs w:val="24"/>
                <w:highlight w:val="none"/>
                <w:vertAlign w:val="baseline"/>
                <w:lang w:val="en-US" w:eastAsia="zh-CN" w:bidi="ar-SA"/>
              </w:rPr>
              <w:t>农业种植、畜禽养殖、农副产品加工、食品加工、非金属矿物制品业、矿山开采、电子设备制造、旅游开发及旅游产品加工、社会事业、再生资源利用行业等</w:t>
            </w:r>
          </w:p>
          <w:p>
            <w:pPr>
              <w:jc w:val="both"/>
              <w:rPr>
                <w:rFonts w:hint="eastAsia" w:eastAsia="宋体"/>
                <w:strike/>
                <w:dstrike w:val="0"/>
                <w:kern w:val="0"/>
                <w:szCs w:val="21"/>
                <w:highlight w:val="none"/>
                <w:lang w:eastAsia="zh-CN"/>
              </w:rPr>
            </w:pPr>
            <w:r>
              <w:rPr>
                <w:rFonts w:hint="eastAsia"/>
                <w:b/>
                <w:bCs/>
                <w:strike w:val="0"/>
                <w:dstrike w:val="0"/>
                <w:color w:val="000000"/>
                <w:szCs w:val="21"/>
                <w:highlight w:val="none"/>
              </w:rPr>
              <w:t>水东镇</w:t>
            </w:r>
            <w:r>
              <w:rPr>
                <w:rFonts w:hint="eastAsia"/>
                <w:b/>
                <w:bCs/>
                <w:strike w:val="0"/>
                <w:dstrike w:val="0"/>
                <w:color w:val="000000"/>
                <w:szCs w:val="21"/>
                <w:highlight w:val="none"/>
                <w:lang w:eastAsia="zh-CN"/>
              </w:rPr>
              <w:t>：</w:t>
            </w:r>
            <w:r>
              <w:rPr>
                <w:rFonts w:hint="eastAsia" w:cstheme="minorBidi"/>
                <w:strike w:val="0"/>
                <w:dstrike w:val="0"/>
                <w:kern w:val="2"/>
                <w:sz w:val="21"/>
                <w:szCs w:val="24"/>
                <w:highlight w:val="none"/>
                <w:vertAlign w:val="baseline"/>
                <w:lang w:val="en-US" w:eastAsia="zh-CN" w:bidi="ar-SA"/>
              </w:rPr>
              <w:t>农业种植、畜禽养殖、农副产品加工、食品加工、非金属矿物制品业、矿山开采、电子设备制造、旅游开发及旅游产品加工、社会事业、再生资源利用行业等</w:t>
            </w:r>
          </w:p>
        </w:tc>
        <w:tc>
          <w:tcPr>
            <w:tcW w:w="3425" w:type="dxa"/>
            <w:vAlign w:val="center"/>
          </w:tcPr>
          <w:p>
            <w:pPr>
              <w:widowControl/>
              <w:rPr>
                <w:rFonts w:hint="eastAsia"/>
                <w:b/>
                <w:color w:val="000000"/>
                <w:kern w:val="0"/>
                <w:szCs w:val="21"/>
                <w:highlight w:val="none"/>
                <w:lang w:eastAsia="zh-CN"/>
              </w:rPr>
            </w:pPr>
            <w:r>
              <w:rPr>
                <w:rFonts w:hint="eastAsia"/>
                <w:b/>
                <w:color w:val="000000"/>
                <w:kern w:val="0"/>
                <w:szCs w:val="21"/>
                <w:highlight w:val="none"/>
              </w:rPr>
              <w:t>主要环境问题</w:t>
            </w:r>
            <w:r>
              <w:rPr>
                <w:rFonts w:hint="eastAsia"/>
                <w:b/>
                <w:color w:val="000000"/>
                <w:kern w:val="0"/>
                <w:szCs w:val="21"/>
                <w:highlight w:val="none"/>
                <w:lang w:eastAsia="zh-CN"/>
              </w:rPr>
              <w:t>：</w:t>
            </w:r>
          </w:p>
          <w:p>
            <w:pPr>
              <w:widowControl/>
              <w:rPr>
                <w:rFonts w:hint="default"/>
                <w:strike/>
                <w:dstrike w:val="0"/>
                <w:kern w:val="0"/>
                <w:szCs w:val="21"/>
                <w:highlight w:val="none"/>
                <w:lang w:val="en-US"/>
              </w:rPr>
            </w:pPr>
            <w:r>
              <w:rPr>
                <w:rFonts w:hint="eastAsia"/>
                <w:b/>
                <w:bCs/>
                <w:color w:val="000000"/>
                <w:szCs w:val="21"/>
                <w:highlight w:val="none"/>
              </w:rPr>
              <w:t>醪田镇</w:t>
            </w:r>
            <w:r>
              <w:rPr>
                <w:rFonts w:hint="eastAsia"/>
                <w:b/>
                <w:bCs/>
                <w:color w:val="000000"/>
                <w:szCs w:val="21"/>
                <w:highlight w:val="none"/>
                <w:lang w:eastAsia="zh-CN"/>
              </w:rPr>
              <w:t>：</w:t>
            </w:r>
            <w:r>
              <w:rPr>
                <w:rFonts w:hint="eastAsia"/>
                <w:strike w:val="0"/>
                <w:dstrike w:val="0"/>
                <w:kern w:val="0"/>
                <w:szCs w:val="21"/>
                <w:highlight w:val="none"/>
              </w:rPr>
              <w:t>城镇生活污水、农村生活污水未处理，农村面源污染未得到有效治理。</w:t>
            </w:r>
          </w:p>
          <w:p>
            <w:pPr>
              <w:widowControl/>
              <w:rPr>
                <w:rFonts w:hint="eastAsia" w:cstheme="minorBidi"/>
                <w:strike w:val="0"/>
                <w:dstrike w:val="0"/>
                <w:kern w:val="2"/>
                <w:sz w:val="21"/>
                <w:szCs w:val="24"/>
                <w:highlight w:val="none"/>
                <w:vertAlign w:val="baseline"/>
                <w:lang w:val="en-US" w:eastAsia="zh-CN" w:bidi="ar-SA"/>
              </w:rPr>
            </w:pPr>
            <w:r>
              <w:rPr>
                <w:rFonts w:hint="eastAsia"/>
                <w:b/>
                <w:bCs/>
                <w:color w:val="000000"/>
                <w:szCs w:val="21"/>
                <w:highlight w:val="none"/>
              </w:rPr>
              <w:t>山门镇</w:t>
            </w:r>
            <w:r>
              <w:rPr>
                <w:rFonts w:hint="eastAsia"/>
                <w:b/>
                <w:bCs/>
                <w:color w:val="000000"/>
                <w:szCs w:val="21"/>
                <w:highlight w:val="none"/>
                <w:lang w:eastAsia="zh-CN"/>
              </w:rPr>
              <w:t>：</w:t>
            </w:r>
            <w:r>
              <w:rPr>
                <w:rFonts w:hint="eastAsia"/>
                <w:strike w:val="0"/>
                <w:dstrike w:val="0"/>
                <w:kern w:val="0"/>
                <w:szCs w:val="21"/>
                <w:highlight w:val="none"/>
              </w:rPr>
              <w:t>城镇生活污水、农村生活污水未处理，农村面源污染未得到有效治理。</w:t>
            </w:r>
          </w:p>
          <w:p>
            <w:pPr>
              <w:widowControl/>
              <w:rPr>
                <w:rFonts w:hint="eastAsia"/>
                <w:b/>
                <w:color w:val="000000"/>
                <w:kern w:val="0"/>
                <w:szCs w:val="21"/>
                <w:highlight w:val="none"/>
                <w:lang w:eastAsia="zh-CN"/>
              </w:rPr>
            </w:pPr>
            <w:r>
              <w:rPr>
                <w:rFonts w:hint="eastAsia"/>
                <w:b/>
                <w:bCs/>
                <w:strike w:val="0"/>
                <w:dstrike w:val="0"/>
                <w:color w:val="000000"/>
                <w:szCs w:val="21"/>
                <w:highlight w:val="none"/>
              </w:rPr>
              <w:t>水东镇</w:t>
            </w:r>
            <w:r>
              <w:rPr>
                <w:rFonts w:hint="eastAsia"/>
                <w:b/>
                <w:bCs/>
                <w:strike w:val="0"/>
                <w:dstrike w:val="0"/>
                <w:color w:val="000000"/>
                <w:szCs w:val="21"/>
                <w:highlight w:val="none"/>
                <w:lang w:eastAsia="zh-CN"/>
              </w:rPr>
              <w:t>：</w:t>
            </w:r>
            <w:r>
              <w:rPr>
                <w:rFonts w:hint="eastAsia"/>
                <w:strike w:val="0"/>
                <w:dstrike w:val="0"/>
                <w:kern w:val="0"/>
                <w:szCs w:val="21"/>
                <w:highlight w:val="none"/>
              </w:rPr>
              <w:t>城镇生活污水、农村生活污水未处理，农村面源污染未得到有效治理。</w:t>
            </w:r>
          </w:p>
          <w:p>
            <w:pPr>
              <w:widowControl/>
              <w:rPr>
                <w:rFonts w:hint="eastAsia"/>
                <w:b/>
                <w:color w:val="000000"/>
                <w:kern w:val="0"/>
                <w:szCs w:val="21"/>
                <w:highlight w:val="none"/>
                <w:lang w:val="en-US" w:eastAsia="zh-CN"/>
              </w:rPr>
            </w:pPr>
            <w:r>
              <w:rPr>
                <w:rFonts w:hint="eastAsia"/>
                <w:b/>
                <w:color w:val="000000"/>
                <w:kern w:val="0"/>
                <w:szCs w:val="21"/>
                <w:highlight w:val="none"/>
                <w:lang w:val="en-US" w:eastAsia="zh-CN"/>
              </w:rPr>
              <w:t>重要敏感目标：</w:t>
            </w:r>
          </w:p>
          <w:p>
            <w:pPr>
              <w:widowControl/>
              <w:rPr>
                <w:rFonts w:hint="eastAsia"/>
                <w:b/>
                <w:color w:val="000000"/>
                <w:kern w:val="0"/>
                <w:szCs w:val="21"/>
                <w:highlight w:val="none"/>
                <w:lang w:val="en-US" w:eastAsia="zh-CN"/>
              </w:rPr>
            </w:pPr>
            <w:r>
              <w:rPr>
                <w:rFonts w:hint="eastAsia"/>
                <w:b/>
                <w:bCs/>
                <w:color w:val="000000"/>
                <w:szCs w:val="21"/>
                <w:highlight w:val="none"/>
              </w:rPr>
              <w:t>山门镇</w:t>
            </w:r>
            <w:r>
              <w:rPr>
                <w:rFonts w:hint="eastAsia"/>
                <w:b/>
                <w:bCs/>
                <w:color w:val="000000"/>
                <w:szCs w:val="21"/>
                <w:highlight w:val="none"/>
                <w:lang w:eastAsia="zh-CN"/>
              </w:rPr>
              <w:t>：</w:t>
            </w:r>
            <w:r>
              <w:rPr>
                <w:rFonts w:hint="eastAsia"/>
                <w:b w:val="0"/>
                <w:bCs w:val="0"/>
                <w:color w:val="000000"/>
                <w:szCs w:val="21"/>
                <w:highlight w:val="none"/>
                <w:lang w:val="en-US" w:eastAsia="zh-CN"/>
              </w:rPr>
              <w:t>溪—蔡锷故里风景名胜区</w:t>
            </w:r>
          </w:p>
          <w:p>
            <w:pPr>
              <w:widowControl/>
              <w:rPr>
                <w:rFonts w:hint="default"/>
                <w:b/>
                <w:bCs/>
                <w:strike w:val="0"/>
                <w:dstrike w:val="0"/>
                <w:color w:val="000000"/>
                <w:szCs w:val="21"/>
                <w:highlight w:val="none"/>
                <w:lang w:val="en-US" w:eastAsia="zh-CN"/>
              </w:rPr>
            </w:pPr>
            <w:r>
              <w:rPr>
                <w:rFonts w:hint="eastAsia"/>
                <w:b/>
                <w:bCs/>
                <w:color w:val="000000"/>
                <w:szCs w:val="21"/>
                <w:highlight w:val="none"/>
              </w:rPr>
              <w:t>水东镇</w:t>
            </w:r>
            <w:r>
              <w:rPr>
                <w:rFonts w:hint="eastAsia"/>
                <w:b/>
                <w:bCs/>
                <w:color w:val="000000"/>
                <w:szCs w:val="21"/>
                <w:highlight w:val="none"/>
                <w:lang w:eastAsia="zh-CN"/>
              </w:rPr>
              <w:t>：</w:t>
            </w:r>
            <w:r>
              <w:rPr>
                <w:rFonts w:hint="eastAsia"/>
                <w:b w:val="0"/>
                <w:bCs w:val="0"/>
                <w:color w:val="000000"/>
                <w:szCs w:val="21"/>
                <w:highlight w:val="none"/>
                <w:lang w:val="en-US" w:eastAsia="zh-CN"/>
              </w:rPr>
              <w:t>湖南洞口黄泥江湿地县级自然保护区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vAlign w:val="center"/>
          </w:tcPr>
          <w:p>
            <w:pPr>
              <w:widowControl/>
              <w:jc w:val="center"/>
              <w:rPr>
                <w:b/>
                <w:color w:val="000000"/>
                <w:kern w:val="0"/>
                <w:szCs w:val="21"/>
                <w:highlight w:val="none"/>
              </w:rPr>
            </w:pPr>
            <w:r>
              <w:rPr>
                <w:rFonts w:hint="eastAsia"/>
                <w:b/>
                <w:color w:val="000000"/>
                <w:kern w:val="0"/>
                <w:szCs w:val="21"/>
                <w:highlight w:val="none"/>
              </w:rPr>
              <w:t>主要属性</w:t>
            </w:r>
          </w:p>
        </w:tc>
        <w:tc>
          <w:tcPr>
            <w:tcW w:w="0" w:type="auto"/>
            <w:gridSpan w:val="10"/>
            <w:vAlign w:val="center"/>
          </w:tcPr>
          <w:p>
            <w:pPr>
              <w:jc w:val="both"/>
              <w:rPr>
                <w:rFonts w:hint="eastAsia"/>
                <w:b/>
                <w:bCs/>
                <w:color w:val="000000"/>
                <w:szCs w:val="21"/>
                <w:highlight w:val="none"/>
                <w:lang w:eastAsia="zh-CN"/>
              </w:rPr>
            </w:pPr>
            <w:r>
              <w:rPr>
                <w:rFonts w:hint="eastAsia"/>
                <w:b/>
                <w:bCs/>
                <w:color w:val="000000"/>
                <w:szCs w:val="21"/>
                <w:highlight w:val="none"/>
              </w:rPr>
              <w:t>醪田镇</w:t>
            </w:r>
            <w:r>
              <w:rPr>
                <w:rFonts w:hint="eastAsia"/>
                <w:b/>
                <w:bCs/>
                <w:color w:val="000000"/>
                <w:szCs w:val="21"/>
                <w:highlight w:val="none"/>
                <w:lang w:eastAsia="zh-CN"/>
              </w:rPr>
              <w:t>：</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红线/一般生态空间；水源涵养重要区\三区三线生态红线\原生态红线\生物多样性保护功能重要区\水土流失敏感区\石漠化敏感区；</w:t>
            </w:r>
          </w:p>
          <w:p>
            <w:pPr>
              <w:ind w:firstLine="422" w:firstLineChars="200"/>
              <w:jc w:val="both"/>
              <w:rPr>
                <w:rFonts w:hint="eastAsia"/>
                <w:b/>
                <w:bCs/>
                <w:strike w:val="0"/>
                <w:dstrike w:val="0"/>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水环境一般管控区；大气环境受体敏感重点管控区；农用地优先保护区/其他重点管控区/一般管控区；矿区；农产品主产区；</w:t>
            </w:r>
          </w:p>
          <w:p>
            <w:pPr>
              <w:jc w:val="both"/>
              <w:rPr>
                <w:rFonts w:hint="eastAsia"/>
                <w:b/>
                <w:bCs/>
                <w:color w:val="000000"/>
                <w:szCs w:val="21"/>
                <w:highlight w:val="none"/>
                <w:lang w:eastAsia="zh-CN"/>
              </w:rPr>
            </w:pPr>
            <w:r>
              <w:rPr>
                <w:rFonts w:hint="eastAsia"/>
                <w:b/>
                <w:bCs/>
                <w:color w:val="000000"/>
                <w:szCs w:val="21"/>
                <w:highlight w:val="none"/>
              </w:rPr>
              <w:t>山门镇</w:t>
            </w:r>
            <w:r>
              <w:rPr>
                <w:rFonts w:hint="eastAsia"/>
                <w:b/>
                <w:bCs/>
                <w:color w:val="000000"/>
                <w:szCs w:val="21"/>
                <w:highlight w:val="none"/>
                <w:lang w:eastAsia="zh-CN"/>
              </w:rPr>
              <w:t>：</w:t>
            </w:r>
          </w:p>
          <w:p>
            <w:pPr>
              <w:ind w:firstLine="422" w:firstLineChars="200"/>
              <w:jc w:val="both"/>
              <w:rPr>
                <w:rFonts w:hint="eastAsia"/>
                <w:b w:val="0"/>
                <w:bCs w:val="0"/>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红线/一般生态空间；三区三线生态红线\水源涵养重要区\生物多样性保护功能重要区\原生态红线\水土流失敏感区；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受体敏感重点管控区；蔡锷故里风景名胜区；农用地优先保护区/其他重点管控区/一般管控区；矿区；农产品主产区/历史文化资源富集区/宜开发矿产资源富集区；</w:t>
            </w:r>
          </w:p>
          <w:p>
            <w:pPr>
              <w:jc w:val="both"/>
              <w:rPr>
                <w:rFonts w:hint="eastAsia"/>
                <w:b/>
                <w:bCs/>
                <w:color w:val="000000"/>
                <w:szCs w:val="21"/>
                <w:highlight w:val="none"/>
                <w:lang w:eastAsia="zh-CN"/>
              </w:rPr>
            </w:pPr>
            <w:r>
              <w:rPr>
                <w:rFonts w:hint="eastAsia"/>
                <w:b/>
                <w:bCs/>
                <w:color w:val="000000"/>
                <w:szCs w:val="21"/>
                <w:highlight w:val="none"/>
              </w:rPr>
              <w:t>水东镇</w:t>
            </w:r>
            <w:r>
              <w:rPr>
                <w:rFonts w:hint="eastAsia"/>
                <w:b/>
                <w:bCs/>
                <w:color w:val="000000"/>
                <w:szCs w:val="21"/>
                <w:highlight w:val="none"/>
                <w:lang w:eastAsia="zh-CN"/>
              </w:rPr>
              <w:t>：</w:t>
            </w:r>
          </w:p>
          <w:p>
            <w:pPr>
              <w:ind w:firstLine="422" w:firstLineChars="200"/>
              <w:jc w:val="both"/>
              <w:rPr>
                <w:rFonts w:hint="eastAsia"/>
                <w:b w:val="0"/>
                <w:bCs w:val="0"/>
                <w:strike w:val="0"/>
                <w:dstrike w:val="0"/>
                <w:color w:val="000000"/>
                <w:szCs w:val="21"/>
                <w:highlight w:val="none"/>
                <w:lang w:val="en-US" w:eastAsia="zh-CN"/>
              </w:rPr>
            </w:pPr>
            <w:r>
              <w:rPr>
                <w:rFonts w:hint="eastAsia"/>
                <w:b/>
                <w:bCs/>
                <w:strike w:val="0"/>
                <w:dstrike w:val="0"/>
                <w:color w:val="000000"/>
                <w:szCs w:val="21"/>
                <w:highlight w:val="none"/>
                <w:lang w:val="en-US" w:eastAsia="zh-CN"/>
              </w:rPr>
              <w:t>生态红线：</w:t>
            </w:r>
            <w:r>
              <w:rPr>
                <w:rFonts w:hint="eastAsia"/>
                <w:b w:val="0"/>
                <w:bCs w:val="0"/>
                <w:strike w:val="0"/>
                <w:dstrike w:val="0"/>
                <w:color w:val="000000"/>
                <w:szCs w:val="21"/>
                <w:highlight w:val="none"/>
                <w:lang w:val="en-US" w:eastAsia="zh-CN"/>
              </w:rPr>
              <w:t>一般生态空间；生物多样性保护功能重要区\原生态红线\水源涵养重要区；</w:t>
            </w:r>
          </w:p>
          <w:p>
            <w:pPr>
              <w:ind w:firstLine="422" w:firstLineChars="200"/>
              <w:jc w:val="both"/>
              <w:rPr>
                <w:rFonts w:hint="default"/>
                <w:b/>
                <w:bCs/>
                <w:color w:val="000000"/>
                <w:szCs w:val="21"/>
                <w:highlight w:val="none"/>
                <w:lang w:val="en-US" w:eastAsia="zh-CN"/>
              </w:rPr>
            </w:pPr>
            <w:r>
              <w:rPr>
                <w:rFonts w:hint="eastAsia"/>
                <w:b/>
                <w:bCs/>
                <w:strike w:val="0"/>
                <w:dstrike w:val="0"/>
                <w:color w:val="000000"/>
                <w:szCs w:val="21"/>
                <w:highlight w:val="none"/>
                <w:lang w:val="en-US" w:eastAsia="zh-CN"/>
              </w:rPr>
              <w:t>环境质量底线：</w:t>
            </w:r>
            <w:r>
              <w:rPr>
                <w:rFonts w:hint="eastAsia"/>
                <w:b w:val="0"/>
                <w:bCs w:val="0"/>
                <w:strike w:val="0"/>
                <w:dstrike w:val="0"/>
                <w:color w:val="000000"/>
                <w:szCs w:val="21"/>
                <w:highlight w:val="none"/>
                <w:lang w:val="en-US" w:eastAsia="zh-CN"/>
              </w:rPr>
              <w:t>水环境一般管控区；大气环境优先保护区/大气环境高排放重点管控区/大气环境受体敏感重点管控区/大气环境弱扩散重点管控区；农用地优先保护区/一般管控区；农产品主产区；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0" w:type="auto"/>
            <w:vAlign w:val="center"/>
          </w:tcPr>
          <w:p>
            <w:pPr>
              <w:widowControl/>
              <w:jc w:val="center"/>
              <w:rPr>
                <w:b/>
                <w:color w:val="000000"/>
                <w:szCs w:val="21"/>
                <w:highlight w:val="none"/>
              </w:rPr>
            </w:pPr>
            <w:r>
              <w:rPr>
                <w:rFonts w:hint="eastAsia"/>
                <w:b/>
                <w:color w:val="000000"/>
                <w:szCs w:val="21"/>
                <w:highlight w:val="none"/>
              </w:rPr>
              <w:t>管控维度</w:t>
            </w:r>
          </w:p>
        </w:tc>
        <w:tc>
          <w:tcPr>
            <w:tcW w:w="9098" w:type="dxa"/>
            <w:gridSpan w:val="9"/>
            <w:vAlign w:val="center"/>
          </w:tcPr>
          <w:p>
            <w:pPr>
              <w:jc w:val="center"/>
              <w:rPr>
                <w:b/>
                <w:color w:val="000000"/>
                <w:szCs w:val="21"/>
                <w:highlight w:val="none"/>
              </w:rPr>
            </w:pPr>
            <w:r>
              <w:rPr>
                <w:rFonts w:hint="eastAsia"/>
                <w:b/>
                <w:color w:val="000000"/>
                <w:kern w:val="0"/>
                <w:szCs w:val="21"/>
                <w:highlight w:val="none"/>
              </w:rPr>
              <w:t>管控要求</w:t>
            </w:r>
          </w:p>
        </w:tc>
        <w:tc>
          <w:tcPr>
            <w:tcW w:w="3425" w:type="dxa"/>
            <w:vAlign w:val="center"/>
          </w:tcPr>
          <w:p>
            <w:pPr>
              <w:jc w:val="center"/>
              <w:rPr>
                <w:b/>
                <w:color w:val="000000"/>
                <w:szCs w:val="21"/>
                <w:highlight w:val="none"/>
              </w:rPr>
            </w:pPr>
            <w:r>
              <w:rPr>
                <w:rFonts w:hint="eastAsia"/>
                <w:b/>
                <w:color w:val="000000"/>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空间布局约束</w:t>
            </w:r>
          </w:p>
        </w:tc>
        <w:tc>
          <w:tcPr>
            <w:tcW w:w="9098" w:type="dxa"/>
            <w:gridSpan w:val="9"/>
            <w:vAlign w:val="center"/>
          </w:tcPr>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1.1</w:t>
            </w:r>
            <w:r>
              <w:rPr>
                <w:rFonts w:hint="eastAsia"/>
                <w:strike w:val="0"/>
                <w:dstrike w:val="0"/>
                <w:color w:val="000000"/>
                <w:szCs w:val="21"/>
                <w:highlight w:val="none"/>
                <w:lang w:eastAsia="zh-CN"/>
              </w:rPr>
              <w:t>）实行环评总量前置，新、改、扩建项目二氧化硫、氮氧化物实行倍量削减替代。</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1.2</w:t>
            </w:r>
            <w:r>
              <w:rPr>
                <w:rFonts w:hint="eastAsia"/>
                <w:strike w:val="0"/>
                <w:dstrike w:val="0"/>
                <w:color w:val="000000"/>
                <w:szCs w:val="21"/>
                <w:highlight w:val="none"/>
                <w:lang w:eastAsia="zh-CN"/>
              </w:rPr>
              <w:t>）未达到土壤污染风险评估报告要求的地块，禁止开工建设与风险管控、修复无关的项目。</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1.3</w:t>
            </w:r>
            <w:r>
              <w:rPr>
                <w:rFonts w:hint="eastAsia"/>
                <w:strike w:val="0"/>
                <w:dstrike w:val="0"/>
                <w:color w:val="000000"/>
                <w:szCs w:val="21"/>
                <w:highlight w:val="none"/>
                <w:lang w:eastAsia="zh-CN"/>
              </w:rPr>
              <w:t>）禁止新建有机类危险废物热（裂）解处理项目。</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（1.</w:t>
            </w:r>
            <w:r>
              <w:rPr>
                <w:rFonts w:hint="eastAsia" w:cs="Times New Roman"/>
                <w:strike w:val="0"/>
                <w:dstrike w:val="0"/>
                <w:color w:val="000000"/>
                <w:szCs w:val="21"/>
                <w:highlight w:val="none"/>
                <w:lang w:val="en-US" w:eastAsia="zh-CN"/>
              </w:rPr>
              <w:t>4</w:t>
            </w:r>
            <w:r>
              <w:rPr>
                <w:rFonts w:hint="eastAsia" w:ascii="Times New Roman" w:hAnsi="Times New Roman" w:eastAsia="宋体" w:cs="Times New Roman"/>
                <w:strike w:val="0"/>
                <w:dstrike w:val="0"/>
                <w:color w:val="000000"/>
                <w:szCs w:val="21"/>
                <w:highlight w:val="none"/>
                <w:lang w:val="en-US" w:eastAsia="zh-CN"/>
              </w:rPr>
              <w:t>）</w:t>
            </w:r>
            <w:r>
              <w:rPr>
                <w:rFonts w:hint="eastAsia"/>
                <w:strike w:val="0"/>
                <w:dstrike w:val="0"/>
                <w:color w:val="000000"/>
                <w:szCs w:val="21"/>
                <w:highlight w:val="none"/>
                <w:lang w:val="en-US" w:eastAsia="zh-CN"/>
              </w:rPr>
              <w:t>禁止侵占自然湿地等水源涵养空间，已侵占的限期予以恢复。</w:t>
            </w:r>
          </w:p>
        </w:tc>
        <w:tc>
          <w:tcPr>
            <w:tcW w:w="3425" w:type="dxa"/>
            <w:vMerge w:val="restart"/>
          </w:tcPr>
          <w:p>
            <w:pPr>
              <w:tabs>
                <w:tab w:val="left" w:pos="1021"/>
              </w:tabs>
              <w:rPr>
                <w:rFonts w:hint="eastAsia"/>
                <w:strike/>
                <w:dstrike w:val="0"/>
                <w:color w:val="000000"/>
                <w:szCs w:val="21"/>
                <w:highlight w:val="none"/>
              </w:rPr>
            </w:pPr>
            <w:r>
              <w:rPr>
                <w:rFonts w:hint="eastAsia"/>
                <w:strike w:val="0"/>
                <w:dstrike w:val="0"/>
                <w:color w:val="000000"/>
                <w:szCs w:val="21"/>
                <w:highlight w:val="none"/>
                <w:lang w:val="en-US" w:eastAsia="zh-CN"/>
              </w:rPr>
              <w:t>①《洞口县国民经济和社会发展第十四个五年规划和二O三五年远景目标纲要》原文中“水产养殖:主要布局高沙镇、又兰镇、岩山镇、黄桥镇、石江镇、竹市镇、山门镇、长塘乡等乡镇,建立10个连片水面500亩以上的23水产养殖基地。”</w:t>
            </w:r>
          </w:p>
          <w:p>
            <w:pPr>
              <w:tabs>
                <w:tab w:val="left" w:pos="1021"/>
              </w:tabs>
              <w:rPr>
                <w:rFonts w:hint="eastAsia"/>
                <w:strike w:val="0"/>
                <w:dstrike w:val="0"/>
                <w:color w:val="000000"/>
                <w:szCs w:val="21"/>
                <w:highlight w:val="none"/>
                <w:lang w:val="en-US" w:eastAsia="zh-CN"/>
              </w:rPr>
            </w:pP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（1.1）（1.2）（1.3）（1.4）（2.1.1）（2.1.2）（2.2.1）（2.2.2）（2.3.1）（2.3.2）（3.3）（4.1.1）（4.1.2）</w:t>
            </w:r>
            <w:r>
              <w:rPr>
                <w:rFonts w:hint="eastAsia"/>
                <w:strike w:val="0"/>
                <w:dstrike w:val="0"/>
                <w:color w:val="000000"/>
                <w:szCs w:val="21"/>
                <w:highlight w:val="none"/>
              </w:rPr>
              <w:t>《洞口县环境保护“十</w:t>
            </w:r>
            <w:r>
              <w:rPr>
                <w:rFonts w:hint="eastAsia"/>
                <w:strike w:val="0"/>
                <w:dstrike w:val="0"/>
                <w:color w:val="000000"/>
                <w:szCs w:val="21"/>
                <w:highlight w:val="none"/>
                <w:lang w:val="en-US" w:eastAsia="zh-CN"/>
              </w:rPr>
              <w:t>四</w:t>
            </w:r>
            <w:r>
              <w:rPr>
                <w:rFonts w:hint="eastAsia"/>
                <w:strike w:val="0"/>
                <w:dstrike w:val="0"/>
                <w:color w:val="000000"/>
                <w:szCs w:val="21"/>
                <w:highlight w:val="none"/>
              </w:rPr>
              <w:t>五”规划》</w:t>
            </w:r>
          </w:p>
          <w:p>
            <w:pPr>
              <w:tabs>
                <w:tab w:val="left" w:pos="1021"/>
              </w:tabs>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（2.1.3）</w:t>
            </w:r>
            <w:r>
              <w:rPr>
                <w:rFonts w:hint="eastAsia"/>
                <w:strike w:val="0"/>
                <w:dstrike w:val="0"/>
                <w:color w:val="000000"/>
                <w:szCs w:val="21"/>
                <w:highlight w:val="none"/>
                <w:lang w:val="en-US" w:eastAsia="zh-CN"/>
              </w:rPr>
              <w:t>（2.3.3）（3.1）（3.2）</w:t>
            </w:r>
            <w:r>
              <w:rPr>
                <w:rFonts w:hint="eastAsia" w:ascii="Times New Roman" w:hAnsi="Times New Roman" w:eastAsia="宋体" w:cs="Times New Roman"/>
                <w:strike w:val="0"/>
                <w:dstrike w:val="0"/>
                <w:color w:val="000000"/>
                <w:szCs w:val="21"/>
                <w:highlight w:val="none"/>
                <w:lang w:val="en-US" w:eastAsia="zh-CN"/>
              </w:rPr>
              <w:t>《2023 年洞口县深入打好污染防治攻坚战工作方案》</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（4.2）</w:t>
            </w:r>
            <w:r>
              <w:rPr>
                <w:rFonts w:hint="eastAsia" w:ascii="Times New Roman" w:hAnsi="Times New Roman" w:eastAsia="宋体" w:cs="Times New Roman"/>
                <w:b w:val="0"/>
                <w:bCs w:val="0"/>
                <w:kern w:val="2"/>
                <w:sz w:val="21"/>
                <w:szCs w:val="21"/>
                <w:highlight w:val="none"/>
                <w:lang w:val="en-US" w:eastAsia="zh-CN" w:bidi="ar-SA"/>
              </w:rPr>
              <w:t>《</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 xml:space="preserve">市水利局 </w:t>
            </w:r>
            <w:r>
              <w:rPr>
                <w:rFonts w:hint="eastAsia" w:cs="Times New Roman"/>
                <w:b w:val="0"/>
                <w:bCs w:val="0"/>
                <w:kern w:val="2"/>
                <w:sz w:val="21"/>
                <w:szCs w:val="21"/>
                <w:highlight w:val="none"/>
                <w:lang w:val="en-US" w:eastAsia="zh-CN" w:bidi="ar-SA"/>
              </w:rPr>
              <w:t>邵阳</w:t>
            </w:r>
            <w:r>
              <w:rPr>
                <w:rFonts w:hint="eastAsia" w:ascii="Times New Roman" w:hAnsi="Times New Roman" w:eastAsia="宋体" w:cs="Times New Roman"/>
                <w:b w:val="0"/>
                <w:bCs w:val="0"/>
                <w:kern w:val="2"/>
                <w:sz w:val="21"/>
                <w:szCs w:val="21"/>
                <w:highlight w:val="none"/>
                <w:lang w:val="en-US" w:eastAsia="zh-CN" w:bidi="ar-SA"/>
              </w:rPr>
              <w:t>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污染物排放管控</w:t>
            </w:r>
          </w:p>
        </w:tc>
        <w:tc>
          <w:tcPr>
            <w:tcW w:w="9098" w:type="dxa"/>
            <w:gridSpan w:val="9"/>
            <w:vAlign w:val="center"/>
          </w:tcPr>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废水：</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（2.1.1）补齐城乡污水收集和处理设施短板，加强生活源污染治理。</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（2.1.2）</w:t>
            </w:r>
            <w:r>
              <w:rPr>
                <w:rFonts w:hint="eastAsia"/>
                <w:strike w:val="0"/>
                <w:dstrike w:val="0"/>
                <w:color w:val="000000"/>
                <w:szCs w:val="21"/>
                <w:highlight w:val="none"/>
                <w:lang w:val="zh-CN" w:eastAsia="zh-CN"/>
              </w:rPr>
              <w:t>优化水产养殖空间布局，坚持生态健康养殖，</w:t>
            </w:r>
            <w:r>
              <w:rPr>
                <w:rFonts w:hint="eastAsia"/>
                <w:strike w:val="0"/>
                <w:dstrike w:val="0"/>
                <w:color w:val="000000"/>
                <w:szCs w:val="21"/>
                <w:highlight w:val="none"/>
                <w:lang w:val="en-US" w:eastAsia="zh-CN"/>
              </w:rPr>
              <w:t>全面开展水产养殖尾水污染综合整治。</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（2.1.3）</w:t>
            </w:r>
            <w:r>
              <w:rPr>
                <w:rFonts w:hint="eastAsia" w:ascii="Times New Roman" w:hAnsi="Times New Roman" w:eastAsia="宋体" w:cs="Times New Roman"/>
                <w:strike w:val="0"/>
                <w:dstrike w:val="0"/>
                <w:color w:val="000000"/>
                <w:szCs w:val="21"/>
                <w:highlight w:val="none"/>
                <w:lang w:val="zh-CN" w:eastAsia="zh-CN"/>
              </w:rPr>
              <w:t>推进医疗机构污水处理问题排查整改，确保医疗废水全收集全处置。</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（2.2）废气：</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val="en-US" w:eastAsia="zh-CN"/>
              </w:rPr>
              <w:t>（2.2.1）</w:t>
            </w:r>
            <w:r>
              <w:rPr>
                <w:rFonts w:hint="eastAsia"/>
                <w:strike w:val="0"/>
                <w:dstrike w:val="0"/>
                <w:color w:val="000000"/>
                <w:szCs w:val="21"/>
                <w:highlight w:val="none"/>
                <w:lang w:eastAsia="zh-CN"/>
              </w:rPr>
              <w:t>推广水泥生产原料替代技术，鼓励砖瓦等行业开展全流程二氧化碳减排示范工程。</w:t>
            </w:r>
          </w:p>
          <w:p>
            <w:pPr>
              <w:tabs>
                <w:tab w:val="left" w:pos="1021"/>
              </w:tabs>
              <w:ind w:firstLine="420" w:firstLineChars="200"/>
              <w:rPr>
                <w:rFonts w:hint="eastAsia"/>
                <w:strike w:val="0"/>
                <w:dstrike w:val="0"/>
                <w:color w:val="000000"/>
                <w:szCs w:val="21"/>
                <w:highlight w:val="none"/>
                <w:lang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2.2.2</w:t>
            </w:r>
            <w:r>
              <w:rPr>
                <w:rFonts w:hint="eastAsia"/>
                <w:strike w:val="0"/>
                <w:dstrike w:val="0"/>
                <w:color w:val="000000"/>
                <w:szCs w:val="21"/>
                <w:highlight w:val="none"/>
                <w:lang w:eastAsia="zh-CN"/>
              </w:rPr>
              <w:t>）控制农田和畜禽养殖甲烷和氧化亚氮温室气体排放。</w:t>
            </w:r>
          </w:p>
          <w:p>
            <w:pPr>
              <w:tabs>
                <w:tab w:val="left" w:pos="1021"/>
              </w:tabs>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（2.3）固体废物：</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（2.3.1）推动农作物秸秆、畜禽粪污、林业废弃物、农产品加工副产品等农林废弃物的高效利用。</w:t>
            </w:r>
          </w:p>
          <w:p>
            <w:pPr>
              <w:tabs>
                <w:tab w:val="left" w:pos="1021"/>
              </w:tabs>
              <w:ind w:firstLine="420" w:firstLineChars="200"/>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（2.3.2）全面禁止废塑料进口，推广使用可降解塑料制品、塑料替代产品。</w:t>
            </w:r>
          </w:p>
          <w:p>
            <w:pPr>
              <w:tabs>
                <w:tab w:val="left" w:pos="1021"/>
              </w:tabs>
              <w:ind w:firstLine="420" w:firstLineChars="200"/>
              <w:rPr>
                <w:rFonts w:hint="eastAsia"/>
                <w:strike/>
                <w:dstrike w:val="0"/>
                <w:color w:val="000000"/>
                <w:szCs w:val="21"/>
                <w:highlight w:val="none"/>
              </w:rPr>
            </w:pPr>
            <w:r>
              <w:rPr>
                <w:rFonts w:hint="eastAsia" w:ascii="Times New Roman" w:hAnsi="Times New Roman" w:eastAsia="宋体" w:cs="Times New Roman"/>
                <w:strike w:val="0"/>
                <w:dstrike w:val="0"/>
                <w:color w:val="000000"/>
                <w:szCs w:val="21"/>
                <w:highlight w:val="none"/>
                <w:lang w:val="en-US" w:eastAsia="zh-CN"/>
              </w:rPr>
              <w:t>（2.3.3）加强农村垃圾中转站建设，巩固非正规生活垃圾堆放点整治成效，提升农村垃圾治理水平。</w:t>
            </w:r>
          </w:p>
        </w:tc>
        <w:tc>
          <w:tcPr>
            <w:tcW w:w="3425"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环境风险防控</w:t>
            </w:r>
          </w:p>
        </w:tc>
        <w:tc>
          <w:tcPr>
            <w:tcW w:w="9098" w:type="dxa"/>
            <w:gridSpan w:val="9"/>
            <w:vAlign w:val="center"/>
          </w:tcPr>
          <w:p>
            <w:pPr>
              <w:tabs>
                <w:tab w:val="left" w:pos="1021"/>
              </w:tabs>
              <w:ind w:firstLine="420" w:firstLineChars="200"/>
              <w:rPr>
                <w:rFonts w:ascii="Times New Roman" w:hAnsi="Times New Roman" w:eastAsia="宋体" w:cs="Times New Roman"/>
                <w:spacing w:val="-2"/>
                <w:highlight w:val="none"/>
              </w:rPr>
            </w:pPr>
            <w:r>
              <w:rPr>
                <w:rFonts w:hint="eastAsia"/>
                <w:strike w:val="0"/>
                <w:dstrike w:val="0"/>
                <w:color w:val="000000"/>
                <w:szCs w:val="21"/>
                <w:highlight w:val="none"/>
                <w:lang w:val="en-US" w:eastAsia="zh-CN"/>
              </w:rPr>
              <w:t>（3.1）</w:t>
            </w:r>
            <w:r>
              <w:rPr>
                <w:rFonts w:ascii="Times New Roman" w:hAnsi="Times New Roman" w:eastAsia="宋体" w:cs="Times New Roman"/>
                <w:spacing w:val="-2"/>
                <w:highlight w:val="none"/>
              </w:rPr>
              <w:t>严格土壤污染重点监管单位和化工企业搬迁腾退用地土壤污染风险管控。</w:t>
            </w:r>
          </w:p>
          <w:p>
            <w:pPr>
              <w:tabs>
                <w:tab w:val="left" w:pos="1021"/>
              </w:tabs>
              <w:ind w:firstLine="412" w:firstLineChars="200"/>
              <w:rPr>
                <w:rFonts w:hint="eastAsia" w:ascii="Times New Roman" w:hAnsi="Times New Roman" w:eastAsia="宋体" w:cs="Times New Roman"/>
                <w:spacing w:val="-2"/>
                <w:highlight w:val="none"/>
                <w:lang w:val="en-US" w:eastAsia="zh-CN"/>
              </w:rPr>
            </w:pPr>
            <w:r>
              <w:rPr>
                <w:rFonts w:hint="eastAsia" w:ascii="Times New Roman" w:hAnsi="Times New Roman" w:eastAsia="宋体" w:cs="Times New Roman"/>
                <w:spacing w:val="-2"/>
                <w:highlight w:val="none"/>
                <w:lang w:eastAsia="zh-CN"/>
              </w:rPr>
              <w:t>（</w:t>
            </w:r>
            <w:r>
              <w:rPr>
                <w:rFonts w:hint="eastAsia" w:ascii="Times New Roman" w:hAnsi="Times New Roman" w:eastAsia="宋体" w:cs="Times New Roman"/>
                <w:spacing w:val="-2"/>
                <w:highlight w:val="none"/>
                <w:lang w:val="en-US" w:eastAsia="zh-CN"/>
              </w:rPr>
              <w:t>3.2</w:t>
            </w:r>
            <w:r>
              <w:rPr>
                <w:rFonts w:hint="eastAsia" w:ascii="Times New Roman" w:hAnsi="Times New Roman" w:eastAsia="宋体" w:cs="Times New Roman"/>
                <w:spacing w:val="-2"/>
                <w:highlight w:val="none"/>
                <w:lang w:eastAsia="zh-CN"/>
              </w:rPr>
              <w:t>）</w:t>
            </w:r>
            <w:r>
              <w:rPr>
                <w:rFonts w:ascii="Times New Roman" w:hAnsi="Times New Roman" w:eastAsia="宋体" w:cs="Times New Roman"/>
                <w:spacing w:val="-2"/>
                <w:highlight w:val="none"/>
              </w:rPr>
              <w:t>积极开展受污染耕地土壤重金属成因排查和污染源头风险管控。</w:t>
            </w:r>
          </w:p>
          <w:p>
            <w:pPr>
              <w:tabs>
                <w:tab w:val="left" w:pos="1021"/>
              </w:tabs>
              <w:ind w:firstLine="420" w:firstLineChars="200"/>
              <w:rPr>
                <w:rFonts w:hint="eastAsia" w:ascii="Times New Roman" w:hAnsi="Times New Roman" w:eastAsia="宋体" w:cs="Times New Roman"/>
                <w:strike w:val="0"/>
                <w:dstrike w:val="0"/>
                <w:color w:val="000000"/>
                <w:szCs w:val="21"/>
                <w:highlight w:val="none"/>
                <w:lang w:val="en-US" w:eastAsia="zh-CN"/>
              </w:rPr>
            </w:pPr>
            <w:r>
              <w:rPr>
                <w:rFonts w:hint="eastAsia" w:ascii="Times New Roman" w:hAnsi="Times New Roman" w:eastAsia="宋体" w:cs="Times New Roman"/>
                <w:strike w:val="0"/>
                <w:dstrike w:val="0"/>
                <w:color w:val="000000"/>
                <w:szCs w:val="21"/>
                <w:highlight w:val="none"/>
                <w:lang w:val="en-US" w:eastAsia="zh-CN"/>
              </w:rPr>
              <w:t>（3.3）推动污染物与土壤环境、地下水环境之间的协同控制，持续开展固体废物和危险废物贮存场所周边土壤与地下水环境状况调查评估。</w:t>
            </w:r>
          </w:p>
        </w:tc>
        <w:tc>
          <w:tcPr>
            <w:tcW w:w="3425"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widowControl/>
              <w:jc w:val="center"/>
              <w:rPr>
                <w:color w:val="000000"/>
                <w:szCs w:val="21"/>
                <w:highlight w:val="none"/>
              </w:rPr>
            </w:pPr>
            <w:r>
              <w:rPr>
                <w:rFonts w:hint="eastAsia"/>
                <w:color w:val="000000"/>
                <w:szCs w:val="21"/>
                <w:highlight w:val="none"/>
              </w:rPr>
              <w:t>资源开发效率要求</w:t>
            </w:r>
          </w:p>
        </w:tc>
        <w:tc>
          <w:tcPr>
            <w:tcW w:w="9098" w:type="dxa"/>
            <w:gridSpan w:val="9"/>
            <w:vAlign w:val="top"/>
          </w:tcPr>
          <w:p>
            <w:pPr>
              <w:tabs>
                <w:tab w:val="left" w:pos="1021"/>
              </w:tabs>
              <w:jc w:val="both"/>
              <w:rPr>
                <w:rFonts w:hint="eastAsia"/>
                <w:strike w:val="0"/>
                <w:dstrike w:val="0"/>
                <w:color w:val="000000"/>
                <w:szCs w:val="21"/>
                <w:highlight w:val="none"/>
                <w:lang w:val="en-US" w:eastAsia="zh-CN"/>
              </w:rPr>
            </w:pP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4.1</w:t>
            </w:r>
            <w:r>
              <w:rPr>
                <w:rFonts w:hint="eastAsia"/>
                <w:strike w:val="0"/>
                <w:dstrike w:val="0"/>
                <w:color w:val="000000"/>
                <w:szCs w:val="21"/>
                <w:highlight w:val="none"/>
                <w:lang w:eastAsia="zh-CN"/>
              </w:rPr>
              <w:t>）</w:t>
            </w:r>
            <w:r>
              <w:rPr>
                <w:rFonts w:hint="eastAsia"/>
                <w:strike w:val="0"/>
                <w:dstrike w:val="0"/>
                <w:color w:val="000000"/>
                <w:szCs w:val="21"/>
                <w:highlight w:val="none"/>
                <w:lang w:val="en-US" w:eastAsia="zh-CN"/>
              </w:rPr>
              <w:t>能源：</w:t>
            </w:r>
          </w:p>
          <w:p>
            <w:pPr>
              <w:tabs>
                <w:tab w:val="left" w:pos="1021"/>
              </w:tabs>
              <w:ind w:firstLine="420" w:firstLineChars="200"/>
              <w:jc w:val="both"/>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（4.1.1）优化能源结构，构建清洁低碳、安全高效的现代能源体系，控制化石能源消费总量，合理控制煤炭消费总量。</w:t>
            </w:r>
          </w:p>
          <w:p>
            <w:pPr>
              <w:tabs>
                <w:tab w:val="left" w:pos="1021"/>
              </w:tabs>
              <w:ind w:firstLine="420" w:firstLineChars="200"/>
              <w:jc w:val="both"/>
              <w:rPr>
                <w:rFonts w:hint="eastAsia"/>
                <w:strike w:val="0"/>
                <w:dstrike w:val="0"/>
                <w:color w:val="000000"/>
                <w:szCs w:val="21"/>
                <w:highlight w:val="none"/>
                <w:lang w:val="en-US" w:eastAsia="zh-CN"/>
              </w:rPr>
            </w:pPr>
            <w:r>
              <w:rPr>
                <w:rFonts w:hint="eastAsia"/>
                <w:strike w:val="0"/>
                <w:dstrike w:val="0"/>
                <w:color w:val="000000"/>
                <w:szCs w:val="21"/>
                <w:highlight w:val="none"/>
                <w:lang w:val="en-US" w:eastAsia="zh-CN"/>
              </w:rPr>
              <w:t>（4.1.2）提倡使用太阳能、石油液化气、电、沼气等清洁能源。</w:t>
            </w:r>
          </w:p>
          <w:p>
            <w:pPr>
              <w:tabs>
                <w:tab w:val="left" w:pos="1021"/>
              </w:tabs>
              <w:ind w:firstLine="420" w:firstLineChars="200"/>
              <w:jc w:val="both"/>
              <w:rPr>
                <w:rFonts w:hint="eastAsia" w:ascii="Times New Roman" w:hAnsi="Times New Roman" w:eastAsia="宋体" w:cs="Times New Roman"/>
                <w:strike w:val="0"/>
                <w:dstrike w:val="0"/>
                <w:color w:val="000000"/>
                <w:szCs w:val="21"/>
                <w:highlight w:val="none"/>
                <w:lang w:val="en-US" w:eastAsia="zh-CN"/>
              </w:rPr>
            </w:pPr>
            <w:r>
              <w:rPr>
                <w:rFonts w:hint="eastAsia"/>
                <w:strike w:val="0"/>
                <w:dstrike w:val="0"/>
                <w:color w:val="000000"/>
                <w:szCs w:val="21"/>
                <w:highlight w:val="none"/>
                <w:lang w:val="en-US" w:eastAsia="zh-CN"/>
              </w:rPr>
              <w:t>（4.2）水资源：</w:t>
            </w:r>
            <w:r>
              <w:rPr>
                <w:rFonts w:hint="eastAsia" w:ascii="Times New Roman" w:hAnsi="Times New Roman" w:eastAsia="宋体" w:cs="Times New Roman"/>
                <w:strike w:val="0"/>
                <w:dstrike w:val="0"/>
                <w:color w:val="000000"/>
                <w:szCs w:val="21"/>
                <w:highlight w:val="none"/>
                <w:lang w:val="en-US" w:eastAsia="zh-CN"/>
              </w:rPr>
              <w:t>到2025年，洞口县用水总量3.626亿立方米，万元地区生产总值用水量比2020年下降19.89%，万元工业增加值用水量比2020年下降12.29%，农田灌溉水有效利用系数0.562。</w:t>
            </w:r>
          </w:p>
          <w:p>
            <w:pPr>
              <w:tabs>
                <w:tab w:val="left" w:pos="1021"/>
              </w:tabs>
              <w:ind w:firstLine="420" w:firstLineChars="200"/>
              <w:jc w:val="both"/>
              <w:rPr>
                <w:rFonts w:hint="eastAsia"/>
                <w:strike/>
                <w:dstrike w:val="0"/>
                <w:color w:val="000000"/>
                <w:szCs w:val="21"/>
                <w:highlight w:val="none"/>
              </w:rPr>
            </w:pPr>
          </w:p>
        </w:tc>
        <w:tc>
          <w:tcPr>
            <w:tcW w:w="3425" w:type="dxa"/>
            <w:vMerge w:val="continue"/>
            <w:vAlign w:val="center"/>
          </w:tcPr>
          <w:p>
            <w:pPr>
              <w:rPr>
                <w:highlight w:val="none"/>
              </w:rPr>
            </w:pPr>
          </w:p>
        </w:tc>
      </w:tr>
    </w:tbl>
    <w:p>
      <w:pPr>
        <w:widowControl/>
        <w:jc w:val="left"/>
        <w:rPr>
          <w:rFonts w:hint="eastAsia" w:eastAsia="宋体"/>
          <w:color w:val="000000"/>
          <w:szCs w:val="21"/>
          <w:lang w:eastAsia="zh-CN"/>
        </w:rPr>
      </w:pPr>
    </w:p>
    <w:p>
      <w:pPr>
        <w:rPr>
          <w:rFonts w:ascii="Times New Roman" w:hAnsi="Times New Roman" w:cs="Times New Roman"/>
        </w:rPr>
      </w:pPr>
    </w:p>
    <w:p>
      <w:r>
        <w:br w:type="page"/>
      </w:r>
    </w:p>
    <w:p>
      <w:pPr>
        <w:pStyle w:val="2"/>
        <w:rPr>
          <w:rFonts w:ascii="Times New Roman" w:hAnsi="Times New Roman" w:cs="Times New Roman"/>
        </w:rPr>
      </w:pPr>
      <w:bookmarkStart w:id="47" w:name="_Toc759"/>
      <w:r>
        <w:rPr>
          <w:rFonts w:ascii="Times New Roman" w:hAnsi="Times New Roman" w:cs="Times New Roman"/>
        </w:rPr>
        <w:t>2-9绥宁县</w:t>
      </w:r>
      <w:bookmarkEnd w:id="44"/>
      <w:bookmarkEnd w:id="47"/>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936"/>
        <w:gridCol w:w="406"/>
        <w:gridCol w:w="431"/>
        <w:gridCol w:w="471"/>
        <w:gridCol w:w="935"/>
        <w:gridCol w:w="1139"/>
        <w:gridCol w:w="1347"/>
        <w:gridCol w:w="1721"/>
        <w:gridCol w:w="2016"/>
        <w:gridCol w:w="76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vAlign w:val="center"/>
          </w:tcPr>
          <w:p>
            <w:pPr>
              <w:widowControl/>
              <w:jc w:val="center"/>
              <w:rPr>
                <w:b/>
                <w:color w:val="000000"/>
                <w:kern w:val="0"/>
                <w:szCs w:val="21"/>
              </w:rPr>
            </w:pPr>
            <w:r>
              <w:rPr>
                <w:b/>
                <w:color w:val="000000"/>
                <w:kern w:val="0"/>
                <w:szCs w:val="21"/>
              </w:rPr>
              <w:t>环境管控单元编码</w:t>
            </w:r>
          </w:p>
        </w:tc>
        <w:tc>
          <w:tcPr>
            <w:tcW w:w="330" w:type="pct"/>
            <w:vMerge w:val="restart"/>
            <w:vAlign w:val="center"/>
          </w:tcPr>
          <w:p>
            <w:pPr>
              <w:widowControl/>
              <w:jc w:val="center"/>
              <w:rPr>
                <w:b/>
                <w:color w:val="000000"/>
                <w:kern w:val="0"/>
                <w:szCs w:val="21"/>
              </w:rPr>
            </w:pPr>
            <w:r>
              <w:rPr>
                <w:b/>
                <w:color w:val="000000"/>
                <w:kern w:val="0"/>
                <w:szCs w:val="21"/>
              </w:rPr>
              <w:t>单元名称</w:t>
            </w:r>
          </w:p>
        </w:tc>
        <w:tc>
          <w:tcPr>
            <w:tcW w:w="461" w:type="pct"/>
            <w:gridSpan w:val="3"/>
            <w:vAlign w:val="center"/>
          </w:tcPr>
          <w:p>
            <w:pPr>
              <w:widowControl/>
              <w:jc w:val="center"/>
              <w:rPr>
                <w:b/>
                <w:color w:val="000000"/>
                <w:kern w:val="0"/>
                <w:szCs w:val="21"/>
              </w:rPr>
            </w:pPr>
            <w:r>
              <w:rPr>
                <w:b/>
                <w:color w:val="000000"/>
                <w:kern w:val="0"/>
                <w:szCs w:val="21"/>
              </w:rPr>
              <w:t>行政区划</w:t>
            </w:r>
          </w:p>
        </w:tc>
        <w:tc>
          <w:tcPr>
            <w:tcW w:w="329" w:type="pct"/>
            <w:vMerge w:val="restart"/>
            <w:vAlign w:val="center"/>
          </w:tcPr>
          <w:p>
            <w:pPr>
              <w:widowControl/>
              <w:jc w:val="center"/>
              <w:rPr>
                <w:b/>
                <w:color w:val="000000"/>
                <w:kern w:val="0"/>
                <w:szCs w:val="21"/>
              </w:rPr>
            </w:pPr>
            <w:r>
              <w:rPr>
                <w:b/>
                <w:color w:val="000000"/>
                <w:kern w:val="0"/>
                <w:szCs w:val="21"/>
              </w:rPr>
              <w:t>单元分类</w:t>
            </w:r>
          </w:p>
        </w:tc>
        <w:tc>
          <w:tcPr>
            <w:tcW w:w="402"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75" w:type="pct"/>
            <w:vMerge w:val="restart"/>
            <w:vAlign w:val="center"/>
          </w:tcPr>
          <w:p>
            <w:pPr>
              <w:jc w:val="center"/>
              <w:rPr>
                <w:b/>
                <w:color w:val="000000"/>
                <w:kern w:val="0"/>
                <w:szCs w:val="21"/>
              </w:rPr>
            </w:pPr>
            <w:r>
              <w:rPr>
                <w:b/>
                <w:color w:val="000000"/>
                <w:kern w:val="0"/>
                <w:szCs w:val="21"/>
              </w:rPr>
              <w:t>涉及乡镇(街道)</w:t>
            </w:r>
          </w:p>
        </w:tc>
        <w:tc>
          <w:tcPr>
            <w:tcW w:w="607" w:type="pct"/>
            <w:vMerge w:val="restart"/>
            <w:vAlign w:val="center"/>
          </w:tcPr>
          <w:p>
            <w:pPr>
              <w:jc w:val="center"/>
              <w:rPr>
                <w:b/>
                <w:color w:val="000000"/>
                <w:kern w:val="0"/>
                <w:szCs w:val="21"/>
              </w:rPr>
            </w:pPr>
            <w:r>
              <w:rPr>
                <w:b/>
                <w:color w:val="000000"/>
                <w:kern w:val="0"/>
                <w:szCs w:val="21"/>
              </w:rPr>
              <w:t>主体功能定位</w:t>
            </w:r>
          </w:p>
        </w:tc>
        <w:tc>
          <w:tcPr>
            <w:tcW w:w="982" w:type="pct"/>
            <w:gridSpan w:val="2"/>
            <w:vMerge w:val="restart"/>
            <w:vAlign w:val="center"/>
          </w:tcPr>
          <w:p>
            <w:pPr>
              <w:jc w:val="center"/>
              <w:rPr>
                <w:b/>
                <w:color w:val="000000"/>
                <w:kern w:val="0"/>
                <w:szCs w:val="21"/>
              </w:rPr>
            </w:pPr>
            <w:r>
              <w:rPr>
                <w:b/>
                <w:color w:val="000000"/>
                <w:kern w:val="0"/>
                <w:szCs w:val="21"/>
              </w:rPr>
              <w:t>经济产业布局</w:t>
            </w:r>
          </w:p>
        </w:tc>
        <w:tc>
          <w:tcPr>
            <w:tcW w:w="860"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2" w:type="pct"/>
            <w:vMerge w:val="continue"/>
            <w:vAlign w:val="center"/>
          </w:tcPr>
          <w:p/>
        </w:tc>
        <w:tc>
          <w:tcPr>
            <w:tcW w:w="330" w:type="pct"/>
            <w:vMerge w:val="continue"/>
            <w:vAlign w:val="center"/>
          </w:tcPr>
          <w:p/>
        </w:tc>
        <w:tc>
          <w:tcPr>
            <w:tcW w:w="142" w:type="pct"/>
            <w:vAlign w:val="center"/>
          </w:tcPr>
          <w:p>
            <w:pPr>
              <w:jc w:val="center"/>
              <w:rPr>
                <w:b/>
                <w:color w:val="000000"/>
                <w:szCs w:val="21"/>
              </w:rPr>
            </w:pPr>
            <w:r>
              <w:rPr>
                <w:b/>
                <w:color w:val="000000"/>
                <w:szCs w:val="21"/>
              </w:rPr>
              <w:t>省</w:t>
            </w:r>
          </w:p>
        </w:tc>
        <w:tc>
          <w:tcPr>
            <w:tcW w:w="152" w:type="pct"/>
            <w:vAlign w:val="center"/>
          </w:tcPr>
          <w:p>
            <w:pPr>
              <w:jc w:val="center"/>
              <w:rPr>
                <w:b/>
                <w:color w:val="000000"/>
                <w:szCs w:val="21"/>
              </w:rPr>
            </w:pPr>
            <w:r>
              <w:rPr>
                <w:b/>
                <w:color w:val="000000"/>
                <w:szCs w:val="21"/>
              </w:rPr>
              <w:t>市</w:t>
            </w:r>
          </w:p>
        </w:tc>
        <w:tc>
          <w:tcPr>
            <w:tcW w:w="166" w:type="pct"/>
            <w:vAlign w:val="center"/>
          </w:tcPr>
          <w:p>
            <w:pPr>
              <w:jc w:val="center"/>
              <w:rPr>
                <w:b/>
                <w:color w:val="000000"/>
                <w:szCs w:val="21"/>
              </w:rPr>
            </w:pPr>
            <w:r>
              <w:rPr>
                <w:b/>
                <w:color w:val="000000"/>
                <w:szCs w:val="21"/>
              </w:rPr>
              <w:t>县</w:t>
            </w:r>
          </w:p>
        </w:tc>
        <w:tc>
          <w:tcPr>
            <w:tcW w:w="329" w:type="pct"/>
            <w:vMerge w:val="continue"/>
            <w:vAlign w:val="center"/>
          </w:tcPr>
          <w:p/>
        </w:tc>
        <w:tc>
          <w:tcPr>
            <w:tcW w:w="402" w:type="pct"/>
            <w:vMerge w:val="continue"/>
            <w:vAlign w:val="center"/>
          </w:tcPr>
          <w:p/>
        </w:tc>
        <w:tc>
          <w:tcPr>
            <w:tcW w:w="475" w:type="pct"/>
            <w:vMerge w:val="continue"/>
            <w:vAlign w:val="center"/>
          </w:tcPr>
          <w:p/>
        </w:tc>
        <w:tc>
          <w:tcPr>
            <w:tcW w:w="607" w:type="pct"/>
            <w:vMerge w:val="continue"/>
            <w:vAlign w:val="center"/>
          </w:tcPr>
          <w:p/>
        </w:tc>
        <w:tc>
          <w:tcPr>
            <w:tcW w:w="982" w:type="pct"/>
            <w:gridSpan w:val="2"/>
            <w:vMerge w:val="continue"/>
            <w:vAlign w:val="center"/>
          </w:tcPr>
          <w:p/>
        </w:tc>
        <w:tc>
          <w:tcPr>
            <w:tcW w:w="860"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jc w:val="center"/>
              <w:rPr>
                <w:color w:val="000000"/>
                <w:szCs w:val="21"/>
              </w:rPr>
            </w:pPr>
            <w:r>
              <w:rPr>
                <w:color w:val="000000"/>
                <w:szCs w:val="21"/>
              </w:rPr>
              <w:t>ZH43052710003</w:t>
            </w:r>
          </w:p>
        </w:tc>
        <w:tc>
          <w:tcPr>
            <w:tcW w:w="330" w:type="pct"/>
            <w:vAlign w:val="center"/>
          </w:tcPr>
          <w:p>
            <w:pPr>
              <w:jc w:val="center"/>
              <w:rPr>
                <w:color w:val="000000"/>
                <w:szCs w:val="21"/>
              </w:rPr>
            </w:pPr>
            <w:r>
              <w:rPr>
                <w:color w:val="000000"/>
                <w:szCs w:val="21"/>
              </w:rPr>
              <w:t>关峡苗族乡/李熙桥镇/武阳镇</w:t>
            </w:r>
          </w:p>
        </w:tc>
        <w:tc>
          <w:tcPr>
            <w:tcW w:w="142" w:type="pct"/>
            <w:vAlign w:val="center"/>
          </w:tcPr>
          <w:p>
            <w:pPr>
              <w:jc w:val="center"/>
              <w:rPr>
                <w:color w:val="000000"/>
                <w:szCs w:val="21"/>
              </w:rPr>
            </w:pPr>
            <w:r>
              <w:rPr>
                <w:color w:val="000000"/>
                <w:szCs w:val="21"/>
              </w:rPr>
              <w:t>湖南省</w:t>
            </w:r>
          </w:p>
        </w:tc>
        <w:tc>
          <w:tcPr>
            <w:tcW w:w="152" w:type="pct"/>
            <w:vAlign w:val="center"/>
          </w:tcPr>
          <w:p>
            <w:pPr>
              <w:jc w:val="center"/>
              <w:rPr>
                <w:color w:val="000000"/>
                <w:szCs w:val="21"/>
              </w:rPr>
            </w:pPr>
            <w:r>
              <w:rPr>
                <w:color w:val="000000"/>
                <w:szCs w:val="21"/>
              </w:rPr>
              <w:t>邵阳市</w:t>
            </w:r>
          </w:p>
        </w:tc>
        <w:tc>
          <w:tcPr>
            <w:tcW w:w="166" w:type="pct"/>
            <w:vAlign w:val="center"/>
          </w:tcPr>
          <w:p>
            <w:pPr>
              <w:jc w:val="center"/>
              <w:rPr>
                <w:color w:val="000000"/>
                <w:szCs w:val="21"/>
              </w:rPr>
            </w:pPr>
            <w:r>
              <w:rPr>
                <w:color w:val="000000"/>
                <w:szCs w:val="21"/>
              </w:rPr>
              <w:t>绥宁县</w:t>
            </w:r>
          </w:p>
        </w:tc>
        <w:tc>
          <w:tcPr>
            <w:tcW w:w="329" w:type="pct"/>
            <w:vAlign w:val="center"/>
          </w:tcPr>
          <w:p>
            <w:pPr>
              <w:jc w:val="center"/>
              <w:rPr>
                <w:color w:val="000000"/>
                <w:szCs w:val="21"/>
              </w:rPr>
            </w:pPr>
            <w:r>
              <w:rPr>
                <w:color w:val="000000"/>
                <w:szCs w:val="21"/>
              </w:rPr>
              <w:t>优先保护单元</w:t>
            </w:r>
          </w:p>
        </w:tc>
        <w:tc>
          <w:tcPr>
            <w:tcW w:w="402" w:type="pct"/>
            <w:vAlign w:val="center"/>
          </w:tcPr>
          <w:p>
            <w:pPr>
              <w:jc w:val="center"/>
              <w:rPr>
                <w:color w:val="000000"/>
                <w:szCs w:val="21"/>
              </w:rPr>
            </w:pPr>
            <w:r>
              <w:rPr>
                <w:color w:val="000000"/>
                <w:szCs w:val="21"/>
              </w:rPr>
              <w:t>578.56</w:t>
            </w:r>
          </w:p>
        </w:tc>
        <w:tc>
          <w:tcPr>
            <w:tcW w:w="475" w:type="pct"/>
            <w:vAlign w:val="center"/>
          </w:tcPr>
          <w:p>
            <w:pPr>
              <w:jc w:val="center"/>
              <w:rPr>
                <w:color w:val="000000"/>
                <w:szCs w:val="21"/>
              </w:rPr>
            </w:pPr>
            <w:r>
              <w:rPr>
                <w:color w:val="000000"/>
                <w:szCs w:val="21"/>
              </w:rPr>
              <w:t>关峡苗族乡/李熙桥镇/武阳镇</w:t>
            </w:r>
          </w:p>
        </w:tc>
        <w:tc>
          <w:tcPr>
            <w:tcW w:w="607" w:type="pct"/>
            <w:vAlign w:val="center"/>
          </w:tcPr>
          <w:p>
            <w:pPr>
              <w:rPr>
                <w:b/>
                <w:bCs/>
                <w:color w:val="000000"/>
                <w:szCs w:val="21"/>
              </w:rPr>
            </w:pPr>
            <w:r>
              <w:rPr>
                <w:b/>
                <w:bCs/>
                <w:color w:val="000000"/>
                <w:szCs w:val="21"/>
              </w:rPr>
              <w:t>关峡苗族乡：</w:t>
            </w:r>
            <w:r>
              <w:rPr>
                <w:color w:val="000000"/>
                <w:szCs w:val="21"/>
              </w:rPr>
              <w:t>城市化地区</w:t>
            </w:r>
          </w:p>
          <w:p>
            <w:pPr>
              <w:jc w:val="center"/>
              <w:rPr>
                <w:b/>
                <w:bCs/>
                <w:color w:val="000000"/>
                <w:szCs w:val="21"/>
              </w:rPr>
            </w:pPr>
            <w:r>
              <w:rPr>
                <w:b/>
                <w:bCs/>
                <w:color w:val="000000"/>
                <w:szCs w:val="21"/>
              </w:rPr>
              <w:t>李熙桥镇：</w:t>
            </w:r>
            <w:r>
              <w:rPr>
                <w:color w:val="000000"/>
                <w:szCs w:val="21"/>
              </w:rPr>
              <w:t>重点生态功能区</w:t>
            </w:r>
          </w:p>
          <w:p>
            <w:pPr>
              <w:jc w:val="center"/>
              <w:rPr>
                <w:color w:val="000000"/>
                <w:szCs w:val="21"/>
              </w:rPr>
            </w:pPr>
            <w:r>
              <w:rPr>
                <w:b/>
                <w:bCs/>
                <w:color w:val="000000"/>
                <w:szCs w:val="21"/>
              </w:rPr>
              <w:t>武阳镇</w:t>
            </w:r>
            <w:r>
              <w:rPr>
                <w:color w:val="000000"/>
                <w:szCs w:val="21"/>
              </w:rPr>
              <w:t>：农产品主产区</w:t>
            </w:r>
          </w:p>
        </w:tc>
        <w:tc>
          <w:tcPr>
            <w:tcW w:w="982" w:type="pct"/>
            <w:gridSpan w:val="2"/>
            <w:vAlign w:val="center"/>
          </w:tcPr>
          <w:p>
            <w:pPr>
              <w:widowControl/>
              <w:rPr>
                <w:b/>
                <w:bCs/>
                <w:color w:val="000000"/>
                <w:szCs w:val="21"/>
              </w:rPr>
            </w:pPr>
            <w:r>
              <w:rPr>
                <w:b/>
                <w:bCs/>
                <w:color w:val="000000"/>
                <w:szCs w:val="21"/>
              </w:rPr>
              <w:t>关峡苗族乡：</w:t>
            </w:r>
            <w:r>
              <w:rPr>
                <w:color w:val="000000"/>
                <w:szCs w:val="21"/>
              </w:rPr>
              <w:t>食品加工、旅游、社会服务；</w:t>
            </w:r>
          </w:p>
          <w:p>
            <w:pPr>
              <w:widowControl/>
              <w:rPr>
                <w:strike/>
                <w:color w:val="000000"/>
                <w:kern w:val="0"/>
                <w:szCs w:val="21"/>
              </w:rPr>
            </w:pPr>
            <w:r>
              <w:rPr>
                <w:b/>
                <w:bCs/>
                <w:color w:val="000000"/>
                <w:szCs w:val="21"/>
              </w:rPr>
              <w:t>李熙桥镇、武阳镇：</w:t>
            </w:r>
            <w:r>
              <w:rPr>
                <w:color w:val="000000"/>
                <w:szCs w:val="21"/>
              </w:rPr>
              <w:t>农业种植、畜禽养殖、农副产品加工。</w:t>
            </w:r>
          </w:p>
        </w:tc>
        <w:tc>
          <w:tcPr>
            <w:tcW w:w="860" w:type="pct"/>
            <w:vAlign w:val="center"/>
          </w:tcPr>
          <w:p>
            <w:pPr>
              <w:widowControl/>
              <w:rPr>
                <w:b/>
                <w:color w:val="000000"/>
                <w:kern w:val="0"/>
                <w:szCs w:val="21"/>
              </w:rPr>
            </w:pPr>
            <w:r>
              <w:rPr>
                <w:b/>
                <w:color w:val="000000"/>
                <w:kern w:val="0"/>
                <w:szCs w:val="21"/>
              </w:rPr>
              <w:t>主要环境问题：</w:t>
            </w:r>
          </w:p>
          <w:p>
            <w:pPr>
              <w:widowControl/>
              <w:rPr>
                <w:color w:val="000000"/>
                <w:kern w:val="0"/>
                <w:szCs w:val="21"/>
              </w:rPr>
            </w:pPr>
            <w:r>
              <w:rPr>
                <w:b/>
                <w:bCs/>
                <w:color w:val="000000"/>
                <w:szCs w:val="21"/>
              </w:rPr>
              <w:t>关峡苗族乡：</w:t>
            </w:r>
            <w:r>
              <w:rPr>
                <w:color w:val="000000"/>
                <w:kern w:val="0"/>
                <w:szCs w:val="21"/>
              </w:rPr>
              <w:t>部分企业污染治理设施不到位。</w:t>
            </w:r>
          </w:p>
          <w:p>
            <w:pPr>
              <w:pStyle w:val="9"/>
              <w:ind w:left="0" w:leftChars="0" w:firstLine="0" w:firstLineChars="0"/>
            </w:pPr>
            <w:r>
              <w:rPr>
                <w:b/>
                <w:bCs/>
                <w:color w:val="000000"/>
                <w:kern w:val="0"/>
                <w:szCs w:val="21"/>
              </w:rPr>
              <w:t>重要敏感目标</w:t>
            </w:r>
            <w:r>
              <w:rPr>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widowControl/>
              <w:jc w:val="center"/>
              <w:rPr>
                <w:b/>
                <w:color w:val="000000"/>
                <w:kern w:val="0"/>
                <w:szCs w:val="21"/>
              </w:rPr>
            </w:pPr>
            <w:r>
              <w:rPr>
                <w:b/>
                <w:color w:val="000000"/>
                <w:kern w:val="0"/>
                <w:szCs w:val="21"/>
              </w:rPr>
              <w:t>主要属性</w:t>
            </w:r>
          </w:p>
        </w:tc>
        <w:tc>
          <w:tcPr>
            <w:tcW w:w="4447" w:type="pct"/>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bCs/>
                <w:color w:val="000000"/>
                <w:szCs w:val="21"/>
              </w:rPr>
            </w:pPr>
            <w:r>
              <w:rPr>
                <w:b/>
                <w:bCs/>
                <w:color w:val="000000"/>
                <w:szCs w:val="21"/>
              </w:rPr>
              <w:t>关峡苗族乡：</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color w:val="000000"/>
                <w:szCs w:val="21"/>
              </w:rPr>
            </w:pPr>
            <w:r>
              <w:rPr>
                <w:b/>
                <w:bCs/>
                <w:color w:val="000000"/>
                <w:szCs w:val="21"/>
              </w:rPr>
              <w:t>生态红线：</w:t>
            </w:r>
            <w:r>
              <w:rPr>
                <w:color w:val="000000"/>
                <w:szCs w:val="21"/>
              </w:rPr>
              <w:t>红线/一般生态空间；水源涵养重要区\三区三线生态红线\森林公园\湿地公园\生物多样性保护功能重要区\原生态红线\水土流失敏感区\水土保持功能重要区；</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color w:val="000000"/>
                <w:szCs w:val="21"/>
              </w:rPr>
            </w:pPr>
            <w:r>
              <w:rPr>
                <w:b/>
                <w:bCs/>
                <w:color w:val="000000"/>
                <w:szCs w:val="21"/>
              </w:rPr>
              <w:t>环境质量底线：</w:t>
            </w:r>
            <w:r>
              <w:rPr>
                <w:color w:val="000000"/>
                <w:szCs w:val="21"/>
              </w:rPr>
              <w:t>水环境优先保护区/水环境工业园重点管控区/水环境一般管控区；湿地公园/工业园区；湖南绥宁花园阁国家级湿地公园/绥宁产业开发区；大气环境优先保护区/大气环境高排放重点管控区/大气环境受体敏感重点管控区；湖南绥宁堡子岭省级森林公园/湖南绥宁花园阁国家湿地公园/绥宁产业开发区/绥宁县高排放区；农用地优先保护区/建设用地重点管控区/其他重点管控区/一般管控区；矿区/中高风险企业用地；绥宁产业开发区；城市化地区；</w:t>
            </w:r>
          </w:p>
          <w:p>
            <w:pPr>
              <w:keepNext w:val="0"/>
              <w:keepLines w:val="0"/>
              <w:pageBreakBefore w:val="0"/>
              <w:widowControl w:val="0"/>
              <w:kinsoku/>
              <w:wordWrap/>
              <w:overflowPunct/>
              <w:topLinePunct w:val="0"/>
              <w:autoSpaceDE/>
              <w:autoSpaceDN/>
              <w:bidi w:val="0"/>
              <w:adjustRightInd/>
              <w:snapToGrid/>
              <w:spacing w:line="300" w:lineRule="exact"/>
              <w:textAlignment w:val="auto"/>
              <w:rPr>
                <w:b/>
                <w:bCs/>
                <w:color w:val="000000"/>
                <w:szCs w:val="21"/>
              </w:rPr>
            </w:pPr>
            <w:r>
              <w:rPr>
                <w:b/>
                <w:bCs/>
                <w:color w:val="000000"/>
                <w:szCs w:val="21"/>
              </w:rPr>
              <w:t>李熙桥镇：</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color w:val="000000"/>
                <w:szCs w:val="21"/>
              </w:rPr>
            </w:pPr>
            <w:r>
              <w:rPr>
                <w:b/>
                <w:bCs/>
                <w:color w:val="000000"/>
                <w:szCs w:val="21"/>
              </w:rPr>
              <w:t>生态红线：</w:t>
            </w:r>
            <w:r>
              <w:rPr>
                <w:color w:val="000000"/>
                <w:szCs w:val="21"/>
              </w:rPr>
              <w:t>红线/一般生态空间；水源涵养重要区\三区三线生态红线\森林公园\水土保持功能重要区\生物多样性保护功能重要区\原生态红线\水土流失敏感区\石漠化敏感区；</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color w:val="000000"/>
                <w:szCs w:val="21"/>
              </w:rPr>
            </w:pPr>
            <w:r>
              <w:rPr>
                <w:b/>
                <w:bCs/>
                <w:color w:val="000000"/>
                <w:szCs w:val="21"/>
              </w:rPr>
              <w:t>环境质量底线：</w:t>
            </w:r>
            <w:r>
              <w:rPr>
                <w:color w:val="000000"/>
                <w:szCs w:val="21"/>
              </w:rPr>
              <w:t>水环境一般管控区；大气环境优先保护区/大气环境受体敏感重点管控区；湖南绥宁堡子岭省级森林公园；农用地优先保护区/其他重点管控区/一般管控区；矿区；重点生态功能区；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Cs w:val="21"/>
              </w:rPr>
            </w:pPr>
            <w:r>
              <w:rPr>
                <w:b/>
                <w:bCs/>
                <w:color w:val="000000"/>
                <w:szCs w:val="21"/>
              </w:rPr>
              <w:t>武阳镇</w:t>
            </w:r>
            <w:r>
              <w:rPr>
                <w:color w:val="000000"/>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color w:val="000000"/>
                <w:szCs w:val="21"/>
              </w:rPr>
            </w:pPr>
            <w:r>
              <w:rPr>
                <w:b/>
                <w:bCs/>
                <w:color w:val="000000"/>
                <w:szCs w:val="21"/>
              </w:rPr>
              <w:t>生态红线：</w:t>
            </w:r>
            <w:r>
              <w:rPr>
                <w:color w:val="000000"/>
                <w:szCs w:val="21"/>
              </w:rPr>
              <w:t>红线/一般生态空间；水源涵养重要区\三区三线生态红线\森林公园\生物多样性保护功能重要区\原生态红线\水土流失敏感区；</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color w:val="000000"/>
                <w:szCs w:val="21"/>
              </w:rPr>
            </w:pPr>
            <w:r>
              <w:rPr>
                <w:b/>
                <w:bCs/>
                <w:color w:val="000000"/>
                <w:szCs w:val="21"/>
              </w:rPr>
              <w:t>环境质量底线：</w:t>
            </w:r>
            <w:r>
              <w:rPr>
                <w:color w:val="000000"/>
                <w:szCs w:val="21"/>
              </w:rPr>
              <w:t>水环境优先保护区/水环境一般管控区；源头水；蓼水源头水域（七坡山至阳镇武阳村口；大气环境优先保护区/大气环境受体敏感重点管控区；湖南绥宁堡子岭省级森林公园；农用地优先保护区/其他重点管控区/一般管控区；矿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widowControl/>
              <w:jc w:val="center"/>
              <w:rPr>
                <w:b/>
                <w:color w:val="000000"/>
                <w:szCs w:val="21"/>
              </w:rPr>
            </w:pPr>
            <w:r>
              <w:rPr>
                <w:b/>
                <w:color w:val="000000"/>
                <w:szCs w:val="21"/>
              </w:rPr>
              <w:t>管控维度</w:t>
            </w:r>
          </w:p>
        </w:tc>
        <w:tc>
          <w:tcPr>
            <w:tcW w:w="3316" w:type="pct"/>
            <w:gridSpan w:val="9"/>
            <w:vAlign w:val="center"/>
          </w:tcPr>
          <w:p>
            <w:pPr>
              <w:jc w:val="center"/>
              <w:rPr>
                <w:b/>
                <w:color w:val="000000"/>
                <w:szCs w:val="21"/>
              </w:rPr>
            </w:pPr>
            <w:r>
              <w:rPr>
                <w:b/>
                <w:color w:val="000000"/>
                <w:kern w:val="0"/>
                <w:szCs w:val="21"/>
              </w:rPr>
              <w:t>管控要求</w:t>
            </w:r>
          </w:p>
        </w:tc>
        <w:tc>
          <w:tcPr>
            <w:tcW w:w="1131" w:type="pct"/>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pct"/>
            <w:vAlign w:val="center"/>
          </w:tcPr>
          <w:p>
            <w:pPr>
              <w:widowControl/>
              <w:jc w:val="center"/>
              <w:rPr>
                <w:color w:val="000000"/>
                <w:szCs w:val="21"/>
              </w:rPr>
            </w:pPr>
            <w:r>
              <w:rPr>
                <w:color w:val="000000"/>
                <w:szCs w:val="21"/>
              </w:rPr>
              <w:t>空间布局约束</w:t>
            </w:r>
          </w:p>
        </w:tc>
        <w:tc>
          <w:tcPr>
            <w:tcW w:w="3316" w:type="pct"/>
            <w:gridSpan w:val="9"/>
            <w:vAlign w:val="center"/>
          </w:tcPr>
          <w:p>
            <w:pPr>
              <w:ind w:firstLine="420" w:firstLineChars="200"/>
            </w:pPr>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ind w:firstLine="420" w:firstLineChars="200"/>
            </w:pPr>
            <w:r>
              <w:t>（1.2）严格控制耕地转为林地、草地、园地等其他农用地。</w:t>
            </w:r>
          </w:p>
          <w:p>
            <w:pPr>
              <w:tabs>
                <w:tab w:val="left" w:pos="1021"/>
              </w:tabs>
              <w:ind w:firstLine="420" w:firstLineChars="200"/>
              <w:rPr>
                <w:color w:val="000000"/>
                <w:szCs w:val="21"/>
              </w:rPr>
            </w:pPr>
            <w:r>
              <w:t>（1.3）扩大高污染燃料禁燃区范围，巩固燃煤锅炉淘汰成果，严禁审批35蒸吨/小时及以下燃煤锅炉。</w:t>
            </w:r>
          </w:p>
        </w:tc>
        <w:tc>
          <w:tcPr>
            <w:tcW w:w="1131" w:type="pct"/>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widowControl/>
              <w:jc w:val="center"/>
              <w:rPr>
                <w:color w:val="000000"/>
                <w:szCs w:val="21"/>
              </w:rPr>
            </w:pPr>
            <w:r>
              <w:rPr>
                <w:color w:val="000000"/>
                <w:szCs w:val="21"/>
              </w:rPr>
              <w:t>污染物排放管控</w:t>
            </w:r>
          </w:p>
        </w:tc>
        <w:tc>
          <w:tcPr>
            <w:tcW w:w="3316" w:type="pct"/>
            <w:gridSpan w:val="9"/>
            <w:vAlign w:val="center"/>
          </w:tcPr>
          <w:p>
            <w:pPr>
              <w:tabs>
                <w:tab w:val="left" w:pos="1021"/>
              </w:tabs>
              <w:ind w:firstLine="420" w:firstLineChars="200"/>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ind w:firstLine="420" w:firstLineChars="200"/>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ind w:firstLine="420" w:firstLineChars="200"/>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pPr>
            <w:r>
              <w:rPr>
                <w:color w:val="000000"/>
                <w:szCs w:val="21"/>
              </w:rPr>
              <w:t>（2.3.4）加快污泥处理处置设施建设，污水处理设施产生的污泥应进行稳定化、资源化和无害化处置。</w:t>
            </w:r>
          </w:p>
        </w:tc>
        <w:tc>
          <w:tcPr>
            <w:tcW w:w="1131"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pct"/>
            <w:vAlign w:val="center"/>
          </w:tcPr>
          <w:p>
            <w:pPr>
              <w:widowControl/>
              <w:jc w:val="center"/>
              <w:rPr>
                <w:color w:val="000000"/>
                <w:szCs w:val="21"/>
              </w:rPr>
            </w:pPr>
            <w:r>
              <w:rPr>
                <w:color w:val="000000"/>
                <w:szCs w:val="21"/>
              </w:rPr>
              <w:t>环境风险防控</w:t>
            </w:r>
          </w:p>
        </w:tc>
        <w:tc>
          <w:tcPr>
            <w:tcW w:w="3316" w:type="pct"/>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color w:val="000000"/>
                <w:szCs w:val="21"/>
              </w:rPr>
            </w:pPr>
            <w:r>
              <w:rPr>
                <w:color w:val="000000"/>
                <w:szCs w:val="21"/>
              </w:rPr>
              <w:t>（3.3）严控新建源、严管现役源、严查风险源，在加强环境增量管理的同时，着力加强环境存量治理。</w:t>
            </w:r>
          </w:p>
        </w:tc>
        <w:tc>
          <w:tcPr>
            <w:tcW w:w="1131"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552" w:type="pct"/>
            <w:vAlign w:val="center"/>
          </w:tcPr>
          <w:p>
            <w:pPr>
              <w:widowControl/>
              <w:jc w:val="center"/>
              <w:rPr>
                <w:color w:val="000000"/>
                <w:szCs w:val="21"/>
              </w:rPr>
            </w:pPr>
            <w:r>
              <w:rPr>
                <w:color w:val="000000"/>
                <w:szCs w:val="21"/>
              </w:rPr>
              <w:t>资源开发效率要求</w:t>
            </w:r>
          </w:p>
        </w:tc>
        <w:tc>
          <w:tcPr>
            <w:tcW w:w="3316" w:type="pct"/>
            <w:gridSpan w:val="9"/>
          </w:tcPr>
          <w:p>
            <w:pPr>
              <w:ind w:firstLine="420" w:firstLineChars="200"/>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ind w:firstLine="420" w:firstLineChars="200"/>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ind w:firstLine="420" w:firstLineChars="200"/>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pPr>
            <w:r>
              <w:rPr>
                <w:color w:val="000000"/>
                <w:szCs w:val="21"/>
              </w:rPr>
              <w:t>（4.3.2）适度开发耕地后备资源，推进农用地和建设用地复垦。</w:t>
            </w:r>
          </w:p>
        </w:tc>
        <w:tc>
          <w:tcPr>
            <w:tcW w:w="1131" w:type="pct"/>
            <w:gridSpan w:val="2"/>
            <w:vMerge w:val="continue"/>
            <w:vAlign w:val="center"/>
          </w:tcPr>
          <w:p/>
        </w:tc>
      </w:tr>
    </w:tbl>
    <w:p>
      <w:pPr>
        <w:rPr>
          <w:b/>
          <w:color w:val="000000"/>
          <w:sz w:val="28"/>
          <w:szCs w:val="32"/>
        </w:rPr>
        <w:sectPr>
          <w:headerReference r:id="rId9" w:type="default"/>
          <w:footerReference r:id="rId10" w:type="default"/>
          <w:pgSz w:w="16838" w:h="11906" w:orient="landscape"/>
          <w:pgMar w:top="1800" w:right="1440" w:bottom="1800" w:left="1440" w:header="851" w:footer="992" w:gutter="0"/>
          <w:pgNumType w:fmt="decimal"/>
          <w:cols w:space="425"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848"/>
        <w:gridCol w:w="550"/>
        <w:gridCol w:w="550"/>
        <w:gridCol w:w="550"/>
        <w:gridCol w:w="689"/>
        <w:gridCol w:w="1514"/>
        <w:gridCol w:w="1954"/>
        <w:gridCol w:w="1066"/>
        <w:gridCol w:w="1102"/>
        <w:gridCol w:w="1156"/>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Merge w:val="restart"/>
            <w:vAlign w:val="center"/>
          </w:tcPr>
          <w:p>
            <w:pPr>
              <w:widowControl/>
              <w:jc w:val="center"/>
              <w:rPr>
                <w:b/>
                <w:color w:val="000000"/>
                <w:kern w:val="0"/>
                <w:szCs w:val="21"/>
              </w:rPr>
            </w:pPr>
            <w:r>
              <w:rPr>
                <w:b/>
                <w:color w:val="000000"/>
                <w:kern w:val="0"/>
                <w:szCs w:val="21"/>
              </w:rPr>
              <w:t>环境管控单元编码</w:t>
            </w:r>
          </w:p>
        </w:tc>
        <w:tc>
          <w:tcPr>
            <w:tcW w:w="848" w:type="dxa"/>
            <w:vMerge w:val="restart"/>
            <w:vAlign w:val="center"/>
          </w:tcPr>
          <w:p>
            <w:pPr>
              <w:widowControl/>
              <w:jc w:val="center"/>
              <w:rPr>
                <w:b/>
                <w:color w:val="000000"/>
                <w:kern w:val="0"/>
                <w:szCs w:val="21"/>
              </w:rPr>
            </w:pPr>
            <w:r>
              <w:rPr>
                <w:b/>
                <w:color w:val="000000"/>
                <w:kern w:val="0"/>
                <w:szCs w:val="21"/>
              </w:rPr>
              <w:t>单元名称</w:t>
            </w:r>
          </w:p>
        </w:tc>
        <w:tc>
          <w:tcPr>
            <w:tcW w:w="1650" w:type="dxa"/>
            <w:gridSpan w:val="3"/>
            <w:vAlign w:val="center"/>
          </w:tcPr>
          <w:p>
            <w:pPr>
              <w:widowControl/>
              <w:jc w:val="center"/>
              <w:rPr>
                <w:b/>
                <w:color w:val="000000"/>
                <w:kern w:val="0"/>
                <w:szCs w:val="21"/>
              </w:rPr>
            </w:pPr>
            <w:r>
              <w:rPr>
                <w:b/>
                <w:color w:val="000000"/>
                <w:kern w:val="0"/>
                <w:szCs w:val="21"/>
              </w:rPr>
              <w:t>行政区划</w:t>
            </w:r>
          </w:p>
        </w:tc>
        <w:tc>
          <w:tcPr>
            <w:tcW w:w="689" w:type="dxa"/>
            <w:vMerge w:val="restart"/>
            <w:vAlign w:val="center"/>
          </w:tcPr>
          <w:p>
            <w:pPr>
              <w:widowControl/>
              <w:jc w:val="center"/>
              <w:rPr>
                <w:b/>
                <w:color w:val="000000"/>
                <w:kern w:val="0"/>
                <w:szCs w:val="21"/>
              </w:rPr>
            </w:pPr>
            <w:r>
              <w:rPr>
                <w:b/>
                <w:color w:val="000000"/>
                <w:kern w:val="0"/>
                <w:szCs w:val="21"/>
              </w:rPr>
              <w:t>单元分类</w:t>
            </w:r>
          </w:p>
        </w:tc>
        <w:tc>
          <w:tcPr>
            <w:tcW w:w="1514"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954" w:type="dxa"/>
            <w:vMerge w:val="restart"/>
            <w:vAlign w:val="center"/>
          </w:tcPr>
          <w:p>
            <w:pPr>
              <w:jc w:val="center"/>
              <w:rPr>
                <w:b/>
                <w:color w:val="000000"/>
                <w:kern w:val="0"/>
                <w:szCs w:val="21"/>
              </w:rPr>
            </w:pPr>
            <w:r>
              <w:rPr>
                <w:b/>
                <w:color w:val="000000"/>
                <w:kern w:val="0"/>
                <w:szCs w:val="21"/>
              </w:rPr>
              <w:t>涉及乡镇(街道)</w:t>
            </w:r>
          </w:p>
        </w:tc>
        <w:tc>
          <w:tcPr>
            <w:tcW w:w="1066" w:type="dxa"/>
            <w:vMerge w:val="restart"/>
            <w:vAlign w:val="center"/>
          </w:tcPr>
          <w:p>
            <w:pPr>
              <w:jc w:val="center"/>
              <w:rPr>
                <w:b/>
                <w:color w:val="000000"/>
                <w:kern w:val="0"/>
                <w:szCs w:val="21"/>
              </w:rPr>
            </w:pPr>
            <w:r>
              <w:rPr>
                <w:b/>
                <w:color w:val="000000"/>
                <w:kern w:val="0"/>
                <w:szCs w:val="21"/>
              </w:rPr>
              <w:t>主体功能定位</w:t>
            </w:r>
          </w:p>
        </w:tc>
        <w:tc>
          <w:tcPr>
            <w:tcW w:w="2258" w:type="dxa"/>
            <w:gridSpan w:val="2"/>
            <w:vMerge w:val="restart"/>
            <w:vAlign w:val="center"/>
          </w:tcPr>
          <w:p>
            <w:pPr>
              <w:jc w:val="center"/>
              <w:rPr>
                <w:b/>
                <w:color w:val="000000"/>
                <w:kern w:val="0"/>
                <w:szCs w:val="21"/>
              </w:rPr>
            </w:pPr>
            <w:r>
              <w:rPr>
                <w:b/>
                <w:color w:val="000000"/>
                <w:kern w:val="0"/>
                <w:szCs w:val="21"/>
              </w:rPr>
              <w:t>经济产业布局</w:t>
            </w:r>
          </w:p>
        </w:tc>
        <w:tc>
          <w:tcPr>
            <w:tcW w:w="2544"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51" w:type="dxa"/>
            <w:vMerge w:val="continue"/>
            <w:vAlign w:val="center"/>
          </w:tcPr>
          <w:p/>
        </w:tc>
        <w:tc>
          <w:tcPr>
            <w:tcW w:w="848" w:type="dxa"/>
            <w:vMerge w:val="continue"/>
            <w:vAlign w:val="center"/>
          </w:tcPr>
          <w:p/>
        </w:tc>
        <w:tc>
          <w:tcPr>
            <w:tcW w:w="550" w:type="dxa"/>
            <w:vAlign w:val="center"/>
          </w:tcPr>
          <w:p>
            <w:pPr>
              <w:jc w:val="center"/>
              <w:rPr>
                <w:b/>
                <w:color w:val="000000"/>
                <w:szCs w:val="21"/>
              </w:rPr>
            </w:pPr>
            <w:r>
              <w:rPr>
                <w:b/>
                <w:color w:val="000000"/>
                <w:szCs w:val="21"/>
              </w:rPr>
              <w:t>省</w:t>
            </w:r>
          </w:p>
        </w:tc>
        <w:tc>
          <w:tcPr>
            <w:tcW w:w="550" w:type="dxa"/>
            <w:vAlign w:val="center"/>
          </w:tcPr>
          <w:p>
            <w:pPr>
              <w:jc w:val="center"/>
              <w:rPr>
                <w:b/>
                <w:color w:val="000000"/>
                <w:szCs w:val="21"/>
              </w:rPr>
            </w:pPr>
            <w:r>
              <w:rPr>
                <w:b/>
                <w:color w:val="000000"/>
                <w:szCs w:val="21"/>
              </w:rPr>
              <w:t>市</w:t>
            </w:r>
          </w:p>
        </w:tc>
        <w:tc>
          <w:tcPr>
            <w:tcW w:w="550" w:type="dxa"/>
            <w:vAlign w:val="center"/>
          </w:tcPr>
          <w:p>
            <w:pPr>
              <w:jc w:val="center"/>
              <w:rPr>
                <w:b/>
                <w:color w:val="000000"/>
                <w:szCs w:val="21"/>
              </w:rPr>
            </w:pPr>
            <w:r>
              <w:rPr>
                <w:b/>
                <w:color w:val="000000"/>
                <w:szCs w:val="21"/>
              </w:rPr>
              <w:t>县</w:t>
            </w:r>
          </w:p>
        </w:tc>
        <w:tc>
          <w:tcPr>
            <w:tcW w:w="689" w:type="dxa"/>
            <w:vMerge w:val="continue"/>
            <w:vAlign w:val="center"/>
          </w:tcPr>
          <w:p/>
        </w:tc>
        <w:tc>
          <w:tcPr>
            <w:tcW w:w="1514" w:type="dxa"/>
            <w:vMerge w:val="continue"/>
            <w:vAlign w:val="center"/>
          </w:tcPr>
          <w:p/>
        </w:tc>
        <w:tc>
          <w:tcPr>
            <w:tcW w:w="1954" w:type="dxa"/>
            <w:vMerge w:val="continue"/>
            <w:vAlign w:val="center"/>
          </w:tcPr>
          <w:p/>
        </w:tc>
        <w:tc>
          <w:tcPr>
            <w:tcW w:w="1066" w:type="dxa"/>
            <w:vMerge w:val="continue"/>
            <w:vAlign w:val="center"/>
          </w:tcPr>
          <w:p/>
        </w:tc>
        <w:tc>
          <w:tcPr>
            <w:tcW w:w="2258" w:type="dxa"/>
            <w:gridSpan w:val="2"/>
            <w:vMerge w:val="continue"/>
            <w:vAlign w:val="center"/>
          </w:tcPr>
          <w:p/>
        </w:tc>
        <w:tc>
          <w:tcPr>
            <w:tcW w:w="25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jc w:val="center"/>
              <w:rPr>
                <w:color w:val="000000"/>
                <w:szCs w:val="21"/>
              </w:rPr>
            </w:pPr>
            <w:r>
              <w:rPr>
                <w:color w:val="000000"/>
                <w:szCs w:val="21"/>
              </w:rPr>
              <w:t>ZH43052710001</w:t>
            </w:r>
          </w:p>
        </w:tc>
        <w:tc>
          <w:tcPr>
            <w:tcW w:w="848" w:type="dxa"/>
            <w:vAlign w:val="center"/>
          </w:tcPr>
          <w:p>
            <w:pPr>
              <w:jc w:val="center"/>
              <w:rPr>
                <w:color w:val="000000"/>
                <w:szCs w:val="21"/>
              </w:rPr>
            </w:pPr>
            <w:r>
              <w:rPr>
                <w:color w:val="000000"/>
                <w:szCs w:val="21"/>
              </w:rPr>
              <w:t>黄土矿镇/金屋塘镇/瓦屋塘镇</w:t>
            </w:r>
          </w:p>
        </w:tc>
        <w:tc>
          <w:tcPr>
            <w:tcW w:w="550" w:type="dxa"/>
            <w:vAlign w:val="center"/>
          </w:tcPr>
          <w:p>
            <w:pPr>
              <w:jc w:val="center"/>
              <w:rPr>
                <w:color w:val="000000"/>
                <w:szCs w:val="21"/>
              </w:rPr>
            </w:pPr>
            <w:r>
              <w:rPr>
                <w:color w:val="000000"/>
                <w:szCs w:val="21"/>
              </w:rPr>
              <w:t>湖南省</w:t>
            </w:r>
          </w:p>
        </w:tc>
        <w:tc>
          <w:tcPr>
            <w:tcW w:w="550" w:type="dxa"/>
            <w:vAlign w:val="center"/>
          </w:tcPr>
          <w:p>
            <w:pPr>
              <w:jc w:val="center"/>
              <w:rPr>
                <w:color w:val="000000"/>
                <w:szCs w:val="21"/>
              </w:rPr>
            </w:pPr>
            <w:r>
              <w:rPr>
                <w:color w:val="000000"/>
                <w:szCs w:val="21"/>
              </w:rPr>
              <w:t>邵阳市</w:t>
            </w:r>
          </w:p>
        </w:tc>
        <w:tc>
          <w:tcPr>
            <w:tcW w:w="550" w:type="dxa"/>
            <w:vAlign w:val="center"/>
          </w:tcPr>
          <w:p>
            <w:pPr>
              <w:jc w:val="center"/>
              <w:rPr>
                <w:color w:val="000000"/>
                <w:szCs w:val="21"/>
              </w:rPr>
            </w:pPr>
            <w:r>
              <w:rPr>
                <w:color w:val="000000"/>
                <w:szCs w:val="21"/>
              </w:rPr>
              <w:t>绥宁县</w:t>
            </w:r>
          </w:p>
        </w:tc>
        <w:tc>
          <w:tcPr>
            <w:tcW w:w="689" w:type="dxa"/>
            <w:vAlign w:val="center"/>
          </w:tcPr>
          <w:p>
            <w:pPr>
              <w:jc w:val="center"/>
              <w:rPr>
                <w:color w:val="000000"/>
                <w:szCs w:val="21"/>
              </w:rPr>
            </w:pPr>
            <w:r>
              <w:rPr>
                <w:color w:val="000000"/>
                <w:szCs w:val="21"/>
              </w:rPr>
              <w:t>优先保护单元</w:t>
            </w:r>
          </w:p>
        </w:tc>
        <w:tc>
          <w:tcPr>
            <w:tcW w:w="1514" w:type="dxa"/>
            <w:vAlign w:val="center"/>
          </w:tcPr>
          <w:p>
            <w:pPr>
              <w:jc w:val="center"/>
              <w:rPr>
                <w:color w:val="000000"/>
                <w:szCs w:val="21"/>
              </w:rPr>
            </w:pPr>
            <w:r>
              <w:rPr>
                <w:color w:val="000000"/>
                <w:szCs w:val="21"/>
              </w:rPr>
              <w:t>357.10</w:t>
            </w:r>
          </w:p>
        </w:tc>
        <w:tc>
          <w:tcPr>
            <w:tcW w:w="1954" w:type="dxa"/>
            <w:vAlign w:val="center"/>
          </w:tcPr>
          <w:p>
            <w:pPr>
              <w:jc w:val="center"/>
              <w:rPr>
                <w:color w:val="000000"/>
                <w:szCs w:val="21"/>
              </w:rPr>
            </w:pPr>
            <w:r>
              <w:rPr>
                <w:color w:val="000000"/>
                <w:szCs w:val="21"/>
              </w:rPr>
              <w:t>黄土矿镇/金屋塘镇/瓦屋塘镇</w:t>
            </w:r>
          </w:p>
        </w:tc>
        <w:tc>
          <w:tcPr>
            <w:tcW w:w="1066" w:type="dxa"/>
            <w:vAlign w:val="center"/>
          </w:tcPr>
          <w:p>
            <w:pPr>
              <w:jc w:val="center"/>
              <w:rPr>
                <w:color w:val="000000"/>
                <w:szCs w:val="21"/>
              </w:rPr>
            </w:pPr>
            <w:r>
              <w:rPr>
                <w:b/>
                <w:bCs/>
                <w:color w:val="000000"/>
                <w:szCs w:val="21"/>
              </w:rPr>
              <w:t>黄土矿镇、金屋塘镇、瓦屋塘镇：</w:t>
            </w:r>
            <w:r>
              <w:rPr>
                <w:color w:val="000000"/>
                <w:szCs w:val="21"/>
              </w:rPr>
              <w:t>重点生态功能区</w:t>
            </w:r>
          </w:p>
        </w:tc>
        <w:tc>
          <w:tcPr>
            <w:tcW w:w="2258" w:type="dxa"/>
            <w:gridSpan w:val="2"/>
            <w:vAlign w:val="center"/>
          </w:tcPr>
          <w:p>
            <w:pPr>
              <w:widowControl/>
              <w:rPr>
                <w:strike/>
                <w:color w:val="000000"/>
                <w:kern w:val="0"/>
                <w:szCs w:val="21"/>
              </w:rPr>
            </w:pPr>
            <w:r>
              <w:rPr>
                <w:b/>
                <w:bCs/>
                <w:color w:val="000000"/>
                <w:szCs w:val="21"/>
              </w:rPr>
              <w:t>黄土矿镇、金屋塘镇、瓦屋塘镇：</w:t>
            </w:r>
            <w:r>
              <w:rPr>
                <w:color w:val="000000"/>
                <w:szCs w:val="21"/>
              </w:rPr>
              <w:t>农业种植、</w:t>
            </w:r>
            <w:r>
              <w:rPr>
                <w:rFonts w:hint="eastAsia"/>
                <w:color w:val="000000"/>
                <w:szCs w:val="21"/>
              </w:rPr>
              <w:t>农副</w:t>
            </w:r>
            <w:r>
              <w:rPr>
                <w:color w:val="000000"/>
                <w:szCs w:val="21"/>
              </w:rPr>
              <w:t>产品加工、畜禽养殖、休闲旅游。</w:t>
            </w:r>
          </w:p>
        </w:tc>
        <w:tc>
          <w:tcPr>
            <w:tcW w:w="2544" w:type="dxa"/>
            <w:vAlign w:val="center"/>
          </w:tcPr>
          <w:p>
            <w:pPr>
              <w:widowControl/>
              <w:rPr>
                <w:b/>
                <w:color w:val="000000"/>
                <w:kern w:val="0"/>
                <w:szCs w:val="21"/>
              </w:rPr>
            </w:pPr>
            <w:r>
              <w:rPr>
                <w:b/>
                <w:color w:val="000000"/>
                <w:kern w:val="0"/>
                <w:szCs w:val="21"/>
              </w:rPr>
              <w:t>主要环境问题：</w:t>
            </w:r>
            <w:r>
              <w:rPr>
                <w:bCs/>
                <w:color w:val="000000"/>
                <w:kern w:val="0"/>
                <w:szCs w:val="21"/>
              </w:rPr>
              <w:t>无。</w:t>
            </w:r>
          </w:p>
          <w:p>
            <w:pPr>
              <w:widowControl/>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kern w:val="0"/>
                <w:szCs w:val="21"/>
              </w:rPr>
            </w:pPr>
            <w:r>
              <w:rPr>
                <w:b/>
                <w:color w:val="000000"/>
                <w:kern w:val="0"/>
                <w:szCs w:val="21"/>
              </w:rPr>
              <w:t>主要属性</w:t>
            </w:r>
          </w:p>
        </w:tc>
        <w:tc>
          <w:tcPr>
            <w:tcW w:w="12523" w:type="dxa"/>
            <w:gridSpan w:val="11"/>
            <w:vAlign w:val="center"/>
          </w:tcPr>
          <w:p>
            <w:pPr>
              <w:rPr>
                <w:b/>
                <w:bCs/>
                <w:color w:val="000000"/>
                <w:szCs w:val="21"/>
              </w:rPr>
            </w:pPr>
            <w:r>
              <w:rPr>
                <w:b/>
                <w:bCs/>
                <w:color w:val="000000"/>
                <w:szCs w:val="21"/>
              </w:rPr>
              <w:t>黄土矿镇：</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红线/一般生态空间；水源涵养重要区\三区三线生态红线\原生态红线\生物多样性保护功能重要区\水土流失敏感区\水土保持功能重要区；</w:t>
            </w:r>
          </w:p>
          <w:p>
            <w:pPr>
              <w:ind w:firstLine="422" w:firstLineChars="200"/>
              <w:rPr>
                <w:color w:val="000000"/>
                <w:szCs w:val="21"/>
              </w:rPr>
            </w:pPr>
            <w:r>
              <w:rPr>
                <w:b/>
                <w:bCs/>
                <w:color w:val="000000"/>
                <w:szCs w:val="21"/>
              </w:rPr>
              <w:t>环境质量底线：</w:t>
            </w:r>
            <w:r>
              <w:rPr>
                <w:color w:val="000000"/>
                <w:szCs w:val="21"/>
              </w:rPr>
              <w:t>水环境一般管控区；大气环境受体敏感重点管控区；农用地优先保护区/一般管控区；重点生态功能区；</w:t>
            </w:r>
          </w:p>
          <w:p>
            <w:pPr>
              <w:rPr>
                <w:b/>
                <w:bCs/>
                <w:color w:val="000000"/>
                <w:szCs w:val="21"/>
              </w:rPr>
            </w:pPr>
            <w:r>
              <w:rPr>
                <w:b/>
                <w:bCs/>
                <w:color w:val="000000"/>
                <w:szCs w:val="21"/>
              </w:rPr>
              <w:t>金屋塘镇：</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红线/一般生态空间；水源涵养重要区\三区三线生态红线\生物多样性保护功能重要区\森林公园\水土保持功能重要区\原生态红线\水土流失敏感区\石漠化敏感区；</w:t>
            </w:r>
          </w:p>
          <w:p>
            <w:pPr>
              <w:ind w:firstLine="422" w:firstLineChars="200"/>
              <w:rPr>
                <w:b/>
                <w:bCs/>
                <w:color w:val="000000"/>
                <w:szCs w:val="21"/>
              </w:rPr>
            </w:pPr>
            <w:r>
              <w:rPr>
                <w:b/>
                <w:bCs/>
                <w:color w:val="000000"/>
                <w:szCs w:val="21"/>
              </w:rPr>
              <w:t>环境质量底线：</w:t>
            </w:r>
            <w:r>
              <w:rPr>
                <w:color w:val="000000"/>
                <w:szCs w:val="21"/>
              </w:rPr>
              <w:t>水环境其他重点管控区/水环境一般管控区；重金属矿；绥宁县南岭有色金属矿业有限公司南岭有色矿；大气环境优先保护区/大气环境受体敏感重点管控区/大气环境弱扩散重点管控区；湖南洞口罗溪国家森林公园；农用地优先保护区/建设用地重点管控区/其他重点管控区/一般管控区；矿区/中高风险企业用地；重点生态功能区；</w:t>
            </w:r>
          </w:p>
          <w:p>
            <w:pPr>
              <w:rPr>
                <w:b/>
                <w:bCs/>
                <w:color w:val="000000"/>
                <w:szCs w:val="21"/>
              </w:rPr>
            </w:pPr>
            <w:r>
              <w:rPr>
                <w:b/>
                <w:bCs/>
                <w:color w:val="000000"/>
                <w:szCs w:val="21"/>
              </w:rPr>
              <w:t>瓦屋塘镇：</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红线/一般生态空间；水源涵养重要区\三区三线生态红线\风景名胜区\生物多样性保护功能重要区\原生态红线\水土保持功能重要区\水土流失敏感区；</w:t>
            </w:r>
          </w:p>
          <w:p>
            <w:pPr>
              <w:ind w:firstLine="422" w:firstLineChars="200"/>
              <w:rPr>
                <w:b/>
                <w:bCs/>
                <w:color w:val="000000"/>
                <w:szCs w:val="21"/>
              </w:rPr>
            </w:pPr>
            <w:r>
              <w:rPr>
                <w:b/>
                <w:bCs/>
                <w:color w:val="000000"/>
                <w:szCs w:val="21"/>
              </w:rPr>
              <w:t>环境质量底线：</w:t>
            </w:r>
            <w:r>
              <w:rPr>
                <w:color w:val="000000"/>
                <w:szCs w:val="21"/>
              </w:rPr>
              <w:t>水环境一般管控区；大气环境优先保护区/大气环境受体敏感重点管控区/大气环境弱扩散重点管控区；蔡锷故里风景名胜区；农用地优先保护区/一般管控区；重点生态功能区；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szCs w:val="21"/>
              </w:rPr>
            </w:pPr>
            <w:r>
              <w:rPr>
                <w:b/>
                <w:color w:val="000000"/>
                <w:szCs w:val="21"/>
              </w:rPr>
              <w:t>管控维度</w:t>
            </w:r>
          </w:p>
        </w:tc>
        <w:tc>
          <w:tcPr>
            <w:tcW w:w="8823" w:type="dxa"/>
            <w:gridSpan w:val="9"/>
            <w:vAlign w:val="center"/>
          </w:tcPr>
          <w:p>
            <w:pPr>
              <w:jc w:val="center"/>
              <w:rPr>
                <w:b/>
                <w:color w:val="000000"/>
                <w:szCs w:val="21"/>
              </w:rPr>
            </w:pPr>
            <w:r>
              <w:rPr>
                <w:b/>
                <w:color w:val="000000"/>
                <w:kern w:val="0"/>
                <w:szCs w:val="21"/>
              </w:rPr>
              <w:t>管控要求</w:t>
            </w:r>
          </w:p>
        </w:tc>
        <w:tc>
          <w:tcPr>
            <w:tcW w:w="3700"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空间布局约束</w:t>
            </w:r>
          </w:p>
        </w:tc>
        <w:tc>
          <w:tcPr>
            <w:tcW w:w="8823" w:type="dxa"/>
            <w:gridSpan w:val="9"/>
            <w:vAlign w:val="center"/>
          </w:tcPr>
          <w:p>
            <w:pPr>
              <w:ind w:firstLine="420" w:firstLineChars="200"/>
            </w:pPr>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ind w:firstLine="420" w:firstLineChars="200"/>
            </w:pPr>
            <w:r>
              <w:t>（1.2）严格控制耕地转为林地、草地、园地等其他农用地。</w:t>
            </w:r>
          </w:p>
          <w:p>
            <w:pPr>
              <w:tabs>
                <w:tab w:val="left" w:pos="1021"/>
              </w:tabs>
              <w:ind w:firstLine="420" w:firstLineChars="200"/>
            </w:pPr>
            <w:r>
              <w:t>（1.3）扩大高污染燃料禁燃区范围，巩固燃煤锅炉淘汰成果，严禁审批35蒸吨/小时及以下燃煤锅炉。</w:t>
            </w:r>
          </w:p>
        </w:tc>
        <w:tc>
          <w:tcPr>
            <w:tcW w:w="3700" w:type="dxa"/>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污染物排放管控</w:t>
            </w:r>
          </w:p>
        </w:tc>
        <w:tc>
          <w:tcPr>
            <w:tcW w:w="8823" w:type="dxa"/>
            <w:gridSpan w:val="9"/>
            <w:vAlign w:val="center"/>
          </w:tcPr>
          <w:p>
            <w:pPr>
              <w:tabs>
                <w:tab w:val="left" w:pos="1021"/>
              </w:tabs>
              <w:ind w:firstLine="420" w:firstLineChars="200"/>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ind w:firstLine="420" w:firstLineChars="200"/>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ind w:firstLine="420" w:firstLineChars="200"/>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370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环境风险防控</w:t>
            </w:r>
          </w:p>
        </w:tc>
        <w:tc>
          <w:tcPr>
            <w:tcW w:w="8823" w:type="dxa"/>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370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资源开发效率要求</w:t>
            </w:r>
          </w:p>
        </w:tc>
        <w:tc>
          <w:tcPr>
            <w:tcW w:w="8823" w:type="dxa"/>
            <w:gridSpan w:val="9"/>
          </w:tcPr>
          <w:p>
            <w:pPr>
              <w:ind w:firstLine="420" w:firstLineChars="200"/>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ind w:firstLine="420" w:firstLineChars="200"/>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ind w:firstLine="420" w:firstLineChars="200"/>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strike/>
                <w:color w:val="000000"/>
                <w:szCs w:val="21"/>
              </w:rPr>
            </w:pPr>
            <w:r>
              <w:rPr>
                <w:color w:val="000000"/>
                <w:szCs w:val="21"/>
              </w:rPr>
              <w:t>（4.3.2）适度开发耕地后备资源，推进农用地和建设用地复垦。</w:t>
            </w:r>
          </w:p>
        </w:tc>
        <w:tc>
          <w:tcPr>
            <w:tcW w:w="3700" w:type="dxa"/>
            <w:gridSpan w:val="2"/>
            <w:vMerge w:val="continue"/>
            <w:vAlign w:val="center"/>
          </w:tcPr>
          <w:p/>
        </w:tc>
      </w:tr>
    </w:tbl>
    <w:p>
      <w: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82"/>
        <w:gridCol w:w="511"/>
        <w:gridCol w:w="510"/>
        <w:gridCol w:w="511"/>
        <w:gridCol w:w="744"/>
        <w:gridCol w:w="1130"/>
        <w:gridCol w:w="1944"/>
        <w:gridCol w:w="1092"/>
        <w:gridCol w:w="913"/>
        <w:gridCol w:w="1837"/>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Merge w:val="restart"/>
            <w:vAlign w:val="center"/>
          </w:tcPr>
          <w:p>
            <w:pPr>
              <w:widowControl/>
              <w:jc w:val="center"/>
              <w:rPr>
                <w:b/>
                <w:color w:val="000000"/>
                <w:kern w:val="0"/>
                <w:szCs w:val="21"/>
              </w:rPr>
            </w:pPr>
            <w:r>
              <w:rPr>
                <w:b/>
                <w:color w:val="000000"/>
                <w:kern w:val="0"/>
                <w:szCs w:val="21"/>
              </w:rPr>
              <w:t>环境管控单元编码</w:t>
            </w:r>
          </w:p>
        </w:tc>
        <w:tc>
          <w:tcPr>
            <w:tcW w:w="782" w:type="dxa"/>
            <w:vMerge w:val="restart"/>
            <w:vAlign w:val="center"/>
          </w:tcPr>
          <w:p>
            <w:pPr>
              <w:widowControl/>
              <w:jc w:val="center"/>
              <w:rPr>
                <w:b/>
                <w:color w:val="000000"/>
                <w:kern w:val="0"/>
                <w:szCs w:val="21"/>
              </w:rPr>
            </w:pPr>
            <w:r>
              <w:rPr>
                <w:b/>
                <w:color w:val="000000"/>
                <w:kern w:val="0"/>
                <w:szCs w:val="21"/>
              </w:rPr>
              <w:t>单元名称</w:t>
            </w:r>
          </w:p>
        </w:tc>
        <w:tc>
          <w:tcPr>
            <w:tcW w:w="1532" w:type="dxa"/>
            <w:gridSpan w:val="3"/>
            <w:vAlign w:val="center"/>
          </w:tcPr>
          <w:p>
            <w:pPr>
              <w:widowControl/>
              <w:jc w:val="center"/>
              <w:rPr>
                <w:b/>
                <w:color w:val="000000"/>
                <w:kern w:val="0"/>
                <w:szCs w:val="21"/>
              </w:rPr>
            </w:pPr>
            <w:r>
              <w:rPr>
                <w:b/>
                <w:color w:val="000000"/>
                <w:kern w:val="0"/>
                <w:szCs w:val="21"/>
              </w:rPr>
              <w:t>行政区划</w:t>
            </w:r>
          </w:p>
        </w:tc>
        <w:tc>
          <w:tcPr>
            <w:tcW w:w="744" w:type="dxa"/>
            <w:vMerge w:val="restart"/>
            <w:vAlign w:val="center"/>
          </w:tcPr>
          <w:p>
            <w:pPr>
              <w:widowControl/>
              <w:jc w:val="center"/>
              <w:rPr>
                <w:b/>
                <w:color w:val="000000"/>
                <w:kern w:val="0"/>
                <w:szCs w:val="21"/>
              </w:rPr>
            </w:pPr>
            <w:r>
              <w:rPr>
                <w:b/>
                <w:color w:val="000000"/>
                <w:kern w:val="0"/>
                <w:szCs w:val="21"/>
              </w:rPr>
              <w:t>单元分类</w:t>
            </w:r>
          </w:p>
        </w:tc>
        <w:tc>
          <w:tcPr>
            <w:tcW w:w="1130"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944" w:type="dxa"/>
            <w:vMerge w:val="restart"/>
            <w:vAlign w:val="center"/>
          </w:tcPr>
          <w:p>
            <w:pPr>
              <w:jc w:val="center"/>
              <w:rPr>
                <w:b/>
                <w:color w:val="000000"/>
                <w:kern w:val="0"/>
                <w:szCs w:val="21"/>
              </w:rPr>
            </w:pPr>
            <w:r>
              <w:rPr>
                <w:b/>
                <w:color w:val="000000"/>
                <w:kern w:val="0"/>
                <w:szCs w:val="21"/>
              </w:rPr>
              <w:t>涉及乡镇(街道)</w:t>
            </w:r>
          </w:p>
        </w:tc>
        <w:tc>
          <w:tcPr>
            <w:tcW w:w="1092" w:type="dxa"/>
            <w:vMerge w:val="restart"/>
            <w:vAlign w:val="center"/>
          </w:tcPr>
          <w:p>
            <w:pPr>
              <w:jc w:val="center"/>
              <w:rPr>
                <w:b/>
                <w:color w:val="000000"/>
                <w:kern w:val="0"/>
                <w:szCs w:val="21"/>
              </w:rPr>
            </w:pPr>
            <w:r>
              <w:rPr>
                <w:b/>
                <w:color w:val="000000"/>
                <w:kern w:val="0"/>
                <w:szCs w:val="21"/>
              </w:rPr>
              <w:t>主体功能定位</w:t>
            </w:r>
          </w:p>
        </w:tc>
        <w:tc>
          <w:tcPr>
            <w:tcW w:w="2750" w:type="dxa"/>
            <w:gridSpan w:val="2"/>
            <w:vMerge w:val="restart"/>
            <w:vAlign w:val="center"/>
          </w:tcPr>
          <w:p>
            <w:pPr>
              <w:jc w:val="center"/>
              <w:rPr>
                <w:b/>
                <w:color w:val="000000"/>
                <w:kern w:val="0"/>
                <w:szCs w:val="21"/>
              </w:rPr>
            </w:pPr>
            <w:r>
              <w:rPr>
                <w:b/>
                <w:color w:val="000000"/>
                <w:kern w:val="0"/>
                <w:szCs w:val="21"/>
              </w:rPr>
              <w:t>经济产业布局</w:t>
            </w:r>
          </w:p>
        </w:tc>
        <w:tc>
          <w:tcPr>
            <w:tcW w:w="2549"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51" w:type="dxa"/>
            <w:vMerge w:val="continue"/>
            <w:vAlign w:val="center"/>
          </w:tcPr>
          <w:p/>
        </w:tc>
        <w:tc>
          <w:tcPr>
            <w:tcW w:w="782" w:type="dxa"/>
            <w:vMerge w:val="continue"/>
            <w:vAlign w:val="center"/>
          </w:tcPr>
          <w:p/>
        </w:tc>
        <w:tc>
          <w:tcPr>
            <w:tcW w:w="511" w:type="dxa"/>
            <w:vAlign w:val="center"/>
          </w:tcPr>
          <w:p>
            <w:pPr>
              <w:jc w:val="center"/>
              <w:rPr>
                <w:b/>
                <w:color w:val="000000"/>
                <w:szCs w:val="21"/>
              </w:rPr>
            </w:pPr>
            <w:r>
              <w:rPr>
                <w:b/>
                <w:color w:val="000000"/>
                <w:szCs w:val="21"/>
              </w:rPr>
              <w:t>省</w:t>
            </w:r>
          </w:p>
        </w:tc>
        <w:tc>
          <w:tcPr>
            <w:tcW w:w="510" w:type="dxa"/>
            <w:vAlign w:val="center"/>
          </w:tcPr>
          <w:p>
            <w:pPr>
              <w:jc w:val="center"/>
              <w:rPr>
                <w:b/>
                <w:color w:val="000000"/>
                <w:szCs w:val="21"/>
              </w:rPr>
            </w:pPr>
            <w:r>
              <w:rPr>
                <w:b/>
                <w:color w:val="000000"/>
                <w:szCs w:val="21"/>
              </w:rPr>
              <w:t>市</w:t>
            </w:r>
          </w:p>
        </w:tc>
        <w:tc>
          <w:tcPr>
            <w:tcW w:w="511" w:type="dxa"/>
            <w:vAlign w:val="center"/>
          </w:tcPr>
          <w:p>
            <w:pPr>
              <w:jc w:val="center"/>
              <w:rPr>
                <w:b/>
                <w:color w:val="000000"/>
                <w:szCs w:val="21"/>
              </w:rPr>
            </w:pPr>
            <w:r>
              <w:rPr>
                <w:b/>
                <w:color w:val="000000"/>
                <w:szCs w:val="21"/>
              </w:rPr>
              <w:t>县</w:t>
            </w:r>
          </w:p>
        </w:tc>
        <w:tc>
          <w:tcPr>
            <w:tcW w:w="744" w:type="dxa"/>
            <w:vMerge w:val="continue"/>
            <w:vAlign w:val="center"/>
          </w:tcPr>
          <w:p/>
        </w:tc>
        <w:tc>
          <w:tcPr>
            <w:tcW w:w="1130" w:type="dxa"/>
            <w:vMerge w:val="continue"/>
            <w:vAlign w:val="center"/>
          </w:tcPr>
          <w:p/>
        </w:tc>
        <w:tc>
          <w:tcPr>
            <w:tcW w:w="1944" w:type="dxa"/>
            <w:vMerge w:val="continue"/>
            <w:vAlign w:val="center"/>
          </w:tcPr>
          <w:p/>
        </w:tc>
        <w:tc>
          <w:tcPr>
            <w:tcW w:w="1092" w:type="dxa"/>
            <w:vMerge w:val="continue"/>
            <w:vAlign w:val="center"/>
          </w:tcPr>
          <w:p/>
        </w:tc>
        <w:tc>
          <w:tcPr>
            <w:tcW w:w="2750" w:type="dxa"/>
            <w:gridSpan w:val="2"/>
            <w:vMerge w:val="continue"/>
            <w:vAlign w:val="center"/>
          </w:tcPr>
          <w:p/>
        </w:tc>
        <w:tc>
          <w:tcPr>
            <w:tcW w:w="25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jc w:val="center"/>
              <w:rPr>
                <w:color w:val="000000"/>
                <w:szCs w:val="21"/>
              </w:rPr>
            </w:pPr>
            <w:r>
              <w:rPr>
                <w:color w:val="000000"/>
                <w:szCs w:val="21"/>
              </w:rPr>
              <w:t>ZH43052710004</w:t>
            </w:r>
          </w:p>
        </w:tc>
        <w:tc>
          <w:tcPr>
            <w:tcW w:w="782" w:type="dxa"/>
            <w:vAlign w:val="center"/>
          </w:tcPr>
          <w:p>
            <w:pPr>
              <w:jc w:val="center"/>
              <w:rPr>
                <w:color w:val="000000"/>
                <w:szCs w:val="21"/>
              </w:rPr>
            </w:pPr>
            <w:r>
              <w:rPr>
                <w:color w:val="000000"/>
                <w:szCs w:val="21"/>
              </w:rPr>
              <w:t>麻塘苗族瑶族乡/水口乡</w:t>
            </w:r>
          </w:p>
        </w:tc>
        <w:tc>
          <w:tcPr>
            <w:tcW w:w="511" w:type="dxa"/>
            <w:vAlign w:val="center"/>
          </w:tcPr>
          <w:p>
            <w:pPr>
              <w:jc w:val="center"/>
              <w:rPr>
                <w:color w:val="000000"/>
                <w:szCs w:val="21"/>
              </w:rPr>
            </w:pPr>
            <w:r>
              <w:rPr>
                <w:color w:val="000000"/>
                <w:szCs w:val="21"/>
              </w:rPr>
              <w:t>湖南省</w:t>
            </w:r>
          </w:p>
        </w:tc>
        <w:tc>
          <w:tcPr>
            <w:tcW w:w="510" w:type="dxa"/>
            <w:vAlign w:val="center"/>
          </w:tcPr>
          <w:p>
            <w:pPr>
              <w:jc w:val="center"/>
              <w:rPr>
                <w:color w:val="000000"/>
                <w:szCs w:val="21"/>
              </w:rPr>
            </w:pPr>
            <w:r>
              <w:rPr>
                <w:color w:val="000000"/>
                <w:szCs w:val="21"/>
              </w:rPr>
              <w:t>邵阳市</w:t>
            </w:r>
          </w:p>
        </w:tc>
        <w:tc>
          <w:tcPr>
            <w:tcW w:w="511" w:type="dxa"/>
            <w:vAlign w:val="center"/>
          </w:tcPr>
          <w:p>
            <w:pPr>
              <w:jc w:val="center"/>
              <w:rPr>
                <w:color w:val="000000"/>
                <w:szCs w:val="21"/>
              </w:rPr>
            </w:pPr>
            <w:r>
              <w:rPr>
                <w:color w:val="000000"/>
                <w:szCs w:val="21"/>
              </w:rPr>
              <w:t>绥宁县</w:t>
            </w:r>
          </w:p>
        </w:tc>
        <w:tc>
          <w:tcPr>
            <w:tcW w:w="744" w:type="dxa"/>
            <w:vAlign w:val="center"/>
          </w:tcPr>
          <w:p>
            <w:pPr>
              <w:jc w:val="center"/>
              <w:rPr>
                <w:color w:val="000000"/>
                <w:szCs w:val="21"/>
              </w:rPr>
            </w:pPr>
            <w:r>
              <w:rPr>
                <w:color w:val="000000"/>
                <w:szCs w:val="21"/>
              </w:rPr>
              <w:t>优先保护单元</w:t>
            </w:r>
          </w:p>
        </w:tc>
        <w:tc>
          <w:tcPr>
            <w:tcW w:w="1130" w:type="dxa"/>
            <w:vAlign w:val="center"/>
          </w:tcPr>
          <w:p>
            <w:pPr>
              <w:jc w:val="center"/>
              <w:rPr>
                <w:color w:val="000000"/>
                <w:szCs w:val="21"/>
              </w:rPr>
            </w:pPr>
            <w:r>
              <w:rPr>
                <w:color w:val="000000"/>
                <w:szCs w:val="21"/>
              </w:rPr>
              <w:t>339.44</w:t>
            </w:r>
          </w:p>
        </w:tc>
        <w:tc>
          <w:tcPr>
            <w:tcW w:w="1944" w:type="dxa"/>
            <w:vAlign w:val="center"/>
          </w:tcPr>
          <w:p>
            <w:pPr>
              <w:jc w:val="center"/>
              <w:rPr>
                <w:color w:val="000000"/>
                <w:szCs w:val="21"/>
              </w:rPr>
            </w:pPr>
            <w:r>
              <w:rPr>
                <w:color w:val="000000"/>
                <w:szCs w:val="21"/>
              </w:rPr>
              <w:t>麻塘苗族瑶族乡/水口乡</w:t>
            </w:r>
          </w:p>
        </w:tc>
        <w:tc>
          <w:tcPr>
            <w:tcW w:w="1092" w:type="dxa"/>
            <w:vAlign w:val="center"/>
          </w:tcPr>
          <w:p>
            <w:pPr>
              <w:jc w:val="center"/>
              <w:rPr>
                <w:b/>
                <w:bCs/>
                <w:color w:val="000000"/>
                <w:szCs w:val="21"/>
              </w:rPr>
            </w:pPr>
            <w:r>
              <w:rPr>
                <w:b/>
                <w:bCs/>
                <w:color w:val="000000"/>
                <w:szCs w:val="21"/>
              </w:rPr>
              <w:t>麻塘苗族瑶族乡、水口乡：</w:t>
            </w:r>
            <w:r>
              <w:rPr>
                <w:color w:val="000000"/>
                <w:szCs w:val="21"/>
              </w:rPr>
              <w:t>重点生态功能区</w:t>
            </w:r>
          </w:p>
        </w:tc>
        <w:tc>
          <w:tcPr>
            <w:tcW w:w="2750" w:type="dxa"/>
            <w:gridSpan w:val="2"/>
            <w:vAlign w:val="center"/>
          </w:tcPr>
          <w:p>
            <w:pPr>
              <w:widowControl/>
              <w:rPr>
                <w:b/>
                <w:bCs/>
                <w:color w:val="000000"/>
                <w:szCs w:val="21"/>
              </w:rPr>
            </w:pPr>
            <w:r>
              <w:rPr>
                <w:b/>
                <w:bCs/>
                <w:color w:val="000000"/>
                <w:szCs w:val="21"/>
              </w:rPr>
              <w:t>麻塘苗族瑶族乡、水口乡：</w:t>
            </w:r>
            <w:r>
              <w:rPr>
                <w:color w:val="000000"/>
                <w:szCs w:val="21"/>
              </w:rPr>
              <w:t>农业种植、畜禽养殖、农副产品加工、休闲旅游</w:t>
            </w:r>
          </w:p>
        </w:tc>
        <w:tc>
          <w:tcPr>
            <w:tcW w:w="2549" w:type="dxa"/>
            <w:vAlign w:val="center"/>
          </w:tcPr>
          <w:p>
            <w:pPr>
              <w:widowControl/>
              <w:rPr>
                <w:b/>
                <w:color w:val="000000"/>
                <w:kern w:val="0"/>
                <w:szCs w:val="21"/>
              </w:rPr>
            </w:pPr>
            <w:r>
              <w:rPr>
                <w:b/>
                <w:color w:val="000000"/>
                <w:kern w:val="0"/>
                <w:szCs w:val="21"/>
              </w:rPr>
              <w:t>主要环境问题：</w:t>
            </w:r>
            <w:r>
              <w:rPr>
                <w:bCs/>
                <w:color w:val="000000"/>
                <w:kern w:val="0"/>
                <w:szCs w:val="21"/>
              </w:rPr>
              <w:t>无。</w:t>
            </w:r>
          </w:p>
          <w:p>
            <w:pPr>
              <w:widowControl/>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kern w:val="0"/>
                <w:szCs w:val="21"/>
              </w:rPr>
            </w:pPr>
            <w:r>
              <w:rPr>
                <w:b/>
                <w:color w:val="000000"/>
                <w:kern w:val="0"/>
                <w:szCs w:val="21"/>
              </w:rPr>
              <w:t>主要属性</w:t>
            </w:r>
          </w:p>
        </w:tc>
        <w:tc>
          <w:tcPr>
            <w:tcW w:w="12523" w:type="dxa"/>
            <w:gridSpan w:val="11"/>
            <w:vAlign w:val="center"/>
          </w:tcPr>
          <w:p>
            <w:pPr>
              <w:rPr>
                <w:b/>
                <w:bCs/>
                <w:color w:val="000000"/>
                <w:szCs w:val="21"/>
              </w:rPr>
            </w:pPr>
            <w:r>
              <w:rPr>
                <w:b/>
                <w:bCs/>
                <w:color w:val="000000"/>
                <w:szCs w:val="21"/>
              </w:rPr>
              <w:t>麻塘苗族瑶族乡：</w:t>
            </w:r>
          </w:p>
          <w:p>
            <w:pPr>
              <w:ind w:firstLine="422" w:firstLineChars="200"/>
              <w:rPr>
                <w:b/>
                <w:bCs/>
                <w:color w:val="000000"/>
                <w:szCs w:val="21"/>
              </w:rPr>
            </w:pPr>
            <w:r>
              <w:rPr>
                <w:b/>
                <w:bCs/>
                <w:color w:val="000000"/>
                <w:szCs w:val="21"/>
              </w:rPr>
              <w:t>生态红线：</w:t>
            </w:r>
            <w:r>
              <w:rPr>
                <w:color w:val="000000"/>
                <w:szCs w:val="21"/>
              </w:rPr>
              <w:t>红线/一般生态空间；三区三线生态红线\森林公园\水源涵养重要区\生物多样性保护功能重要区\水土保持功能重要区\原生态红线\水土流失敏感区；</w:t>
            </w:r>
          </w:p>
          <w:p>
            <w:pPr>
              <w:ind w:firstLine="422" w:firstLineChars="200"/>
              <w:rPr>
                <w:b/>
                <w:bCs/>
                <w:color w:val="000000"/>
                <w:szCs w:val="21"/>
              </w:rPr>
            </w:pPr>
            <w:r>
              <w:rPr>
                <w:b/>
                <w:bCs/>
                <w:color w:val="000000"/>
                <w:szCs w:val="21"/>
              </w:rPr>
              <w:t>环境质量底线：</w:t>
            </w:r>
            <w:r>
              <w:rPr>
                <w:color w:val="000000"/>
                <w:szCs w:val="21"/>
              </w:rPr>
              <w:t>水环境一般管控区；大气环境优先保护区/大气环境受体敏感重点管控区；湖南洞口罗溪国家森林公园/湖南绥宁堡子岭省级森林公园；农用地优先保护区/一般管控区；重点生态功能区；</w:t>
            </w:r>
          </w:p>
          <w:p>
            <w:pPr>
              <w:rPr>
                <w:b/>
                <w:bCs/>
                <w:color w:val="000000"/>
                <w:szCs w:val="21"/>
              </w:rPr>
            </w:pPr>
            <w:r>
              <w:rPr>
                <w:b/>
                <w:bCs/>
                <w:color w:val="000000"/>
                <w:szCs w:val="21"/>
              </w:rPr>
              <w:t>水口乡：</w:t>
            </w:r>
          </w:p>
          <w:p>
            <w:pPr>
              <w:ind w:firstLine="422" w:firstLineChars="200"/>
              <w:rPr>
                <w:b/>
                <w:bCs/>
                <w:color w:val="000000"/>
                <w:szCs w:val="21"/>
              </w:rPr>
            </w:pPr>
            <w:r>
              <w:rPr>
                <w:b/>
                <w:bCs/>
                <w:color w:val="000000"/>
                <w:szCs w:val="21"/>
              </w:rPr>
              <w:t>生态红线：</w:t>
            </w:r>
            <w:r>
              <w:rPr>
                <w:color w:val="000000"/>
                <w:szCs w:val="21"/>
              </w:rPr>
              <w:t>红线/一般生态空间；三区三线生态红线\水源涵养重要区\森林公园\生物多样性保护功能重要区\原生态红线\水土流失敏感区；</w:t>
            </w:r>
          </w:p>
          <w:p>
            <w:pPr>
              <w:ind w:firstLine="422" w:firstLineChars="200"/>
              <w:rPr>
                <w:b/>
                <w:bCs/>
                <w:color w:val="000000"/>
                <w:szCs w:val="21"/>
              </w:rPr>
            </w:pPr>
            <w:r>
              <w:rPr>
                <w:b/>
                <w:bCs/>
                <w:color w:val="000000"/>
                <w:szCs w:val="21"/>
              </w:rPr>
              <w:t>环境质量底线：</w:t>
            </w:r>
            <w:r>
              <w:rPr>
                <w:color w:val="000000"/>
                <w:szCs w:val="21"/>
              </w:rPr>
              <w:t>水环境一般管控区；大气环境优先保护区；湖南洞口罗溪国家森林公园/湖南绥宁堡子岭省级森林公园；农用地优先保护区/一般管控区；重点生态功能区；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szCs w:val="21"/>
              </w:rPr>
            </w:pPr>
            <w:r>
              <w:rPr>
                <w:b/>
                <w:color w:val="000000"/>
                <w:szCs w:val="21"/>
              </w:rPr>
              <w:t>管控维度</w:t>
            </w:r>
          </w:p>
        </w:tc>
        <w:tc>
          <w:tcPr>
            <w:tcW w:w="8137" w:type="dxa"/>
            <w:gridSpan w:val="9"/>
            <w:vAlign w:val="center"/>
          </w:tcPr>
          <w:p>
            <w:pPr>
              <w:jc w:val="center"/>
              <w:rPr>
                <w:b/>
                <w:color w:val="000000"/>
                <w:szCs w:val="21"/>
              </w:rPr>
            </w:pPr>
            <w:r>
              <w:rPr>
                <w:b/>
                <w:color w:val="000000"/>
                <w:kern w:val="0"/>
                <w:szCs w:val="21"/>
              </w:rPr>
              <w:t>管控要求</w:t>
            </w:r>
          </w:p>
        </w:tc>
        <w:tc>
          <w:tcPr>
            <w:tcW w:w="4386"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空间布局约束</w:t>
            </w:r>
          </w:p>
        </w:tc>
        <w:tc>
          <w:tcPr>
            <w:tcW w:w="8137" w:type="dxa"/>
            <w:gridSpan w:val="9"/>
            <w:vAlign w:val="center"/>
          </w:tcPr>
          <w:p>
            <w:pPr>
              <w:ind w:firstLine="420" w:firstLineChars="200"/>
            </w:pPr>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ind w:firstLine="420" w:firstLineChars="200"/>
            </w:pPr>
            <w:r>
              <w:t>（1.2）严格控制耕地转为林地、草地、园地等其他农用地。</w:t>
            </w:r>
          </w:p>
          <w:p>
            <w:pPr>
              <w:tabs>
                <w:tab w:val="left" w:pos="1021"/>
              </w:tabs>
              <w:ind w:firstLine="420" w:firstLineChars="200"/>
            </w:pPr>
            <w:r>
              <w:t>（1.3）扩大高污染燃料禁燃区范围，巩固燃煤锅炉淘汰成果，严禁审批35蒸吨/小时及以下燃煤锅炉。</w:t>
            </w:r>
          </w:p>
        </w:tc>
        <w:tc>
          <w:tcPr>
            <w:tcW w:w="4386" w:type="dxa"/>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污染物排放管控</w:t>
            </w:r>
          </w:p>
        </w:tc>
        <w:tc>
          <w:tcPr>
            <w:tcW w:w="8137" w:type="dxa"/>
            <w:gridSpan w:val="9"/>
            <w:vAlign w:val="center"/>
          </w:tcPr>
          <w:p>
            <w:pPr>
              <w:tabs>
                <w:tab w:val="left" w:pos="1021"/>
              </w:tabs>
              <w:ind w:firstLine="420" w:firstLineChars="200"/>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ind w:firstLine="420" w:firstLineChars="200"/>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ind w:firstLine="420" w:firstLineChars="200"/>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4386"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环境风险防控</w:t>
            </w:r>
          </w:p>
        </w:tc>
        <w:tc>
          <w:tcPr>
            <w:tcW w:w="8137" w:type="dxa"/>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4386"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资源开发效率要求</w:t>
            </w:r>
          </w:p>
        </w:tc>
        <w:tc>
          <w:tcPr>
            <w:tcW w:w="8137" w:type="dxa"/>
            <w:gridSpan w:val="9"/>
          </w:tcPr>
          <w:p>
            <w:pPr>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color w:val="000000"/>
                <w:szCs w:val="21"/>
              </w:rPr>
            </w:pPr>
            <w:r>
              <w:rPr>
                <w:color w:val="000000"/>
                <w:szCs w:val="21"/>
              </w:rPr>
              <w:t>（4.3.2）适度开发耕地后备资源，推进农用地和建设用地复垦。</w:t>
            </w:r>
          </w:p>
          <w:p>
            <w:pPr>
              <w:pStyle w:val="3"/>
              <w:rPr>
                <w:color w:val="000000"/>
                <w:szCs w:val="21"/>
              </w:rPr>
            </w:pPr>
          </w:p>
        </w:tc>
        <w:tc>
          <w:tcPr>
            <w:tcW w:w="4386"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896"/>
        <w:gridCol w:w="419"/>
        <w:gridCol w:w="431"/>
        <w:gridCol w:w="423"/>
        <w:gridCol w:w="824"/>
        <w:gridCol w:w="1104"/>
        <w:gridCol w:w="1308"/>
        <w:gridCol w:w="1776"/>
        <w:gridCol w:w="1764"/>
        <w:gridCol w:w="456"/>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Merge w:val="restart"/>
            <w:vAlign w:val="center"/>
          </w:tcPr>
          <w:p>
            <w:pPr>
              <w:widowControl/>
              <w:jc w:val="center"/>
              <w:rPr>
                <w:b/>
                <w:color w:val="000000"/>
                <w:kern w:val="0"/>
                <w:szCs w:val="21"/>
              </w:rPr>
            </w:pPr>
            <w:r>
              <w:rPr>
                <w:b/>
                <w:color w:val="000000"/>
                <w:kern w:val="0"/>
                <w:szCs w:val="21"/>
              </w:rPr>
              <w:t>环境管控单元编码</w:t>
            </w:r>
          </w:p>
        </w:tc>
        <w:tc>
          <w:tcPr>
            <w:tcW w:w="896" w:type="dxa"/>
            <w:vMerge w:val="restart"/>
            <w:vAlign w:val="center"/>
          </w:tcPr>
          <w:p>
            <w:pPr>
              <w:widowControl/>
              <w:jc w:val="center"/>
              <w:rPr>
                <w:b/>
                <w:color w:val="000000"/>
                <w:kern w:val="0"/>
                <w:szCs w:val="21"/>
              </w:rPr>
            </w:pPr>
            <w:r>
              <w:rPr>
                <w:b/>
                <w:color w:val="000000"/>
                <w:kern w:val="0"/>
                <w:szCs w:val="21"/>
              </w:rPr>
              <w:t>单元名称</w:t>
            </w:r>
          </w:p>
        </w:tc>
        <w:tc>
          <w:tcPr>
            <w:tcW w:w="1273" w:type="dxa"/>
            <w:gridSpan w:val="3"/>
            <w:vAlign w:val="center"/>
          </w:tcPr>
          <w:p>
            <w:pPr>
              <w:widowControl/>
              <w:jc w:val="center"/>
              <w:rPr>
                <w:b/>
                <w:color w:val="000000"/>
                <w:kern w:val="0"/>
                <w:szCs w:val="21"/>
              </w:rPr>
            </w:pPr>
            <w:r>
              <w:rPr>
                <w:b/>
                <w:color w:val="000000"/>
                <w:kern w:val="0"/>
                <w:szCs w:val="21"/>
              </w:rPr>
              <w:t>行政区划</w:t>
            </w:r>
          </w:p>
        </w:tc>
        <w:tc>
          <w:tcPr>
            <w:tcW w:w="824" w:type="dxa"/>
            <w:vMerge w:val="restart"/>
            <w:vAlign w:val="center"/>
          </w:tcPr>
          <w:p>
            <w:pPr>
              <w:widowControl/>
              <w:jc w:val="center"/>
              <w:rPr>
                <w:b/>
                <w:color w:val="000000"/>
                <w:kern w:val="0"/>
                <w:szCs w:val="21"/>
              </w:rPr>
            </w:pPr>
            <w:r>
              <w:rPr>
                <w:b/>
                <w:color w:val="000000"/>
                <w:kern w:val="0"/>
                <w:szCs w:val="21"/>
              </w:rPr>
              <w:t>单元分类</w:t>
            </w:r>
          </w:p>
        </w:tc>
        <w:tc>
          <w:tcPr>
            <w:tcW w:w="1104"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308" w:type="dxa"/>
            <w:vMerge w:val="restart"/>
            <w:vAlign w:val="center"/>
          </w:tcPr>
          <w:p>
            <w:pPr>
              <w:jc w:val="center"/>
              <w:rPr>
                <w:b/>
                <w:color w:val="000000"/>
                <w:kern w:val="0"/>
                <w:szCs w:val="21"/>
              </w:rPr>
            </w:pPr>
            <w:r>
              <w:rPr>
                <w:b/>
                <w:color w:val="000000"/>
                <w:kern w:val="0"/>
                <w:szCs w:val="21"/>
              </w:rPr>
              <w:t>涉及乡镇(街道)</w:t>
            </w:r>
          </w:p>
        </w:tc>
        <w:tc>
          <w:tcPr>
            <w:tcW w:w="1776" w:type="dxa"/>
            <w:vMerge w:val="restart"/>
            <w:vAlign w:val="center"/>
          </w:tcPr>
          <w:p>
            <w:pPr>
              <w:jc w:val="center"/>
              <w:rPr>
                <w:b/>
                <w:color w:val="000000"/>
                <w:kern w:val="0"/>
                <w:szCs w:val="21"/>
              </w:rPr>
            </w:pPr>
            <w:r>
              <w:rPr>
                <w:b/>
                <w:color w:val="000000"/>
                <w:kern w:val="0"/>
                <w:szCs w:val="21"/>
              </w:rPr>
              <w:t>主体功能定位</w:t>
            </w:r>
          </w:p>
        </w:tc>
        <w:tc>
          <w:tcPr>
            <w:tcW w:w="2220" w:type="dxa"/>
            <w:gridSpan w:val="2"/>
            <w:vMerge w:val="restart"/>
            <w:vAlign w:val="center"/>
          </w:tcPr>
          <w:p>
            <w:pPr>
              <w:jc w:val="center"/>
              <w:rPr>
                <w:b/>
                <w:color w:val="000000"/>
                <w:kern w:val="0"/>
                <w:szCs w:val="21"/>
              </w:rPr>
            </w:pPr>
            <w:r>
              <w:rPr>
                <w:b/>
                <w:color w:val="000000"/>
                <w:kern w:val="0"/>
                <w:szCs w:val="21"/>
              </w:rPr>
              <w:t>经济产业布局</w:t>
            </w:r>
          </w:p>
        </w:tc>
        <w:tc>
          <w:tcPr>
            <w:tcW w:w="2896"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51" w:type="dxa"/>
            <w:vMerge w:val="continue"/>
            <w:vAlign w:val="center"/>
          </w:tcPr>
          <w:p/>
        </w:tc>
        <w:tc>
          <w:tcPr>
            <w:tcW w:w="896" w:type="dxa"/>
            <w:vMerge w:val="continue"/>
            <w:vAlign w:val="center"/>
          </w:tcPr>
          <w:p/>
        </w:tc>
        <w:tc>
          <w:tcPr>
            <w:tcW w:w="419" w:type="dxa"/>
            <w:vAlign w:val="center"/>
          </w:tcPr>
          <w:p>
            <w:pPr>
              <w:jc w:val="center"/>
              <w:rPr>
                <w:b/>
                <w:color w:val="000000"/>
                <w:szCs w:val="21"/>
              </w:rPr>
            </w:pPr>
            <w:r>
              <w:rPr>
                <w:b/>
                <w:color w:val="000000"/>
                <w:szCs w:val="21"/>
              </w:rPr>
              <w:t>省</w:t>
            </w:r>
          </w:p>
        </w:tc>
        <w:tc>
          <w:tcPr>
            <w:tcW w:w="431" w:type="dxa"/>
            <w:vAlign w:val="center"/>
          </w:tcPr>
          <w:p>
            <w:pPr>
              <w:jc w:val="center"/>
              <w:rPr>
                <w:b/>
                <w:color w:val="000000"/>
                <w:szCs w:val="21"/>
              </w:rPr>
            </w:pPr>
            <w:r>
              <w:rPr>
                <w:b/>
                <w:color w:val="000000"/>
                <w:szCs w:val="21"/>
              </w:rPr>
              <w:t>市</w:t>
            </w:r>
          </w:p>
        </w:tc>
        <w:tc>
          <w:tcPr>
            <w:tcW w:w="423" w:type="dxa"/>
            <w:vAlign w:val="center"/>
          </w:tcPr>
          <w:p>
            <w:pPr>
              <w:jc w:val="center"/>
              <w:rPr>
                <w:b/>
                <w:color w:val="000000"/>
                <w:szCs w:val="21"/>
              </w:rPr>
            </w:pPr>
            <w:r>
              <w:rPr>
                <w:b/>
                <w:color w:val="000000"/>
                <w:szCs w:val="21"/>
              </w:rPr>
              <w:t>县</w:t>
            </w:r>
          </w:p>
        </w:tc>
        <w:tc>
          <w:tcPr>
            <w:tcW w:w="824" w:type="dxa"/>
            <w:vMerge w:val="continue"/>
            <w:vAlign w:val="center"/>
          </w:tcPr>
          <w:p/>
        </w:tc>
        <w:tc>
          <w:tcPr>
            <w:tcW w:w="1104" w:type="dxa"/>
            <w:vMerge w:val="continue"/>
            <w:vAlign w:val="center"/>
          </w:tcPr>
          <w:p/>
        </w:tc>
        <w:tc>
          <w:tcPr>
            <w:tcW w:w="1308" w:type="dxa"/>
            <w:vMerge w:val="continue"/>
            <w:vAlign w:val="center"/>
          </w:tcPr>
          <w:p/>
        </w:tc>
        <w:tc>
          <w:tcPr>
            <w:tcW w:w="1776" w:type="dxa"/>
            <w:vMerge w:val="continue"/>
            <w:vAlign w:val="center"/>
          </w:tcPr>
          <w:p/>
        </w:tc>
        <w:tc>
          <w:tcPr>
            <w:tcW w:w="2220" w:type="dxa"/>
            <w:gridSpan w:val="2"/>
            <w:vMerge w:val="continue"/>
            <w:vAlign w:val="center"/>
          </w:tcPr>
          <w:p/>
        </w:tc>
        <w:tc>
          <w:tcPr>
            <w:tcW w:w="2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jc w:val="center"/>
              <w:rPr>
                <w:color w:val="000000"/>
                <w:szCs w:val="21"/>
              </w:rPr>
            </w:pPr>
            <w:r>
              <w:rPr>
                <w:color w:val="000000"/>
                <w:szCs w:val="21"/>
              </w:rPr>
              <w:t>ZH43052710002</w:t>
            </w:r>
          </w:p>
        </w:tc>
        <w:tc>
          <w:tcPr>
            <w:tcW w:w="896" w:type="dxa"/>
            <w:vAlign w:val="center"/>
          </w:tcPr>
          <w:p>
            <w:pPr>
              <w:jc w:val="center"/>
              <w:rPr>
                <w:color w:val="000000"/>
                <w:szCs w:val="21"/>
              </w:rPr>
            </w:pPr>
            <w:r>
              <w:rPr>
                <w:color w:val="000000"/>
                <w:szCs w:val="21"/>
              </w:rPr>
              <w:t>寨市苗族侗族乡</w:t>
            </w:r>
          </w:p>
        </w:tc>
        <w:tc>
          <w:tcPr>
            <w:tcW w:w="419" w:type="dxa"/>
            <w:vAlign w:val="center"/>
          </w:tcPr>
          <w:p>
            <w:pPr>
              <w:jc w:val="center"/>
              <w:rPr>
                <w:color w:val="000000"/>
                <w:szCs w:val="21"/>
              </w:rPr>
            </w:pPr>
            <w:r>
              <w:rPr>
                <w:color w:val="000000"/>
                <w:szCs w:val="21"/>
              </w:rPr>
              <w:t>湖南省</w:t>
            </w:r>
          </w:p>
        </w:tc>
        <w:tc>
          <w:tcPr>
            <w:tcW w:w="431" w:type="dxa"/>
            <w:vAlign w:val="center"/>
          </w:tcPr>
          <w:p>
            <w:pPr>
              <w:jc w:val="center"/>
              <w:rPr>
                <w:color w:val="000000"/>
                <w:szCs w:val="21"/>
              </w:rPr>
            </w:pPr>
            <w:r>
              <w:rPr>
                <w:color w:val="000000"/>
                <w:szCs w:val="21"/>
              </w:rPr>
              <w:t>邵阳市</w:t>
            </w:r>
          </w:p>
        </w:tc>
        <w:tc>
          <w:tcPr>
            <w:tcW w:w="423" w:type="dxa"/>
            <w:vAlign w:val="center"/>
          </w:tcPr>
          <w:p>
            <w:pPr>
              <w:jc w:val="center"/>
              <w:rPr>
                <w:color w:val="000000"/>
                <w:szCs w:val="21"/>
              </w:rPr>
            </w:pPr>
            <w:r>
              <w:rPr>
                <w:color w:val="000000"/>
                <w:szCs w:val="21"/>
              </w:rPr>
              <w:t>绥宁县</w:t>
            </w:r>
          </w:p>
        </w:tc>
        <w:tc>
          <w:tcPr>
            <w:tcW w:w="824" w:type="dxa"/>
            <w:vAlign w:val="center"/>
          </w:tcPr>
          <w:p>
            <w:pPr>
              <w:jc w:val="center"/>
              <w:rPr>
                <w:color w:val="000000"/>
                <w:szCs w:val="21"/>
              </w:rPr>
            </w:pPr>
            <w:r>
              <w:rPr>
                <w:color w:val="000000"/>
                <w:szCs w:val="21"/>
              </w:rPr>
              <w:t>优先保护单元</w:t>
            </w:r>
          </w:p>
        </w:tc>
        <w:tc>
          <w:tcPr>
            <w:tcW w:w="1104" w:type="dxa"/>
            <w:vAlign w:val="center"/>
          </w:tcPr>
          <w:p>
            <w:pPr>
              <w:jc w:val="center"/>
              <w:rPr>
                <w:color w:val="000000"/>
                <w:szCs w:val="21"/>
              </w:rPr>
            </w:pPr>
            <w:r>
              <w:rPr>
                <w:color w:val="000000"/>
                <w:szCs w:val="21"/>
              </w:rPr>
              <w:t>415.43</w:t>
            </w:r>
          </w:p>
        </w:tc>
        <w:tc>
          <w:tcPr>
            <w:tcW w:w="1308" w:type="dxa"/>
            <w:vAlign w:val="center"/>
          </w:tcPr>
          <w:p>
            <w:pPr>
              <w:jc w:val="center"/>
              <w:rPr>
                <w:color w:val="000000"/>
                <w:szCs w:val="21"/>
              </w:rPr>
            </w:pPr>
            <w:r>
              <w:rPr>
                <w:color w:val="000000"/>
                <w:szCs w:val="21"/>
              </w:rPr>
              <w:t>寨市苗族侗族乡</w:t>
            </w:r>
          </w:p>
        </w:tc>
        <w:tc>
          <w:tcPr>
            <w:tcW w:w="1776" w:type="dxa"/>
            <w:vAlign w:val="center"/>
          </w:tcPr>
          <w:p>
            <w:pPr>
              <w:jc w:val="center"/>
              <w:rPr>
                <w:strike/>
                <w:color w:val="000000"/>
                <w:szCs w:val="21"/>
              </w:rPr>
            </w:pPr>
            <w:r>
              <w:rPr>
                <w:color w:val="000000"/>
                <w:szCs w:val="21"/>
              </w:rPr>
              <w:t>重点生态功能区/历史文化资源富集区</w:t>
            </w:r>
          </w:p>
        </w:tc>
        <w:tc>
          <w:tcPr>
            <w:tcW w:w="2220" w:type="dxa"/>
            <w:gridSpan w:val="2"/>
            <w:vAlign w:val="center"/>
          </w:tcPr>
          <w:p>
            <w:pPr>
              <w:widowControl/>
              <w:rPr>
                <w:strike/>
                <w:color w:val="000000"/>
                <w:kern w:val="0"/>
                <w:szCs w:val="21"/>
              </w:rPr>
            </w:pPr>
            <w:r>
              <w:rPr>
                <w:color w:val="000000"/>
                <w:kern w:val="0"/>
                <w:szCs w:val="21"/>
              </w:rPr>
              <w:t>农业种植、畜禽养殖、农副产品加工、休闲旅游、社会服务。</w:t>
            </w:r>
          </w:p>
        </w:tc>
        <w:tc>
          <w:tcPr>
            <w:tcW w:w="2896" w:type="dxa"/>
            <w:vAlign w:val="center"/>
          </w:tcPr>
          <w:p>
            <w:pPr>
              <w:widowControl/>
              <w:rPr>
                <w:b/>
                <w:color w:val="000000"/>
                <w:kern w:val="0"/>
                <w:szCs w:val="21"/>
              </w:rPr>
            </w:pPr>
            <w:r>
              <w:rPr>
                <w:b/>
                <w:color w:val="000000"/>
                <w:kern w:val="0"/>
                <w:szCs w:val="21"/>
              </w:rPr>
              <w:t>主要环境问题：</w:t>
            </w:r>
            <w:r>
              <w:rPr>
                <w:bCs/>
                <w:color w:val="000000"/>
                <w:kern w:val="0"/>
                <w:szCs w:val="21"/>
              </w:rPr>
              <w:t>无。</w:t>
            </w:r>
          </w:p>
          <w:p>
            <w:pPr>
              <w:widowControl/>
              <w:rPr>
                <w:color w:val="000000"/>
                <w:kern w:val="0"/>
                <w:szCs w:val="21"/>
              </w:rPr>
            </w:pPr>
            <w:r>
              <w:rPr>
                <w:b/>
                <w:color w:val="000000"/>
                <w:kern w:val="0"/>
                <w:szCs w:val="21"/>
              </w:rPr>
              <w:t>重要敏感目标：</w:t>
            </w:r>
            <w:r>
              <w:rPr>
                <w:color w:val="000000"/>
                <w:szCs w:val="21"/>
              </w:rPr>
              <w:t>湖南黄桑国家级自然保护区</w:t>
            </w:r>
            <w:r>
              <w:rPr>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kern w:val="0"/>
                <w:szCs w:val="21"/>
              </w:rPr>
            </w:pPr>
            <w:r>
              <w:rPr>
                <w:b/>
                <w:color w:val="000000"/>
                <w:kern w:val="0"/>
                <w:szCs w:val="21"/>
              </w:rPr>
              <w:t>主要属性</w:t>
            </w:r>
          </w:p>
        </w:tc>
        <w:tc>
          <w:tcPr>
            <w:tcW w:w="12297" w:type="dxa"/>
            <w:gridSpan w:val="11"/>
            <w:vAlign w:val="center"/>
          </w:tcPr>
          <w:p>
            <w:pPr>
              <w:ind w:firstLine="422" w:firstLineChars="200"/>
              <w:rPr>
                <w:b/>
                <w:bCs/>
                <w:color w:val="000000"/>
                <w:szCs w:val="21"/>
              </w:rPr>
            </w:pPr>
            <w:r>
              <w:rPr>
                <w:b/>
                <w:bCs/>
                <w:color w:val="000000"/>
                <w:szCs w:val="21"/>
              </w:rPr>
              <w:t>生态红线：</w:t>
            </w:r>
            <w:r>
              <w:rPr>
                <w:color w:val="000000"/>
                <w:szCs w:val="21"/>
              </w:rPr>
              <w:t>红线/一般生态空间；自然保护区\水源涵养重要区\三区三线生态红线\原生态红线\生物多样性保护功能重要区\水土流失敏感区；</w:t>
            </w:r>
          </w:p>
          <w:p>
            <w:pPr>
              <w:ind w:firstLine="422" w:firstLineChars="200"/>
              <w:rPr>
                <w:b/>
                <w:bCs/>
                <w:color w:val="000000"/>
                <w:szCs w:val="21"/>
              </w:rPr>
            </w:pPr>
            <w:r>
              <w:rPr>
                <w:b/>
                <w:bCs/>
                <w:color w:val="000000"/>
                <w:szCs w:val="21"/>
              </w:rPr>
              <w:t>环境质量底线：</w:t>
            </w:r>
            <w:r>
              <w:rPr>
                <w:color w:val="000000"/>
                <w:szCs w:val="21"/>
              </w:rPr>
              <w:t>水环境一般管控区；大气环境优先保护区/大气环境受体敏感重点管控区；湖南黄桑国家级自然保护区；农用地优先保护区/建设用地重点管控区/其他重点管控区/一般管控区；矿区/中高风险企业用地；重点生态功能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szCs w:val="21"/>
              </w:rPr>
            </w:pPr>
            <w:r>
              <w:rPr>
                <w:b/>
                <w:color w:val="000000"/>
                <w:szCs w:val="21"/>
              </w:rPr>
              <w:t>管控维度</w:t>
            </w:r>
          </w:p>
        </w:tc>
        <w:tc>
          <w:tcPr>
            <w:tcW w:w="8945" w:type="dxa"/>
            <w:gridSpan w:val="9"/>
            <w:vAlign w:val="center"/>
          </w:tcPr>
          <w:p>
            <w:pPr>
              <w:jc w:val="center"/>
              <w:rPr>
                <w:b/>
                <w:color w:val="000000"/>
                <w:szCs w:val="21"/>
              </w:rPr>
            </w:pPr>
            <w:r>
              <w:rPr>
                <w:b/>
                <w:color w:val="000000"/>
                <w:kern w:val="0"/>
                <w:szCs w:val="21"/>
              </w:rPr>
              <w:t>管控要求</w:t>
            </w:r>
          </w:p>
        </w:tc>
        <w:tc>
          <w:tcPr>
            <w:tcW w:w="3352"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空间布局约束</w:t>
            </w:r>
          </w:p>
        </w:tc>
        <w:tc>
          <w:tcPr>
            <w:tcW w:w="8945" w:type="dxa"/>
            <w:gridSpan w:val="9"/>
            <w:vAlign w:val="center"/>
          </w:tcPr>
          <w:p>
            <w:pPr>
              <w:ind w:firstLine="420" w:firstLineChars="200"/>
            </w:pPr>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ind w:firstLine="420" w:firstLineChars="200"/>
            </w:pPr>
            <w:r>
              <w:t>（1.2）严格控制耕地转为林地、草地、园地等其他农用地。</w:t>
            </w:r>
          </w:p>
          <w:p>
            <w:pPr>
              <w:tabs>
                <w:tab w:val="left" w:pos="1021"/>
              </w:tabs>
              <w:ind w:firstLine="420" w:firstLineChars="200"/>
            </w:pPr>
            <w:r>
              <w:t>（1.3）扩大高污染燃料禁燃区范围，巩固燃煤锅炉淘汰成果，严禁审批35蒸吨/小时及以下燃煤锅炉。</w:t>
            </w:r>
          </w:p>
        </w:tc>
        <w:tc>
          <w:tcPr>
            <w:tcW w:w="3352" w:type="dxa"/>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51" w:type="dxa"/>
            <w:vAlign w:val="center"/>
          </w:tcPr>
          <w:p>
            <w:pPr>
              <w:widowControl/>
              <w:jc w:val="center"/>
              <w:rPr>
                <w:color w:val="000000"/>
                <w:szCs w:val="21"/>
              </w:rPr>
            </w:pPr>
            <w:r>
              <w:rPr>
                <w:color w:val="000000"/>
                <w:szCs w:val="21"/>
              </w:rPr>
              <w:t>污染物排放管控</w:t>
            </w:r>
          </w:p>
        </w:tc>
        <w:tc>
          <w:tcPr>
            <w:tcW w:w="8945" w:type="dxa"/>
            <w:gridSpan w:val="9"/>
            <w:vAlign w:val="center"/>
          </w:tcPr>
          <w:p>
            <w:pPr>
              <w:tabs>
                <w:tab w:val="left" w:pos="1021"/>
              </w:tabs>
              <w:ind w:firstLine="420" w:firstLineChars="200"/>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ind w:firstLine="420" w:firstLineChars="200"/>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ind w:firstLine="420" w:firstLineChars="200"/>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335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651" w:type="dxa"/>
            <w:vAlign w:val="center"/>
          </w:tcPr>
          <w:p>
            <w:pPr>
              <w:widowControl/>
              <w:jc w:val="center"/>
              <w:rPr>
                <w:color w:val="000000"/>
                <w:szCs w:val="21"/>
              </w:rPr>
            </w:pPr>
            <w:r>
              <w:rPr>
                <w:color w:val="000000"/>
                <w:szCs w:val="21"/>
              </w:rPr>
              <w:t>环境风险防控</w:t>
            </w:r>
          </w:p>
        </w:tc>
        <w:tc>
          <w:tcPr>
            <w:tcW w:w="8945" w:type="dxa"/>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335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资源开发效率要求</w:t>
            </w:r>
          </w:p>
        </w:tc>
        <w:tc>
          <w:tcPr>
            <w:tcW w:w="8945" w:type="dxa"/>
            <w:gridSpan w:val="9"/>
          </w:tcPr>
          <w:p>
            <w:pPr>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color w:val="000000"/>
                <w:szCs w:val="21"/>
              </w:rPr>
            </w:pPr>
            <w:r>
              <w:rPr>
                <w:color w:val="000000"/>
                <w:szCs w:val="21"/>
              </w:rPr>
              <w:t>（4.3.2）适度开发耕地后备资源，推进农用地和建设用地复垦。</w:t>
            </w:r>
          </w:p>
          <w:p>
            <w:pPr>
              <w:pStyle w:val="3"/>
              <w:rPr>
                <w:color w:val="000000"/>
                <w:szCs w:val="21"/>
              </w:rPr>
            </w:pPr>
          </w:p>
        </w:tc>
        <w:tc>
          <w:tcPr>
            <w:tcW w:w="3352"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58"/>
        <w:gridCol w:w="422"/>
        <w:gridCol w:w="422"/>
        <w:gridCol w:w="431"/>
        <w:gridCol w:w="831"/>
        <w:gridCol w:w="1083"/>
        <w:gridCol w:w="1678"/>
        <w:gridCol w:w="1207"/>
        <w:gridCol w:w="1711"/>
        <w:gridCol w:w="201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widowControl/>
              <w:jc w:val="center"/>
              <w:rPr>
                <w:b/>
                <w:color w:val="000000"/>
                <w:kern w:val="0"/>
                <w:szCs w:val="21"/>
              </w:rPr>
            </w:pPr>
            <w:r>
              <w:rPr>
                <w:b/>
                <w:color w:val="000000"/>
                <w:kern w:val="0"/>
                <w:szCs w:val="21"/>
              </w:rPr>
              <w:t>环境管控单元编码</w:t>
            </w:r>
          </w:p>
        </w:tc>
        <w:tc>
          <w:tcPr>
            <w:tcW w:w="267" w:type="pct"/>
            <w:vMerge w:val="restart"/>
            <w:vAlign w:val="center"/>
          </w:tcPr>
          <w:p>
            <w:pPr>
              <w:widowControl/>
              <w:jc w:val="center"/>
              <w:rPr>
                <w:b/>
                <w:color w:val="000000"/>
                <w:kern w:val="0"/>
                <w:szCs w:val="21"/>
              </w:rPr>
            </w:pPr>
            <w:r>
              <w:rPr>
                <w:b/>
                <w:color w:val="000000"/>
                <w:kern w:val="0"/>
                <w:szCs w:val="21"/>
              </w:rPr>
              <w:t>单元名称</w:t>
            </w:r>
          </w:p>
        </w:tc>
        <w:tc>
          <w:tcPr>
            <w:tcW w:w="449" w:type="pct"/>
            <w:gridSpan w:val="3"/>
            <w:vAlign w:val="center"/>
          </w:tcPr>
          <w:p>
            <w:pPr>
              <w:widowControl/>
              <w:jc w:val="center"/>
              <w:rPr>
                <w:b/>
                <w:color w:val="000000"/>
                <w:kern w:val="0"/>
                <w:szCs w:val="21"/>
              </w:rPr>
            </w:pPr>
            <w:r>
              <w:rPr>
                <w:b/>
                <w:color w:val="000000"/>
                <w:kern w:val="0"/>
                <w:szCs w:val="21"/>
              </w:rPr>
              <w:t>行政区划</w:t>
            </w:r>
          </w:p>
        </w:tc>
        <w:tc>
          <w:tcPr>
            <w:tcW w:w="293" w:type="pct"/>
            <w:vMerge w:val="restart"/>
            <w:vAlign w:val="center"/>
          </w:tcPr>
          <w:p>
            <w:pPr>
              <w:widowControl/>
              <w:jc w:val="center"/>
              <w:rPr>
                <w:b/>
                <w:color w:val="000000"/>
                <w:kern w:val="0"/>
                <w:szCs w:val="21"/>
              </w:rPr>
            </w:pPr>
            <w:r>
              <w:rPr>
                <w:b/>
                <w:color w:val="000000"/>
                <w:kern w:val="0"/>
                <w:szCs w:val="21"/>
              </w:rPr>
              <w:t>单元分类</w:t>
            </w:r>
          </w:p>
        </w:tc>
        <w:tc>
          <w:tcPr>
            <w:tcW w:w="382"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591" w:type="pct"/>
            <w:vMerge w:val="restart"/>
            <w:vAlign w:val="center"/>
          </w:tcPr>
          <w:p>
            <w:pPr>
              <w:jc w:val="center"/>
              <w:rPr>
                <w:b/>
                <w:color w:val="000000"/>
                <w:kern w:val="0"/>
                <w:szCs w:val="21"/>
              </w:rPr>
            </w:pPr>
            <w:r>
              <w:rPr>
                <w:b/>
                <w:color w:val="000000"/>
                <w:kern w:val="0"/>
                <w:szCs w:val="21"/>
              </w:rPr>
              <w:t>涉及乡镇(街道)</w:t>
            </w:r>
          </w:p>
        </w:tc>
        <w:tc>
          <w:tcPr>
            <w:tcW w:w="426" w:type="pct"/>
            <w:vMerge w:val="restart"/>
            <w:vAlign w:val="center"/>
          </w:tcPr>
          <w:p>
            <w:pPr>
              <w:jc w:val="center"/>
              <w:rPr>
                <w:b/>
                <w:color w:val="000000"/>
                <w:kern w:val="0"/>
                <w:szCs w:val="21"/>
              </w:rPr>
            </w:pPr>
            <w:r>
              <w:rPr>
                <w:b/>
                <w:color w:val="000000"/>
                <w:kern w:val="0"/>
                <w:szCs w:val="21"/>
              </w:rPr>
              <w:t>主体功能定位</w:t>
            </w:r>
          </w:p>
        </w:tc>
        <w:tc>
          <w:tcPr>
            <w:tcW w:w="1315" w:type="pct"/>
            <w:gridSpan w:val="2"/>
            <w:vMerge w:val="restart"/>
            <w:vAlign w:val="center"/>
          </w:tcPr>
          <w:p>
            <w:pPr>
              <w:jc w:val="center"/>
              <w:rPr>
                <w:b/>
                <w:color w:val="000000"/>
                <w:kern w:val="0"/>
                <w:szCs w:val="21"/>
              </w:rPr>
            </w:pPr>
            <w:r>
              <w:rPr>
                <w:b/>
                <w:color w:val="000000"/>
                <w:kern w:val="0"/>
                <w:szCs w:val="21"/>
              </w:rPr>
              <w:t>经济产业布局</w:t>
            </w:r>
          </w:p>
        </w:tc>
        <w:tc>
          <w:tcPr>
            <w:tcW w:w="692"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82" w:type="pct"/>
            <w:vMerge w:val="continue"/>
            <w:vAlign w:val="center"/>
          </w:tcPr>
          <w:p/>
        </w:tc>
        <w:tc>
          <w:tcPr>
            <w:tcW w:w="267" w:type="pct"/>
            <w:vMerge w:val="continue"/>
            <w:vAlign w:val="center"/>
          </w:tcPr>
          <w:p/>
        </w:tc>
        <w:tc>
          <w:tcPr>
            <w:tcW w:w="148" w:type="pct"/>
            <w:vAlign w:val="center"/>
          </w:tcPr>
          <w:p>
            <w:pPr>
              <w:jc w:val="center"/>
              <w:rPr>
                <w:b/>
                <w:color w:val="000000"/>
                <w:szCs w:val="21"/>
              </w:rPr>
            </w:pPr>
            <w:r>
              <w:rPr>
                <w:b/>
                <w:color w:val="000000"/>
                <w:szCs w:val="21"/>
              </w:rPr>
              <w:t>省</w:t>
            </w:r>
          </w:p>
        </w:tc>
        <w:tc>
          <w:tcPr>
            <w:tcW w:w="148" w:type="pct"/>
            <w:vAlign w:val="center"/>
          </w:tcPr>
          <w:p>
            <w:pPr>
              <w:jc w:val="center"/>
              <w:rPr>
                <w:b/>
                <w:color w:val="000000"/>
                <w:szCs w:val="21"/>
              </w:rPr>
            </w:pPr>
            <w:r>
              <w:rPr>
                <w:b/>
                <w:color w:val="000000"/>
                <w:szCs w:val="21"/>
              </w:rPr>
              <w:t>市</w:t>
            </w:r>
          </w:p>
        </w:tc>
        <w:tc>
          <w:tcPr>
            <w:tcW w:w="152" w:type="pct"/>
            <w:vAlign w:val="center"/>
          </w:tcPr>
          <w:p>
            <w:pPr>
              <w:jc w:val="center"/>
              <w:rPr>
                <w:b/>
                <w:color w:val="000000"/>
                <w:szCs w:val="21"/>
              </w:rPr>
            </w:pPr>
            <w:r>
              <w:rPr>
                <w:b/>
                <w:color w:val="000000"/>
                <w:szCs w:val="21"/>
              </w:rPr>
              <w:t>县</w:t>
            </w:r>
          </w:p>
        </w:tc>
        <w:tc>
          <w:tcPr>
            <w:tcW w:w="293" w:type="pct"/>
            <w:vMerge w:val="continue"/>
            <w:vAlign w:val="center"/>
          </w:tcPr>
          <w:p/>
        </w:tc>
        <w:tc>
          <w:tcPr>
            <w:tcW w:w="382" w:type="pct"/>
            <w:vMerge w:val="continue"/>
            <w:vAlign w:val="center"/>
          </w:tcPr>
          <w:p/>
        </w:tc>
        <w:tc>
          <w:tcPr>
            <w:tcW w:w="591" w:type="pct"/>
            <w:vMerge w:val="continue"/>
            <w:vAlign w:val="center"/>
          </w:tcPr>
          <w:p/>
        </w:tc>
        <w:tc>
          <w:tcPr>
            <w:tcW w:w="426" w:type="pct"/>
            <w:vMerge w:val="continue"/>
            <w:vAlign w:val="center"/>
          </w:tcPr>
          <w:p/>
        </w:tc>
        <w:tc>
          <w:tcPr>
            <w:tcW w:w="1315" w:type="pct"/>
            <w:gridSpan w:val="2"/>
            <w:vMerge w:val="continue"/>
            <w:vAlign w:val="center"/>
          </w:tcPr>
          <w:p/>
        </w:tc>
        <w:tc>
          <w:tcPr>
            <w:tcW w:w="69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jc w:val="center"/>
              <w:rPr>
                <w:color w:val="000000"/>
                <w:szCs w:val="21"/>
              </w:rPr>
            </w:pPr>
            <w:r>
              <w:rPr>
                <w:color w:val="000000"/>
                <w:szCs w:val="21"/>
              </w:rPr>
              <w:t>ZH43052720001</w:t>
            </w:r>
          </w:p>
        </w:tc>
        <w:tc>
          <w:tcPr>
            <w:tcW w:w="267" w:type="pct"/>
            <w:vAlign w:val="center"/>
          </w:tcPr>
          <w:p>
            <w:pPr>
              <w:jc w:val="center"/>
              <w:rPr>
                <w:color w:val="000000"/>
                <w:szCs w:val="21"/>
              </w:rPr>
            </w:pPr>
            <w:r>
              <w:rPr>
                <w:color w:val="000000"/>
                <w:szCs w:val="21"/>
              </w:rPr>
              <w:t>长铺镇/长铺子苗族侗族乡</w:t>
            </w:r>
          </w:p>
        </w:tc>
        <w:tc>
          <w:tcPr>
            <w:tcW w:w="148" w:type="pct"/>
            <w:vAlign w:val="center"/>
          </w:tcPr>
          <w:p>
            <w:pPr>
              <w:jc w:val="center"/>
              <w:rPr>
                <w:color w:val="000000"/>
                <w:szCs w:val="21"/>
              </w:rPr>
            </w:pPr>
            <w:r>
              <w:rPr>
                <w:color w:val="000000"/>
                <w:szCs w:val="21"/>
              </w:rPr>
              <w:t>湖南省</w:t>
            </w:r>
          </w:p>
        </w:tc>
        <w:tc>
          <w:tcPr>
            <w:tcW w:w="148" w:type="pct"/>
            <w:vAlign w:val="center"/>
          </w:tcPr>
          <w:p>
            <w:pPr>
              <w:jc w:val="center"/>
              <w:rPr>
                <w:color w:val="000000"/>
                <w:szCs w:val="21"/>
              </w:rPr>
            </w:pPr>
            <w:r>
              <w:rPr>
                <w:color w:val="000000"/>
                <w:szCs w:val="21"/>
              </w:rPr>
              <w:t>邵阳市</w:t>
            </w:r>
          </w:p>
        </w:tc>
        <w:tc>
          <w:tcPr>
            <w:tcW w:w="152" w:type="pct"/>
            <w:vAlign w:val="center"/>
          </w:tcPr>
          <w:p>
            <w:pPr>
              <w:jc w:val="center"/>
              <w:rPr>
                <w:color w:val="000000"/>
                <w:szCs w:val="21"/>
              </w:rPr>
            </w:pPr>
            <w:r>
              <w:rPr>
                <w:color w:val="000000"/>
                <w:szCs w:val="21"/>
              </w:rPr>
              <w:t>绥宁县</w:t>
            </w:r>
          </w:p>
        </w:tc>
        <w:tc>
          <w:tcPr>
            <w:tcW w:w="293" w:type="pct"/>
            <w:vAlign w:val="center"/>
          </w:tcPr>
          <w:p>
            <w:pPr>
              <w:jc w:val="center"/>
              <w:rPr>
                <w:color w:val="000000"/>
                <w:szCs w:val="21"/>
              </w:rPr>
            </w:pPr>
            <w:r>
              <w:rPr>
                <w:color w:val="000000"/>
                <w:szCs w:val="21"/>
              </w:rPr>
              <w:t>重点管控单元</w:t>
            </w:r>
          </w:p>
        </w:tc>
        <w:tc>
          <w:tcPr>
            <w:tcW w:w="382" w:type="pct"/>
            <w:vAlign w:val="center"/>
          </w:tcPr>
          <w:p>
            <w:pPr>
              <w:jc w:val="center"/>
              <w:rPr>
                <w:color w:val="000000"/>
                <w:szCs w:val="21"/>
              </w:rPr>
            </w:pPr>
            <w:r>
              <w:rPr>
                <w:color w:val="000000"/>
                <w:szCs w:val="21"/>
              </w:rPr>
              <w:t>60.09</w:t>
            </w:r>
          </w:p>
        </w:tc>
        <w:tc>
          <w:tcPr>
            <w:tcW w:w="591" w:type="pct"/>
            <w:vAlign w:val="center"/>
          </w:tcPr>
          <w:p>
            <w:pPr>
              <w:jc w:val="center"/>
              <w:rPr>
                <w:color w:val="000000"/>
                <w:szCs w:val="21"/>
              </w:rPr>
            </w:pPr>
            <w:r>
              <w:rPr>
                <w:color w:val="000000"/>
                <w:szCs w:val="21"/>
              </w:rPr>
              <w:t>长铺镇/长铺子苗族侗族乡</w:t>
            </w:r>
          </w:p>
        </w:tc>
        <w:tc>
          <w:tcPr>
            <w:tcW w:w="426" w:type="pct"/>
            <w:vAlign w:val="center"/>
          </w:tcPr>
          <w:p>
            <w:pPr>
              <w:jc w:val="center"/>
              <w:rPr>
                <w:b/>
                <w:bCs/>
                <w:color w:val="000000"/>
                <w:szCs w:val="21"/>
              </w:rPr>
            </w:pPr>
            <w:r>
              <w:rPr>
                <w:b/>
                <w:bCs/>
                <w:color w:val="000000"/>
                <w:szCs w:val="21"/>
              </w:rPr>
              <w:t>长铺镇：</w:t>
            </w:r>
            <w:r>
              <w:rPr>
                <w:color w:val="000000"/>
                <w:szCs w:val="21"/>
              </w:rPr>
              <w:t>城市化地区</w:t>
            </w:r>
          </w:p>
          <w:p>
            <w:pPr>
              <w:jc w:val="center"/>
              <w:rPr>
                <w:color w:val="000000"/>
                <w:szCs w:val="21"/>
              </w:rPr>
            </w:pPr>
            <w:r>
              <w:rPr>
                <w:b/>
                <w:bCs/>
                <w:color w:val="000000"/>
                <w:szCs w:val="21"/>
              </w:rPr>
              <w:t>长铺子苗族侗族乡：</w:t>
            </w:r>
            <w:r>
              <w:rPr>
                <w:color w:val="000000"/>
                <w:szCs w:val="21"/>
              </w:rPr>
              <w:t>城市化地区/</w:t>
            </w:r>
          </w:p>
        </w:tc>
        <w:tc>
          <w:tcPr>
            <w:tcW w:w="1315" w:type="pct"/>
            <w:gridSpan w:val="2"/>
            <w:vAlign w:val="center"/>
          </w:tcPr>
          <w:p>
            <w:pPr>
              <w:widowControl/>
              <w:rPr>
                <w:b/>
                <w:bCs/>
                <w:color w:val="000000"/>
                <w:szCs w:val="21"/>
              </w:rPr>
            </w:pPr>
            <w:r>
              <w:rPr>
                <w:b/>
                <w:bCs/>
                <w:color w:val="000000"/>
                <w:szCs w:val="21"/>
              </w:rPr>
              <w:t>长铺镇：</w:t>
            </w:r>
            <w:r>
              <w:rPr>
                <w:color w:val="000000"/>
                <w:szCs w:val="21"/>
              </w:rPr>
              <w:t>农业种植、农副产品加工、旅游、社会服务；</w:t>
            </w:r>
          </w:p>
          <w:p>
            <w:pPr>
              <w:widowControl/>
              <w:rPr>
                <w:strike/>
                <w:color w:val="000000"/>
                <w:szCs w:val="21"/>
              </w:rPr>
            </w:pPr>
            <w:r>
              <w:rPr>
                <w:b/>
                <w:bCs/>
                <w:color w:val="000000"/>
                <w:szCs w:val="21"/>
              </w:rPr>
              <w:t>长铺子苗族侗族乡：</w:t>
            </w:r>
            <w:r>
              <w:rPr>
                <w:color w:val="000000"/>
                <w:szCs w:val="21"/>
              </w:rPr>
              <w:t>农业种植、畜禽养殖、农副产品加工、采矿、社会服务、休闲旅游。</w:t>
            </w:r>
          </w:p>
        </w:tc>
        <w:tc>
          <w:tcPr>
            <w:tcW w:w="692" w:type="pct"/>
            <w:vAlign w:val="center"/>
          </w:tcPr>
          <w:p>
            <w:pPr>
              <w:widowControl/>
              <w:rPr>
                <w:b/>
                <w:color w:val="000000"/>
                <w:kern w:val="0"/>
                <w:szCs w:val="21"/>
              </w:rPr>
            </w:pPr>
            <w:r>
              <w:rPr>
                <w:b/>
                <w:color w:val="000000"/>
                <w:kern w:val="0"/>
                <w:szCs w:val="21"/>
              </w:rPr>
              <w:t>主要环境问题：</w:t>
            </w:r>
          </w:p>
          <w:p>
            <w:pPr>
              <w:widowControl/>
              <w:rPr>
                <w:b/>
                <w:bCs/>
                <w:color w:val="000000"/>
                <w:szCs w:val="21"/>
              </w:rPr>
            </w:pPr>
            <w:r>
              <w:rPr>
                <w:b/>
                <w:bCs/>
                <w:color w:val="000000"/>
                <w:szCs w:val="21"/>
              </w:rPr>
              <w:t>长铺镇：</w:t>
            </w:r>
            <w:r>
              <w:rPr>
                <w:color w:val="000000"/>
                <w:kern w:val="0"/>
                <w:szCs w:val="21"/>
              </w:rPr>
              <w:t>部分企业污染治理设施不到位。</w:t>
            </w:r>
          </w:p>
          <w:p>
            <w:pPr>
              <w:widowControl/>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b/>
                <w:color w:val="000000"/>
                <w:kern w:val="0"/>
                <w:szCs w:val="21"/>
              </w:rPr>
            </w:pPr>
            <w:r>
              <w:rPr>
                <w:b/>
                <w:color w:val="000000"/>
                <w:kern w:val="0"/>
                <w:szCs w:val="21"/>
              </w:rPr>
              <w:t>主要属性</w:t>
            </w:r>
          </w:p>
        </w:tc>
        <w:tc>
          <w:tcPr>
            <w:tcW w:w="4417" w:type="pct"/>
            <w:gridSpan w:val="11"/>
            <w:vAlign w:val="center"/>
          </w:tcPr>
          <w:p>
            <w:pPr>
              <w:rPr>
                <w:b/>
                <w:bCs/>
                <w:color w:val="000000"/>
                <w:szCs w:val="21"/>
              </w:rPr>
            </w:pPr>
            <w:r>
              <w:rPr>
                <w:b/>
                <w:bCs/>
                <w:color w:val="000000"/>
                <w:szCs w:val="21"/>
              </w:rPr>
              <w:t>长铺镇：</w:t>
            </w:r>
          </w:p>
          <w:p>
            <w:pPr>
              <w:ind w:firstLine="422" w:firstLineChars="200"/>
              <w:rPr>
                <w:color w:val="000000"/>
                <w:szCs w:val="21"/>
              </w:rPr>
            </w:pPr>
            <w:r>
              <w:rPr>
                <w:b/>
                <w:bCs/>
                <w:color w:val="000000"/>
                <w:szCs w:val="21"/>
              </w:rPr>
              <w:t>生态红线：</w:t>
            </w:r>
            <w:r>
              <w:rPr>
                <w:color w:val="000000"/>
                <w:szCs w:val="21"/>
              </w:rPr>
              <w:t>红线/一般生态空间；水源涵养重要区\三区三线生态红线\原生态红线\生物多样性保护功能重要区\水土流失敏感区；</w:t>
            </w:r>
          </w:p>
          <w:p>
            <w:pPr>
              <w:ind w:firstLine="422" w:firstLineChars="200"/>
              <w:rPr>
                <w:b/>
                <w:bCs/>
                <w:color w:val="000000"/>
                <w:szCs w:val="21"/>
              </w:rPr>
            </w:pPr>
            <w:r>
              <w:rPr>
                <w:b/>
                <w:bCs/>
                <w:color w:val="000000"/>
                <w:szCs w:val="21"/>
              </w:rPr>
              <w:t>环境质量底线：</w:t>
            </w:r>
            <w:r>
              <w:rPr>
                <w:color w:val="000000"/>
                <w:szCs w:val="21"/>
              </w:rPr>
              <w:t>水环境优先保护区/水环境城镇生活污染重点管控区；水源地（县级及以上）/污水处理厂；绥宁县虾子溪饮用水水源保护区/绥宁县污水处理厂（汇水）；大气环境高排放重点管控区/大气环境受体敏感重点管控区；绥宁工业集中区/绥宁县湘商产业园；建设用地重点管控区/一般管控区；中高风险企业用地；城市化地区；高污染燃料禁燃区；</w:t>
            </w:r>
          </w:p>
          <w:p>
            <w:pPr>
              <w:rPr>
                <w:b/>
                <w:bCs/>
                <w:color w:val="000000"/>
                <w:szCs w:val="21"/>
              </w:rPr>
            </w:pPr>
            <w:r>
              <w:rPr>
                <w:b/>
                <w:bCs/>
                <w:color w:val="000000"/>
                <w:szCs w:val="21"/>
              </w:rPr>
              <w:t>长铺子苗族侗族乡：</w:t>
            </w:r>
          </w:p>
          <w:p>
            <w:pPr>
              <w:ind w:firstLine="422" w:firstLineChars="200"/>
              <w:rPr>
                <w:color w:val="000000"/>
                <w:szCs w:val="21"/>
              </w:rPr>
            </w:pPr>
            <w:r>
              <w:rPr>
                <w:b/>
                <w:bCs/>
                <w:color w:val="000000"/>
                <w:szCs w:val="21"/>
              </w:rPr>
              <w:t>生态红线：</w:t>
            </w:r>
            <w:r>
              <w:rPr>
                <w:color w:val="000000"/>
                <w:szCs w:val="21"/>
              </w:rPr>
              <w:t>红线/一般生态空间；水源涵养重要区\三区三线生态红线\森林公园\自然保护区\生物多样性保护功能重要区\湿地公园\原生态红线\水土保持功能重要区\水土流失敏感区；</w:t>
            </w:r>
          </w:p>
          <w:p>
            <w:pPr>
              <w:ind w:firstLine="422" w:firstLineChars="200"/>
              <w:rPr>
                <w:b/>
                <w:bCs/>
                <w:color w:val="000000"/>
                <w:szCs w:val="21"/>
              </w:rPr>
            </w:pPr>
            <w:r>
              <w:rPr>
                <w:b/>
                <w:bCs/>
                <w:color w:val="000000"/>
                <w:szCs w:val="21"/>
              </w:rPr>
              <w:t xml:space="preserve">环境质量底线： </w:t>
            </w:r>
            <w:r>
              <w:rPr>
                <w:color w:val="000000"/>
                <w:szCs w:val="21"/>
              </w:rPr>
              <w:t>水环境优先保护区/ 水环境工业污染重点管控区、水环境城镇生活污染重点管控区、水环境其他重点管控区/水环境一般管控区；水源地（县级及以上）、湿地公园/工业园区、污水处理厂、重金属矿；绥宁县虾子溪饮用水水源保护区、邵阳市绥宁县白岩溪饮用水水源保护区、湖南绥宁花园阁国家级湿地公园/绥宁产业开发区、绥宁县污水处理厂、绥宁县合力铁矿有限公司界头炉铁矿、绥宁县金鼎矿业有限公司水竹坪铁矿；大气环境优先保护区/大气环境高排放重点管控区/大气环境受体敏感重点管控区；湖南绥宁堡子岭省级森林公园/湖南绥宁花园阁国家湿地公园/湖南黄桑国家级自然保护区/绥宁产业开发区/绥宁工业集中区/绥宁县高排放区1/绥宁县湘商产业园；农用地优先保护区/建设用地重点管控区/其他重点管控区/一般管控区；矿区/中高风险企业用地；绥宁产业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b/>
                <w:color w:val="000000"/>
                <w:szCs w:val="21"/>
              </w:rPr>
            </w:pPr>
            <w:r>
              <w:rPr>
                <w:b/>
                <w:color w:val="000000"/>
                <w:szCs w:val="21"/>
              </w:rPr>
              <w:t>管控维度</w:t>
            </w:r>
          </w:p>
        </w:tc>
        <w:tc>
          <w:tcPr>
            <w:tcW w:w="3013" w:type="pct"/>
            <w:gridSpan w:val="9"/>
            <w:vAlign w:val="center"/>
          </w:tcPr>
          <w:p>
            <w:pPr>
              <w:jc w:val="center"/>
              <w:rPr>
                <w:b/>
                <w:color w:val="000000"/>
                <w:szCs w:val="21"/>
              </w:rPr>
            </w:pPr>
            <w:r>
              <w:rPr>
                <w:b/>
                <w:color w:val="000000"/>
                <w:kern w:val="0"/>
                <w:szCs w:val="21"/>
              </w:rPr>
              <w:t>管控要求</w:t>
            </w:r>
          </w:p>
        </w:tc>
        <w:tc>
          <w:tcPr>
            <w:tcW w:w="1403" w:type="pct"/>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空间布局约束</w:t>
            </w:r>
          </w:p>
        </w:tc>
        <w:tc>
          <w:tcPr>
            <w:tcW w:w="3013" w:type="pct"/>
            <w:gridSpan w:val="9"/>
            <w:vAlign w:val="center"/>
          </w:tcPr>
          <w:p>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pPr>
            <w:r>
              <w:t>（1.2）严格控制耕地转为林地、草地、园地等其他农用地。</w:t>
            </w:r>
          </w:p>
          <w:p>
            <w:pPr>
              <w:tabs>
                <w:tab w:val="left" w:pos="1021"/>
              </w:tabs>
              <w:rPr>
                <w:color w:val="000000"/>
                <w:szCs w:val="21"/>
              </w:rPr>
            </w:pPr>
            <w:r>
              <w:t>（1.3）扩大高污染燃料禁燃区范围，巩固燃煤锅炉淘汰成果，严禁审批35蒸吨/小时及以下燃煤锅炉。</w:t>
            </w:r>
          </w:p>
        </w:tc>
        <w:tc>
          <w:tcPr>
            <w:tcW w:w="1403" w:type="pct"/>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污染物排放管控</w:t>
            </w:r>
          </w:p>
        </w:tc>
        <w:tc>
          <w:tcPr>
            <w:tcW w:w="3013" w:type="pct"/>
            <w:gridSpan w:val="9"/>
            <w:vAlign w:val="center"/>
          </w:tcPr>
          <w:p>
            <w:pPr>
              <w:tabs>
                <w:tab w:val="left" w:pos="1021"/>
              </w:tabs>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1403"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82" w:type="pct"/>
            <w:vAlign w:val="center"/>
          </w:tcPr>
          <w:p>
            <w:pPr>
              <w:widowControl/>
              <w:jc w:val="center"/>
              <w:rPr>
                <w:color w:val="000000"/>
                <w:szCs w:val="21"/>
              </w:rPr>
            </w:pPr>
            <w:r>
              <w:rPr>
                <w:color w:val="000000"/>
                <w:szCs w:val="21"/>
              </w:rPr>
              <w:t>环境风险防控</w:t>
            </w:r>
          </w:p>
        </w:tc>
        <w:tc>
          <w:tcPr>
            <w:tcW w:w="3013" w:type="pct"/>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1403"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资源开发效率要求</w:t>
            </w:r>
          </w:p>
        </w:tc>
        <w:tc>
          <w:tcPr>
            <w:tcW w:w="3013" w:type="pct"/>
            <w:gridSpan w:val="9"/>
          </w:tcPr>
          <w:p>
            <w:pPr>
              <w:ind w:firstLine="420" w:firstLineChars="200"/>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ind w:firstLine="420" w:firstLineChars="200"/>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ind w:firstLine="420" w:firstLineChars="200"/>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color w:val="000000"/>
                <w:szCs w:val="21"/>
              </w:rPr>
            </w:pPr>
            <w:r>
              <w:rPr>
                <w:color w:val="000000"/>
                <w:szCs w:val="21"/>
              </w:rPr>
              <w:t>（4.3.2）适度开发耕地后备资源，推进农用地和建设用地复垦。</w:t>
            </w:r>
          </w:p>
        </w:tc>
        <w:tc>
          <w:tcPr>
            <w:tcW w:w="1403" w:type="pct"/>
            <w:gridSpan w:val="2"/>
            <w:vMerge w:val="continue"/>
            <w:vAlign w:val="center"/>
          </w:tcPr>
          <w:p/>
        </w:tc>
      </w:tr>
    </w:tbl>
    <w:p>
      <w:pPr>
        <w:widowControl/>
        <w:jc w:val="left"/>
        <w:rPr>
          <w:color w:val="000000"/>
          <w:szCs w:val="21"/>
        </w:rPr>
      </w:pPr>
      <w:r>
        <w:rPr>
          <w:color w:val="000000"/>
          <w:szCs w:val="21"/>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62"/>
        <w:gridCol w:w="403"/>
        <w:gridCol w:w="426"/>
        <w:gridCol w:w="414"/>
        <w:gridCol w:w="775"/>
        <w:gridCol w:w="1092"/>
        <w:gridCol w:w="1308"/>
        <w:gridCol w:w="2028"/>
        <w:gridCol w:w="2335"/>
        <w:gridCol w:w="841"/>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restart"/>
            <w:vAlign w:val="center"/>
          </w:tcPr>
          <w:p>
            <w:pPr>
              <w:widowControl/>
              <w:jc w:val="center"/>
              <w:rPr>
                <w:b/>
                <w:color w:val="000000"/>
                <w:kern w:val="0"/>
                <w:szCs w:val="21"/>
              </w:rPr>
            </w:pPr>
            <w:r>
              <w:rPr>
                <w:b/>
                <w:color w:val="000000"/>
                <w:kern w:val="0"/>
                <w:szCs w:val="21"/>
              </w:rPr>
              <w:t>环境管控单元编码</w:t>
            </w:r>
          </w:p>
        </w:tc>
        <w:tc>
          <w:tcPr>
            <w:tcW w:w="862" w:type="dxa"/>
            <w:vMerge w:val="restart"/>
            <w:vAlign w:val="center"/>
          </w:tcPr>
          <w:p>
            <w:pPr>
              <w:widowControl/>
              <w:jc w:val="center"/>
              <w:rPr>
                <w:b/>
                <w:color w:val="000000"/>
                <w:kern w:val="0"/>
                <w:szCs w:val="21"/>
              </w:rPr>
            </w:pPr>
            <w:r>
              <w:rPr>
                <w:b/>
                <w:color w:val="000000"/>
                <w:kern w:val="0"/>
                <w:szCs w:val="21"/>
              </w:rPr>
              <w:t>单元名称</w:t>
            </w:r>
          </w:p>
        </w:tc>
        <w:tc>
          <w:tcPr>
            <w:tcW w:w="1243" w:type="dxa"/>
            <w:gridSpan w:val="3"/>
            <w:vAlign w:val="center"/>
          </w:tcPr>
          <w:p>
            <w:pPr>
              <w:widowControl/>
              <w:jc w:val="center"/>
              <w:rPr>
                <w:b/>
                <w:color w:val="000000"/>
                <w:kern w:val="0"/>
                <w:szCs w:val="21"/>
              </w:rPr>
            </w:pPr>
            <w:r>
              <w:rPr>
                <w:b/>
                <w:color w:val="000000"/>
                <w:kern w:val="0"/>
                <w:szCs w:val="21"/>
              </w:rPr>
              <w:t>行政区划</w:t>
            </w:r>
          </w:p>
        </w:tc>
        <w:tc>
          <w:tcPr>
            <w:tcW w:w="775" w:type="dxa"/>
            <w:vMerge w:val="restart"/>
            <w:vAlign w:val="center"/>
          </w:tcPr>
          <w:p>
            <w:pPr>
              <w:widowControl/>
              <w:jc w:val="center"/>
              <w:rPr>
                <w:b/>
                <w:color w:val="000000"/>
                <w:kern w:val="0"/>
                <w:szCs w:val="21"/>
              </w:rPr>
            </w:pPr>
            <w:r>
              <w:rPr>
                <w:b/>
                <w:color w:val="000000"/>
                <w:kern w:val="0"/>
                <w:szCs w:val="21"/>
              </w:rPr>
              <w:t>单元分类</w:t>
            </w:r>
          </w:p>
        </w:tc>
        <w:tc>
          <w:tcPr>
            <w:tcW w:w="1092"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308" w:type="dxa"/>
            <w:vMerge w:val="restart"/>
            <w:vAlign w:val="center"/>
          </w:tcPr>
          <w:p>
            <w:pPr>
              <w:jc w:val="center"/>
              <w:rPr>
                <w:b/>
                <w:color w:val="000000"/>
                <w:kern w:val="0"/>
                <w:szCs w:val="21"/>
              </w:rPr>
            </w:pPr>
            <w:r>
              <w:rPr>
                <w:b/>
                <w:color w:val="000000"/>
                <w:kern w:val="0"/>
                <w:szCs w:val="21"/>
              </w:rPr>
              <w:t>涉及乡镇(街道)</w:t>
            </w:r>
          </w:p>
        </w:tc>
        <w:tc>
          <w:tcPr>
            <w:tcW w:w="2028" w:type="dxa"/>
            <w:vMerge w:val="restart"/>
            <w:vAlign w:val="center"/>
          </w:tcPr>
          <w:p>
            <w:pPr>
              <w:jc w:val="center"/>
              <w:rPr>
                <w:b/>
                <w:color w:val="000000"/>
                <w:kern w:val="0"/>
                <w:szCs w:val="21"/>
              </w:rPr>
            </w:pPr>
            <w:r>
              <w:rPr>
                <w:b/>
                <w:color w:val="000000"/>
                <w:kern w:val="0"/>
                <w:szCs w:val="21"/>
              </w:rPr>
              <w:t>主体功能定位</w:t>
            </w:r>
          </w:p>
        </w:tc>
        <w:tc>
          <w:tcPr>
            <w:tcW w:w="3176" w:type="dxa"/>
            <w:gridSpan w:val="2"/>
            <w:vMerge w:val="restart"/>
            <w:vAlign w:val="center"/>
          </w:tcPr>
          <w:p>
            <w:pPr>
              <w:jc w:val="center"/>
              <w:rPr>
                <w:b/>
                <w:color w:val="000000"/>
                <w:kern w:val="0"/>
                <w:szCs w:val="21"/>
              </w:rPr>
            </w:pPr>
            <w:r>
              <w:rPr>
                <w:b/>
                <w:color w:val="000000"/>
                <w:kern w:val="0"/>
                <w:szCs w:val="21"/>
              </w:rPr>
              <w:t>经济产业布局</w:t>
            </w:r>
          </w:p>
        </w:tc>
        <w:tc>
          <w:tcPr>
            <w:tcW w:w="2281"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09" w:type="dxa"/>
            <w:vMerge w:val="continue"/>
            <w:vAlign w:val="center"/>
          </w:tcPr>
          <w:p/>
        </w:tc>
        <w:tc>
          <w:tcPr>
            <w:tcW w:w="862" w:type="dxa"/>
            <w:vMerge w:val="continue"/>
            <w:vAlign w:val="center"/>
          </w:tcPr>
          <w:p/>
        </w:tc>
        <w:tc>
          <w:tcPr>
            <w:tcW w:w="403" w:type="dxa"/>
            <w:vAlign w:val="center"/>
          </w:tcPr>
          <w:p>
            <w:pPr>
              <w:jc w:val="center"/>
              <w:rPr>
                <w:b/>
                <w:color w:val="000000"/>
                <w:szCs w:val="21"/>
              </w:rPr>
            </w:pPr>
            <w:r>
              <w:rPr>
                <w:b/>
                <w:color w:val="000000"/>
                <w:szCs w:val="21"/>
              </w:rPr>
              <w:t>省</w:t>
            </w:r>
          </w:p>
        </w:tc>
        <w:tc>
          <w:tcPr>
            <w:tcW w:w="426" w:type="dxa"/>
            <w:vAlign w:val="center"/>
          </w:tcPr>
          <w:p>
            <w:pPr>
              <w:jc w:val="center"/>
              <w:rPr>
                <w:b/>
                <w:color w:val="000000"/>
                <w:szCs w:val="21"/>
              </w:rPr>
            </w:pPr>
            <w:r>
              <w:rPr>
                <w:b/>
                <w:color w:val="000000"/>
                <w:szCs w:val="21"/>
              </w:rPr>
              <w:t>市</w:t>
            </w:r>
          </w:p>
        </w:tc>
        <w:tc>
          <w:tcPr>
            <w:tcW w:w="414" w:type="dxa"/>
            <w:vAlign w:val="center"/>
          </w:tcPr>
          <w:p>
            <w:pPr>
              <w:jc w:val="center"/>
              <w:rPr>
                <w:b/>
                <w:color w:val="000000"/>
                <w:szCs w:val="21"/>
              </w:rPr>
            </w:pPr>
            <w:r>
              <w:rPr>
                <w:b/>
                <w:color w:val="000000"/>
                <w:szCs w:val="21"/>
              </w:rPr>
              <w:t>县</w:t>
            </w:r>
          </w:p>
        </w:tc>
        <w:tc>
          <w:tcPr>
            <w:tcW w:w="775" w:type="dxa"/>
            <w:vMerge w:val="continue"/>
            <w:vAlign w:val="center"/>
          </w:tcPr>
          <w:p/>
        </w:tc>
        <w:tc>
          <w:tcPr>
            <w:tcW w:w="1092" w:type="dxa"/>
            <w:vMerge w:val="continue"/>
            <w:vAlign w:val="center"/>
          </w:tcPr>
          <w:p/>
        </w:tc>
        <w:tc>
          <w:tcPr>
            <w:tcW w:w="1308" w:type="dxa"/>
            <w:vMerge w:val="continue"/>
            <w:vAlign w:val="center"/>
          </w:tcPr>
          <w:p/>
        </w:tc>
        <w:tc>
          <w:tcPr>
            <w:tcW w:w="2028" w:type="dxa"/>
            <w:vMerge w:val="continue"/>
            <w:vAlign w:val="center"/>
          </w:tcPr>
          <w:p/>
        </w:tc>
        <w:tc>
          <w:tcPr>
            <w:tcW w:w="3176" w:type="dxa"/>
            <w:gridSpan w:val="2"/>
            <w:vMerge w:val="continue"/>
            <w:vAlign w:val="center"/>
          </w:tcPr>
          <w:p/>
        </w:tc>
        <w:tc>
          <w:tcPr>
            <w:tcW w:w="22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jc w:val="center"/>
              <w:rPr>
                <w:color w:val="000000"/>
                <w:szCs w:val="21"/>
              </w:rPr>
            </w:pPr>
            <w:r>
              <w:rPr>
                <w:color w:val="000000"/>
                <w:szCs w:val="21"/>
              </w:rPr>
              <w:t>ZH43052730002</w:t>
            </w:r>
          </w:p>
        </w:tc>
        <w:tc>
          <w:tcPr>
            <w:tcW w:w="862" w:type="dxa"/>
            <w:vAlign w:val="center"/>
          </w:tcPr>
          <w:p>
            <w:pPr>
              <w:jc w:val="center"/>
              <w:rPr>
                <w:color w:val="000000"/>
                <w:szCs w:val="21"/>
              </w:rPr>
            </w:pPr>
            <w:r>
              <w:rPr>
                <w:color w:val="000000"/>
                <w:szCs w:val="21"/>
              </w:rPr>
              <w:t>东山侗族乡/鹅公岭侗族苗族乡/河口苗族乡/乐安铺苗族侗族乡</w:t>
            </w:r>
          </w:p>
        </w:tc>
        <w:tc>
          <w:tcPr>
            <w:tcW w:w="403" w:type="dxa"/>
            <w:vAlign w:val="center"/>
          </w:tcPr>
          <w:p>
            <w:pPr>
              <w:jc w:val="center"/>
              <w:rPr>
                <w:color w:val="000000"/>
                <w:szCs w:val="21"/>
              </w:rPr>
            </w:pPr>
            <w:r>
              <w:rPr>
                <w:color w:val="000000"/>
                <w:szCs w:val="21"/>
              </w:rPr>
              <w:t>湖南省</w:t>
            </w:r>
          </w:p>
        </w:tc>
        <w:tc>
          <w:tcPr>
            <w:tcW w:w="426" w:type="dxa"/>
            <w:vAlign w:val="center"/>
          </w:tcPr>
          <w:p>
            <w:pPr>
              <w:jc w:val="center"/>
              <w:rPr>
                <w:color w:val="000000"/>
                <w:szCs w:val="21"/>
              </w:rPr>
            </w:pPr>
            <w:r>
              <w:rPr>
                <w:color w:val="000000"/>
                <w:szCs w:val="21"/>
              </w:rPr>
              <w:t>邵阳市</w:t>
            </w:r>
          </w:p>
        </w:tc>
        <w:tc>
          <w:tcPr>
            <w:tcW w:w="414" w:type="dxa"/>
            <w:vAlign w:val="center"/>
          </w:tcPr>
          <w:p>
            <w:pPr>
              <w:jc w:val="center"/>
              <w:rPr>
                <w:color w:val="000000"/>
                <w:szCs w:val="21"/>
              </w:rPr>
            </w:pPr>
            <w:r>
              <w:rPr>
                <w:color w:val="000000"/>
                <w:szCs w:val="21"/>
              </w:rPr>
              <w:t>绥宁县</w:t>
            </w:r>
          </w:p>
        </w:tc>
        <w:tc>
          <w:tcPr>
            <w:tcW w:w="775" w:type="dxa"/>
            <w:vAlign w:val="center"/>
          </w:tcPr>
          <w:p>
            <w:pPr>
              <w:jc w:val="center"/>
              <w:rPr>
                <w:color w:val="000000"/>
                <w:szCs w:val="21"/>
              </w:rPr>
            </w:pPr>
            <w:r>
              <w:rPr>
                <w:color w:val="000000"/>
                <w:szCs w:val="21"/>
              </w:rPr>
              <w:t>一般管控单元</w:t>
            </w:r>
          </w:p>
        </w:tc>
        <w:tc>
          <w:tcPr>
            <w:tcW w:w="1092" w:type="dxa"/>
            <w:vAlign w:val="center"/>
          </w:tcPr>
          <w:p>
            <w:pPr>
              <w:jc w:val="center"/>
              <w:rPr>
                <w:color w:val="000000"/>
                <w:szCs w:val="21"/>
              </w:rPr>
            </w:pPr>
            <w:r>
              <w:rPr>
                <w:color w:val="000000"/>
                <w:szCs w:val="21"/>
              </w:rPr>
              <w:t>437.26</w:t>
            </w:r>
          </w:p>
        </w:tc>
        <w:tc>
          <w:tcPr>
            <w:tcW w:w="1308" w:type="dxa"/>
            <w:vAlign w:val="center"/>
          </w:tcPr>
          <w:p>
            <w:pPr>
              <w:jc w:val="center"/>
              <w:rPr>
                <w:color w:val="000000"/>
                <w:szCs w:val="21"/>
              </w:rPr>
            </w:pPr>
            <w:r>
              <w:rPr>
                <w:color w:val="000000"/>
                <w:szCs w:val="21"/>
              </w:rPr>
              <w:t>东山侗族乡/鹅公岭侗族苗族乡/河口苗族乡/乐安铺苗族侗族乡</w:t>
            </w:r>
          </w:p>
        </w:tc>
        <w:tc>
          <w:tcPr>
            <w:tcW w:w="2028" w:type="dxa"/>
            <w:vAlign w:val="center"/>
          </w:tcPr>
          <w:p>
            <w:pPr>
              <w:jc w:val="center"/>
              <w:rPr>
                <w:b/>
                <w:bCs/>
                <w:color w:val="000000"/>
                <w:szCs w:val="21"/>
              </w:rPr>
            </w:pPr>
            <w:r>
              <w:rPr>
                <w:b/>
                <w:bCs/>
                <w:color w:val="000000"/>
                <w:szCs w:val="21"/>
              </w:rPr>
              <w:t>东山侗族乡：</w:t>
            </w:r>
            <w:r>
              <w:rPr>
                <w:color w:val="000000"/>
                <w:szCs w:val="21"/>
              </w:rPr>
              <w:t>农产品主产区；</w:t>
            </w:r>
          </w:p>
          <w:p>
            <w:pPr>
              <w:jc w:val="center"/>
              <w:rPr>
                <w:color w:val="000000"/>
                <w:szCs w:val="21"/>
              </w:rPr>
            </w:pPr>
            <w:r>
              <w:rPr>
                <w:b/>
                <w:bCs/>
                <w:color w:val="000000"/>
                <w:szCs w:val="21"/>
              </w:rPr>
              <w:t>鹅公岭侗族苗族乡、河口苗族乡、乐安铺苗族侗族乡：</w:t>
            </w:r>
            <w:r>
              <w:rPr>
                <w:color w:val="000000"/>
                <w:szCs w:val="21"/>
              </w:rPr>
              <w:t>重点生态功能区。</w:t>
            </w:r>
          </w:p>
        </w:tc>
        <w:tc>
          <w:tcPr>
            <w:tcW w:w="3176" w:type="dxa"/>
            <w:gridSpan w:val="2"/>
            <w:vAlign w:val="center"/>
          </w:tcPr>
          <w:p>
            <w:pPr>
              <w:widowControl/>
              <w:rPr>
                <w:color w:val="000000"/>
                <w:szCs w:val="21"/>
              </w:rPr>
            </w:pPr>
            <w:r>
              <w:rPr>
                <w:b/>
                <w:bCs/>
                <w:color w:val="000000"/>
                <w:szCs w:val="21"/>
              </w:rPr>
              <w:t>东山侗族乡：</w:t>
            </w:r>
            <w:r>
              <w:rPr>
                <w:color w:val="000000"/>
                <w:szCs w:val="21"/>
              </w:rPr>
              <w:t>农业种植、农副产品加工、畜禽养殖、林产品加工、休闲旅游；</w:t>
            </w:r>
          </w:p>
          <w:p>
            <w:pPr>
              <w:widowControl/>
              <w:rPr>
                <w:b/>
                <w:bCs/>
                <w:color w:val="000000"/>
                <w:szCs w:val="21"/>
              </w:rPr>
            </w:pPr>
            <w:r>
              <w:rPr>
                <w:b/>
                <w:bCs/>
                <w:color w:val="000000"/>
                <w:szCs w:val="21"/>
              </w:rPr>
              <w:t>鹅公岭侗族苗族乡、乐安铺苗族侗族乡：</w:t>
            </w:r>
            <w:r>
              <w:rPr>
                <w:color w:val="000000"/>
                <w:szCs w:val="21"/>
              </w:rPr>
              <w:t>农业种植、农副产品加工、林产品加工、休闲旅游</w:t>
            </w:r>
            <w:r>
              <w:rPr>
                <w:b/>
                <w:bCs/>
                <w:color w:val="000000"/>
                <w:szCs w:val="21"/>
              </w:rPr>
              <w:t>。</w:t>
            </w:r>
          </w:p>
        </w:tc>
        <w:tc>
          <w:tcPr>
            <w:tcW w:w="2281" w:type="dxa"/>
            <w:vAlign w:val="center"/>
          </w:tcPr>
          <w:p>
            <w:pPr>
              <w:widowControl/>
              <w:rPr>
                <w:b/>
                <w:color w:val="000000"/>
                <w:kern w:val="0"/>
                <w:szCs w:val="21"/>
              </w:rPr>
            </w:pPr>
            <w:r>
              <w:rPr>
                <w:b/>
                <w:color w:val="000000"/>
                <w:kern w:val="0"/>
                <w:szCs w:val="21"/>
              </w:rPr>
              <w:t>主要环境问题：</w:t>
            </w:r>
            <w:r>
              <w:rPr>
                <w:bCs/>
                <w:color w:val="000000"/>
                <w:kern w:val="0"/>
                <w:szCs w:val="21"/>
              </w:rPr>
              <w:t>无。</w:t>
            </w:r>
          </w:p>
          <w:p>
            <w:pPr>
              <w:widowControl/>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jc w:val="center"/>
              <w:rPr>
                <w:b/>
                <w:color w:val="000000"/>
                <w:kern w:val="0"/>
                <w:szCs w:val="21"/>
              </w:rPr>
            </w:pPr>
            <w:r>
              <w:rPr>
                <w:b/>
                <w:color w:val="000000"/>
                <w:kern w:val="0"/>
                <w:szCs w:val="21"/>
              </w:rPr>
              <w:t>主要属性</w:t>
            </w:r>
          </w:p>
        </w:tc>
        <w:tc>
          <w:tcPr>
            <w:tcW w:w="12765" w:type="dxa"/>
            <w:gridSpan w:val="11"/>
            <w:vAlign w:val="center"/>
          </w:tcPr>
          <w:p>
            <w:pPr>
              <w:rPr>
                <w:b/>
                <w:bCs/>
                <w:color w:val="000000"/>
                <w:szCs w:val="21"/>
              </w:rPr>
            </w:pPr>
            <w:r>
              <w:rPr>
                <w:b/>
                <w:bCs/>
                <w:color w:val="000000"/>
                <w:szCs w:val="21"/>
              </w:rPr>
              <w:t>东山侗族乡：</w:t>
            </w:r>
          </w:p>
          <w:p>
            <w:pPr>
              <w:ind w:firstLine="422" w:firstLineChars="200"/>
              <w:rPr>
                <w:b/>
                <w:bCs/>
                <w:color w:val="000000"/>
                <w:szCs w:val="21"/>
              </w:rPr>
            </w:pPr>
            <w:r>
              <w:rPr>
                <w:b/>
                <w:bCs/>
                <w:color w:val="000000"/>
                <w:szCs w:val="21"/>
              </w:rPr>
              <w:t>生态红线：</w:t>
            </w:r>
            <w:r>
              <w:rPr>
                <w:color w:val="000000"/>
                <w:szCs w:val="21"/>
              </w:rPr>
              <w:t>红线/一般生态空间；水源涵养重要区\原生态红线\三区三线生态红线\水土流失敏感区\生物多样性保护功能重要区\森林公园；</w:t>
            </w:r>
          </w:p>
          <w:p>
            <w:pPr>
              <w:ind w:firstLine="422" w:firstLineChars="200"/>
              <w:rPr>
                <w:b/>
                <w:bCs/>
                <w:color w:val="000000"/>
                <w:szCs w:val="21"/>
              </w:rPr>
            </w:pPr>
            <w:r>
              <w:rPr>
                <w:b/>
                <w:bCs/>
                <w:color w:val="000000"/>
                <w:szCs w:val="21"/>
              </w:rPr>
              <w:t>环境质量底线：</w:t>
            </w:r>
            <w:r>
              <w:rPr>
                <w:color w:val="000000"/>
                <w:szCs w:val="21"/>
              </w:rPr>
              <w:t>水环境一般管控区；大气环境受体敏感重点管控区；农用地优先保护区/其他重点管控区/一般管控区；矿区；农产品主产区；</w:t>
            </w:r>
          </w:p>
          <w:p>
            <w:pPr>
              <w:rPr>
                <w:b/>
                <w:bCs/>
                <w:color w:val="000000"/>
                <w:szCs w:val="21"/>
              </w:rPr>
            </w:pPr>
            <w:r>
              <w:rPr>
                <w:b/>
                <w:bCs/>
                <w:color w:val="000000"/>
                <w:szCs w:val="21"/>
              </w:rPr>
              <w:t>鹅公岭侗族苗族乡：</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红线/一般生态空间；水源涵养重要区\三区三线生态红线\原生态红线\生物多样性保护功能重要区\水土流失敏感区；</w:t>
            </w:r>
          </w:p>
          <w:p>
            <w:pPr>
              <w:ind w:firstLine="422" w:firstLineChars="200"/>
              <w:rPr>
                <w:color w:val="000000"/>
                <w:szCs w:val="21"/>
              </w:rPr>
            </w:pPr>
            <w:r>
              <w:rPr>
                <w:b/>
                <w:bCs/>
                <w:color w:val="000000"/>
                <w:szCs w:val="21"/>
              </w:rPr>
              <w:t>环境质量底线：</w:t>
            </w:r>
            <w:r>
              <w:rPr>
                <w:color w:val="000000"/>
                <w:szCs w:val="21"/>
              </w:rPr>
              <w:t>水环境一般管控区；大气环境弱扩散重点管控区；农用地优先保护区/一般管控区；重点生态功能区；</w:t>
            </w:r>
          </w:p>
          <w:p>
            <w:pPr>
              <w:rPr>
                <w:b/>
                <w:bCs/>
                <w:color w:val="000000"/>
                <w:szCs w:val="21"/>
              </w:rPr>
            </w:pPr>
            <w:r>
              <w:rPr>
                <w:b/>
                <w:bCs/>
                <w:color w:val="000000"/>
                <w:szCs w:val="21"/>
              </w:rPr>
              <w:t>河口苗族乡：</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红线/一般生态空间；水源涵养重要区\三区三线生态红线\原生态红线\生物多样性保护功能重要区\水土流失敏感区；</w:t>
            </w:r>
          </w:p>
          <w:p>
            <w:pPr>
              <w:ind w:firstLine="422" w:firstLineChars="200"/>
              <w:rPr>
                <w:b/>
                <w:bCs/>
                <w:color w:val="000000"/>
                <w:szCs w:val="21"/>
              </w:rPr>
            </w:pPr>
            <w:r>
              <w:rPr>
                <w:b/>
                <w:bCs/>
                <w:color w:val="000000"/>
                <w:szCs w:val="21"/>
              </w:rPr>
              <w:t>环境质量底线：</w:t>
            </w:r>
            <w:r>
              <w:rPr>
                <w:color w:val="000000"/>
                <w:szCs w:val="21"/>
              </w:rPr>
              <w:t>水环境一般管控区；大气环境受体敏感重点管控区/大气环境弱扩散重点管控区；农用地优先保护区/其他重点管控区/一般管控区；矿区；重点生态功能区；</w:t>
            </w:r>
          </w:p>
          <w:p>
            <w:pPr>
              <w:rPr>
                <w:b/>
                <w:bCs/>
                <w:color w:val="000000"/>
                <w:szCs w:val="21"/>
              </w:rPr>
            </w:pPr>
            <w:r>
              <w:rPr>
                <w:b/>
                <w:bCs/>
                <w:color w:val="000000"/>
                <w:szCs w:val="21"/>
              </w:rPr>
              <w:t>乐安铺苗族侗族乡：</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红线/一般生态空间；水源涵养重要区\三区三线生态红线\森林公园\原生态红线\生物多样性保护功能重要区\水土流失敏感区；</w:t>
            </w:r>
          </w:p>
          <w:p>
            <w:pPr>
              <w:ind w:firstLine="422" w:firstLineChars="200"/>
              <w:rPr>
                <w:b/>
                <w:bCs/>
                <w:color w:val="000000"/>
                <w:szCs w:val="21"/>
              </w:rPr>
            </w:pPr>
            <w:r>
              <w:rPr>
                <w:b/>
                <w:bCs/>
                <w:color w:val="000000"/>
                <w:szCs w:val="21"/>
              </w:rPr>
              <w:t>环境质量底线：</w:t>
            </w:r>
            <w:r>
              <w:rPr>
                <w:color w:val="000000"/>
                <w:szCs w:val="21"/>
              </w:rPr>
              <w:t>水环境一般管控区；大气环境优先保护区/大气环境受体敏感重点管控区；湖南绥宁堡子岭省级森林公园；农用地优先保护区/其他重点管控区/一般管控区；矿区；重点生态功能区；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jc w:val="center"/>
              <w:rPr>
                <w:b/>
                <w:color w:val="000000"/>
                <w:szCs w:val="21"/>
              </w:rPr>
            </w:pPr>
            <w:r>
              <w:rPr>
                <w:b/>
                <w:color w:val="000000"/>
                <w:szCs w:val="21"/>
              </w:rPr>
              <w:t>管控维度</w:t>
            </w:r>
          </w:p>
        </w:tc>
        <w:tc>
          <w:tcPr>
            <w:tcW w:w="9643" w:type="dxa"/>
            <w:gridSpan w:val="9"/>
            <w:vAlign w:val="center"/>
          </w:tcPr>
          <w:p>
            <w:pPr>
              <w:jc w:val="center"/>
              <w:rPr>
                <w:b/>
                <w:color w:val="000000"/>
                <w:szCs w:val="21"/>
              </w:rPr>
            </w:pPr>
            <w:r>
              <w:rPr>
                <w:b/>
                <w:color w:val="000000"/>
                <w:kern w:val="0"/>
                <w:szCs w:val="21"/>
              </w:rPr>
              <w:t>管控要求</w:t>
            </w:r>
          </w:p>
        </w:tc>
        <w:tc>
          <w:tcPr>
            <w:tcW w:w="3122"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jc w:val="center"/>
              <w:rPr>
                <w:color w:val="000000"/>
                <w:szCs w:val="21"/>
              </w:rPr>
            </w:pPr>
            <w:r>
              <w:rPr>
                <w:color w:val="000000"/>
                <w:szCs w:val="21"/>
              </w:rPr>
              <w:t>空间布局约束</w:t>
            </w:r>
          </w:p>
        </w:tc>
        <w:tc>
          <w:tcPr>
            <w:tcW w:w="9643" w:type="dxa"/>
            <w:gridSpan w:val="9"/>
            <w:vAlign w:val="center"/>
          </w:tcPr>
          <w:p>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pPr>
            <w:r>
              <w:t>（1.2）严格控制耕地转为林地、草地、园地等其他农用地。</w:t>
            </w:r>
          </w:p>
          <w:p>
            <w:pPr>
              <w:tabs>
                <w:tab w:val="left" w:pos="1021"/>
              </w:tabs>
              <w:rPr>
                <w:color w:val="000000"/>
                <w:szCs w:val="21"/>
              </w:rPr>
            </w:pPr>
            <w:r>
              <w:t>（1.3）扩大高污染燃料禁燃区范围，巩固燃煤锅炉淘汰成果，严禁审批35蒸吨/小时及以下燃煤锅炉。</w:t>
            </w:r>
          </w:p>
        </w:tc>
        <w:tc>
          <w:tcPr>
            <w:tcW w:w="3122" w:type="dxa"/>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4" w:hRule="atLeast"/>
          <w:jc w:val="center"/>
        </w:trPr>
        <w:tc>
          <w:tcPr>
            <w:tcW w:w="1409" w:type="dxa"/>
            <w:vAlign w:val="center"/>
          </w:tcPr>
          <w:p>
            <w:pPr>
              <w:widowControl/>
              <w:jc w:val="center"/>
              <w:rPr>
                <w:color w:val="000000"/>
                <w:szCs w:val="21"/>
              </w:rPr>
            </w:pPr>
            <w:r>
              <w:rPr>
                <w:color w:val="000000"/>
                <w:szCs w:val="21"/>
              </w:rPr>
              <w:t>污染物排放管控</w:t>
            </w:r>
          </w:p>
        </w:tc>
        <w:tc>
          <w:tcPr>
            <w:tcW w:w="9643" w:type="dxa"/>
            <w:gridSpan w:val="9"/>
            <w:vAlign w:val="center"/>
          </w:tcPr>
          <w:p>
            <w:pPr>
              <w:tabs>
                <w:tab w:val="left" w:pos="1021"/>
              </w:tabs>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312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jc w:val="center"/>
              <w:rPr>
                <w:color w:val="000000"/>
                <w:szCs w:val="21"/>
              </w:rPr>
            </w:pPr>
            <w:r>
              <w:rPr>
                <w:color w:val="000000"/>
                <w:szCs w:val="21"/>
              </w:rPr>
              <w:t>环境风险防控</w:t>
            </w:r>
          </w:p>
        </w:tc>
        <w:tc>
          <w:tcPr>
            <w:tcW w:w="9643" w:type="dxa"/>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312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jc w:val="center"/>
              <w:rPr>
                <w:color w:val="000000"/>
                <w:szCs w:val="21"/>
              </w:rPr>
            </w:pPr>
            <w:r>
              <w:rPr>
                <w:color w:val="000000"/>
                <w:szCs w:val="21"/>
              </w:rPr>
              <w:t>资源开发效率要求</w:t>
            </w:r>
          </w:p>
        </w:tc>
        <w:tc>
          <w:tcPr>
            <w:tcW w:w="9643" w:type="dxa"/>
            <w:gridSpan w:val="9"/>
          </w:tcPr>
          <w:p>
            <w:pPr>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color w:val="000000"/>
                <w:szCs w:val="21"/>
              </w:rPr>
            </w:pPr>
            <w:r>
              <w:rPr>
                <w:color w:val="000000"/>
                <w:szCs w:val="21"/>
              </w:rPr>
              <w:t>（4.3.2）适度开发耕地后备资源，推进农用地和建设用地复垦。</w:t>
            </w:r>
          </w:p>
        </w:tc>
        <w:tc>
          <w:tcPr>
            <w:tcW w:w="3122" w:type="dxa"/>
            <w:gridSpan w:val="2"/>
            <w:vMerge w:val="continue"/>
            <w:vAlign w:val="center"/>
          </w:tcPr>
          <w:p/>
        </w:tc>
      </w:tr>
    </w:tbl>
    <w:p>
      <w:pPr>
        <w:rPr>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757"/>
        <w:gridCol w:w="434"/>
        <w:gridCol w:w="434"/>
        <w:gridCol w:w="434"/>
        <w:gridCol w:w="774"/>
        <w:gridCol w:w="1367"/>
        <w:gridCol w:w="1341"/>
        <w:gridCol w:w="970"/>
        <w:gridCol w:w="2291"/>
        <w:gridCol w:w="885"/>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Merge w:val="restart"/>
            <w:vAlign w:val="center"/>
          </w:tcPr>
          <w:p>
            <w:pPr>
              <w:widowControl/>
              <w:jc w:val="center"/>
              <w:rPr>
                <w:b/>
                <w:color w:val="000000"/>
                <w:kern w:val="0"/>
                <w:szCs w:val="21"/>
              </w:rPr>
            </w:pPr>
            <w:r>
              <w:rPr>
                <w:b/>
                <w:color w:val="000000"/>
                <w:kern w:val="0"/>
                <w:szCs w:val="21"/>
              </w:rPr>
              <w:t>环境管控单元编码</w:t>
            </w:r>
          </w:p>
        </w:tc>
        <w:tc>
          <w:tcPr>
            <w:tcW w:w="267" w:type="pct"/>
            <w:vMerge w:val="restart"/>
            <w:vAlign w:val="center"/>
          </w:tcPr>
          <w:p>
            <w:pPr>
              <w:widowControl/>
              <w:jc w:val="center"/>
              <w:rPr>
                <w:b/>
                <w:color w:val="000000"/>
                <w:kern w:val="0"/>
                <w:szCs w:val="21"/>
              </w:rPr>
            </w:pPr>
            <w:r>
              <w:rPr>
                <w:b/>
                <w:color w:val="000000"/>
                <w:kern w:val="0"/>
                <w:szCs w:val="21"/>
              </w:rPr>
              <w:t>单元名称</w:t>
            </w:r>
          </w:p>
        </w:tc>
        <w:tc>
          <w:tcPr>
            <w:tcW w:w="459" w:type="pct"/>
            <w:gridSpan w:val="3"/>
            <w:vAlign w:val="center"/>
          </w:tcPr>
          <w:p>
            <w:pPr>
              <w:widowControl/>
              <w:jc w:val="center"/>
              <w:rPr>
                <w:b/>
                <w:color w:val="000000"/>
                <w:kern w:val="0"/>
                <w:szCs w:val="21"/>
              </w:rPr>
            </w:pPr>
            <w:r>
              <w:rPr>
                <w:b/>
                <w:color w:val="000000"/>
                <w:kern w:val="0"/>
                <w:szCs w:val="21"/>
              </w:rPr>
              <w:t>行政区划</w:t>
            </w:r>
          </w:p>
        </w:tc>
        <w:tc>
          <w:tcPr>
            <w:tcW w:w="273" w:type="pct"/>
            <w:vMerge w:val="restart"/>
            <w:vAlign w:val="center"/>
          </w:tcPr>
          <w:p>
            <w:pPr>
              <w:widowControl/>
              <w:jc w:val="center"/>
              <w:rPr>
                <w:b/>
                <w:color w:val="000000"/>
                <w:kern w:val="0"/>
                <w:szCs w:val="21"/>
              </w:rPr>
            </w:pPr>
            <w:r>
              <w:rPr>
                <w:b/>
                <w:color w:val="000000"/>
                <w:kern w:val="0"/>
                <w:szCs w:val="21"/>
              </w:rPr>
              <w:t>单元分类</w:t>
            </w:r>
          </w:p>
        </w:tc>
        <w:tc>
          <w:tcPr>
            <w:tcW w:w="482"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473" w:type="pct"/>
            <w:vMerge w:val="restart"/>
            <w:vAlign w:val="center"/>
          </w:tcPr>
          <w:p>
            <w:pPr>
              <w:jc w:val="center"/>
              <w:rPr>
                <w:b/>
                <w:color w:val="000000"/>
                <w:kern w:val="0"/>
                <w:szCs w:val="21"/>
              </w:rPr>
            </w:pPr>
            <w:r>
              <w:rPr>
                <w:b/>
                <w:color w:val="000000"/>
                <w:kern w:val="0"/>
                <w:szCs w:val="21"/>
              </w:rPr>
              <w:t>涉及乡镇(街道)</w:t>
            </w:r>
          </w:p>
        </w:tc>
        <w:tc>
          <w:tcPr>
            <w:tcW w:w="342" w:type="pct"/>
            <w:vMerge w:val="restart"/>
            <w:vAlign w:val="center"/>
          </w:tcPr>
          <w:p>
            <w:pPr>
              <w:jc w:val="center"/>
              <w:rPr>
                <w:b/>
                <w:color w:val="000000"/>
                <w:kern w:val="0"/>
                <w:szCs w:val="21"/>
              </w:rPr>
            </w:pPr>
            <w:r>
              <w:rPr>
                <w:b/>
                <w:color w:val="000000"/>
                <w:kern w:val="0"/>
                <w:szCs w:val="21"/>
              </w:rPr>
              <w:t>主体功能定位</w:t>
            </w:r>
          </w:p>
        </w:tc>
        <w:tc>
          <w:tcPr>
            <w:tcW w:w="1120" w:type="pct"/>
            <w:gridSpan w:val="2"/>
            <w:vMerge w:val="restart"/>
            <w:vAlign w:val="center"/>
          </w:tcPr>
          <w:p>
            <w:pPr>
              <w:jc w:val="center"/>
              <w:rPr>
                <w:b/>
                <w:color w:val="000000"/>
                <w:kern w:val="0"/>
                <w:szCs w:val="21"/>
              </w:rPr>
            </w:pPr>
            <w:r>
              <w:rPr>
                <w:b/>
                <w:color w:val="000000"/>
                <w:kern w:val="0"/>
                <w:szCs w:val="21"/>
              </w:rPr>
              <w:t>经济产业布局</w:t>
            </w:r>
          </w:p>
        </w:tc>
        <w:tc>
          <w:tcPr>
            <w:tcW w:w="970"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3" w:type="pct"/>
            <w:vMerge w:val="continue"/>
            <w:vAlign w:val="center"/>
          </w:tcPr>
          <w:p/>
        </w:tc>
        <w:tc>
          <w:tcPr>
            <w:tcW w:w="267" w:type="pct"/>
            <w:vMerge w:val="continue"/>
            <w:vAlign w:val="center"/>
          </w:tcPr>
          <w:p/>
        </w:tc>
        <w:tc>
          <w:tcPr>
            <w:tcW w:w="153" w:type="pct"/>
            <w:vAlign w:val="center"/>
          </w:tcPr>
          <w:p>
            <w:pPr>
              <w:jc w:val="center"/>
              <w:rPr>
                <w:b/>
                <w:color w:val="000000"/>
                <w:szCs w:val="21"/>
              </w:rPr>
            </w:pPr>
            <w:r>
              <w:rPr>
                <w:b/>
                <w:color w:val="000000"/>
                <w:szCs w:val="21"/>
              </w:rPr>
              <w:t>省</w:t>
            </w:r>
          </w:p>
        </w:tc>
        <w:tc>
          <w:tcPr>
            <w:tcW w:w="153" w:type="pct"/>
            <w:vAlign w:val="center"/>
          </w:tcPr>
          <w:p>
            <w:pPr>
              <w:jc w:val="center"/>
              <w:rPr>
                <w:b/>
                <w:color w:val="000000"/>
                <w:szCs w:val="21"/>
              </w:rPr>
            </w:pPr>
            <w:r>
              <w:rPr>
                <w:b/>
                <w:color w:val="000000"/>
                <w:szCs w:val="21"/>
              </w:rPr>
              <w:t>市</w:t>
            </w:r>
          </w:p>
        </w:tc>
        <w:tc>
          <w:tcPr>
            <w:tcW w:w="153" w:type="pct"/>
            <w:vAlign w:val="center"/>
          </w:tcPr>
          <w:p>
            <w:pPr>
              <w:jc w:val="center"/>
              <w:rPr>
                <w:b/>
                <w:color w:val="000000"/>
                <w:szCs w:val="21"/>
              </w:rPr>
            </w:pPr>
            <w:r>
              <w:rPr>
                <w:b/>
                <w:color w:val="000000"/>
                <w:szCs w:val="21"/>
              </w:rPr>
              <w:t>县</w:t>
            </w:r>
          </w:p>
        </w:tc>
        <w:tc>
          <w:tcPr>
            <w:tcW w:w="273" w:type="pct"/>
            <w:vMerge w:val="continue"/>
            <w:vAlign w:val="center"/>
          </w:tcPr>
          <w:p/>
        </w:tc>
        <w:tc>
          <w:tcPr>
            <w:tcW w:w="482" w:type="pct"/>
            <w:vMerge w:val="continue"/>
            <w:vAlign w:val="center"/>
          </w:tcPr>
          <w:p/>
        </w:tc>
        <w:tc>
          <w:tcPr>
            <w:tcW w:w="473" w:type="pct"/>
            <w:vMerge w:val="continue"/>
            <w:vAlign w:val="center"/>
          </w:tcPr>
          <w:p/>
        </w:tc>
        <w:tc>
          <w:tcPr>
            <w:tcW w:w="342" w:type="pct"/>
            <w:vMerge w:val="continue"/>
            <w:vAlign w:val="center"/>
          </w:tcPr>
          <w:p/>
        </w:tc>
        <w:tc>
          <w:tcPr>
            <w:tcW w:w="1120" w:type="pct"/>
            <w:gridSpan w:val="2"/>
            <w:vMerge w:val="continue"/>
            <w:vAlign w:val="center"/>
          </w:tcPr>
          <w:p/>
        </w:tc>
        <w:tc>
          <w:tcPr>
            <w:tcW w:w="970"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jc w:val="center"/>
              <w:rPr>
                <w:color w:val="000000"/>
                <w:szCs w:val="21"/>
              </w:rPr>
            </w:pPr>
            <w:r>
              <w:rPr>
                <w:color w:val="000000"/>
                <w:szCs w:val="21"/>
              </w:rPr>
              <w:t>ZH43052730001</w:t>
            </w:r>
          </w:p>
        </w:tc>
        <w:tc>
          <w:tcPr>
            <w:tcW w:w="267" w:type="pct"/>
            <w:vAlign w:val="center"/>
          </w:tcPr>
          <w:p>
            <w:pPr>
              <w:jc w:val="center"/>
              <w:rPr>
                <w:color w:val="000000"/>
                <w:szCs w:val="21"/>
              </w:rPr>
            </w:pPr>
            <w:r>
              <w:rPr>
                <w:color w:val="000000"/>
                <w:szCs w:val="21"/>
              </w:rPr>
              <w:t>红岩镇/唐家坊镇</w:t>
            </w:r>
          </w:p>
        </w:tc>
        <w:tc>
          <w:tcPr>
            <w:tcW w:w="153" w:type="pct"/>
            <w:vAlign w:val="center"/>
          </w:tcPr>
          <w:p>
            <w:pPr>
              <w:jc w:val="center"/>
              <w:rPr>
                <w:color w:val="000000"/>
                <w:szCs w:val="21"/>
              </w:rPr>
            </w:pPr>
            <w:r>
              <w:rPr>
                <w:color w:val="000000"/>
                <w:szCs w:val="21"/>
              </w:rPr>
              <w:t>湖南省</w:t>
            </w:r>
          </w:p>
        </w:tc>
        <w:tc>
          <w:tcPr>
            <w:tcW w:w="153" w:type="pct"/>
            <w:vAlign w:val="center"/>
          </w:tcPr>
          <w:p>
            <w:pPr>
              <w:jc w:val="center"/>
              <w:rPr>
                <w:color w:val="000000"/>
                <w:szCs w:val="21"/>
              </w:rPr>
            </w:pPr>
            <w:r>
              <w:rPr>
                <w:color w:val="000000"/>
                <w:szCs w:val="21"/>
              </w:rPr>
              <w:t>邵阳市</w:t>
            </w:r>
          </w:p>
        </w:tc>
        <w:tc>
          <w:tcPr>
            <w:tcW w:w="153" w:type="pct"/>
            <w:vAlign w:val="center"/>
          </w:tcPr>
          <w:p>
            <w:pPr>
              <w:jc w:val="center"/>
              <w:rPr>
                <w:color w:val="000000"/>
                <w:szCs w:val="21"/>
              </w:rPr>
            </w:pPr>
            <w:r>
              <w:rPr>
                <w:color w:val="000000"/>
                <w:szCs w:val="21"/>
              </w:rPr>
              <w:t>绥宁县</w:t>
            </w:r>
          </w:p>
        </w:tc>
        <w:tc>
          <w:tcPr>
            <w:tcW w:w="273" w:type="pct"/>
            <w:vAlign w:val="center"/>
          </w:tcPr>
          <w:p>
            <w:pPr>
              <w:jc w:val="center"/>
              <w:rPr>
                <w:color w:val="000000"/>
                <w:szCs w:val="21"/>
              </w:rPr>
            </w:pPr>
            <w:r>
              <w:rPr>
                <w:color w:val="000000"/>
                <w:szCs w:val="21"/>
              </w:rPr>
              <w:t>一般管控单元</w:t>
            </w:r>
          </w:p>
        </w:tc>
        <w:tc>
          <w:tcPr>
            <w:tcW w:w="482" w:type="pct"/>
            <w:vAlign w:val="center"/>
          </w:tcPr>
          <w:p>
            <w:pPr>
              <w:jc w:val="center"/>
              <w:rPr>
                <w:color w:val="000000"/>
                <w:szCs w:val="21"/>
              </w:rPr>
            </w:pPr>
            <w:r>
              <w:rPr>
                <w:color w:val="000000"/>
                <w:szCs w:val="21"/>
              </w:rPr>
              <w:t>224.54</w:t>
            </w:r>
          </w:p>
        </w:tc>
        <w:tc>
          <w:tcPr>
            <w:tcW w:w="473" w:type="pct"/>
            <w:vAlign w:val="center"/>
          </w:tcPr>
          <w:p>
            <w:pPr>
              <w:jc w:val="center"/>
              <w:rPr>
                <w:color w:val="000000"/>
                <w:szCs w:val="21"/>
              </w:rPr>
            </w:pPr>
            <w:r>
              <w:rPr>
                <w:color w:val="000000"/>
                <w:szCs w:val="21"/>
              </w:rPr>
              <w:t>红岩镇/唐家坊镇</w:t>
            </w:r>
          </w:p>
        </w:tc>
        <w:tc>
          <w:tcPr>
            <w:tcW w:w="342" w:type="pct"/>
            <w:vAlign w:val="center"/>
          </w:tcPr>
          <w:p>
            <w:pPr>
              <w:jc w:val="center"/>
              <w:rPr>
                <w:strike/>
                <w:color w:val="000000"/>
                <w:szCs w:val="21"/>
              </w:rPr>
            </w:pPr>
            <w:r>
              <w:rPr>
                <w:b/>
                <w:bCs/>
                <w:color w:val="000000"/>
                <w:szCs w:val="21"/>
              </w:rPr>
              <w:t>红岩镇、唐家坊镇：</w:t>
            </w:r>
            <w:r>
              <w:rPr>
                <w:color w:val="000000"/>
                <w:szCs w:val="21"/>
              </w:rPr>
              <w:t>重点生态功能区</w:t>
            </w:r>
          </w:p>
        </w:tc>
        <w:tc>
          <w:tcPr>
            <w:tcW w:w="1120" w:type="pct"/>
            <w:gridSpan w:val="2"/>
            <w:vAlign w:val="center"/>
          </w:tcPr>
          <w:p>
            <w:pPr>
              <w:widowControl/>
              <w:rPr>
                <w:color w:val="000000"/>
                <w:szCs w:val="21"/>
              </w:rPr>
            </w:pPr>
            <w:r>
              <w:rPr>
                <w:b/>
                <w:bCs/>
                <w:color w:val="000000"/>
                <w:szCs w:val="21"/>
              </w:rPr>
              <w:t>红岩镇：</w:t>
            </w:r>
            <w:r>
              <w:rPr>
                <w:color w:val="000000"/>
                <w:szCs w:val="21"/>
              </w:rPr>
              <w:t>农业种植、畜禽养殖、农副产品加工、食品加工、休闲旅游、竹木加工；</w:t>
            </w:r>
          </w:p>
          <w:p>
            <w:pPr>
              <w:widowControl/>
              <w:rPr>
                <w:b/>
                <w:bCs/>
                <w:color w:val="000000"/>
                <w:szCs w:val="21"/>
              </w:rPr>
            </w:pPr>
            <w:r>
              <w:rPr>
                <w:b/>
                <w:bCs/>
                <w:color w:val="000000"/>
                <w:szCs w:val="21"/>
              </w:rPr>
              <w:t>唐家坊镇：</w:t>
            </w:r>
            <w:r>
              <w:rPr>
                <w:color w:val="000000"/>
                <w:szCs w:val="21"/>
              </w:rPr>
              <w:t>农业种植、畜禽养殖、农副产品加工、食品加工、休闲旅游。</w:t>
            </w:r>
          </w:p>
        </w:tc>
        <w:tc>
          <w:tcPr>
            <w:tcW w:w="970" w:type="pct"/>
            <w:vAlign w:val="center"/>
          </w:tcPr>
          <w:p>
            <w:pPr>
              <w:widowControl/>
              <w:rPr>
                <w:b/>
                <w:color w:val="000000"/>
                <w:kern w:val="0"/>
                <w:szCs w:val="21"/>
              </w:rPr>
            </w:pPr>
            <w:r>
              <w:rPr>
                <w:b/>
                <w:color w:val="000000"/>
                <w:kern w:val="0"/>
                <w:szCs w:val="21"/>
              </w:rPr>
              <w:t>主要环境问题：</w:t>
            </w:r>
            <w:r>
              <w:rPr>
                <w:bCs/>
                <w:color w:val="000000"/>
                <w:kern w:val="0"/>
                <w:szCs w:val="21"/>
              </w:rPr>
              <w:t>无。</w:t>
            </w:r>
          </w:p>
          <w:p>
            <w:pPr>
              <w:widowControl/>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widowControl/>
              <w:jc w:val="center"/>
              <w:rPr>
                <w:b/>
                <w:color w:val="000000"/>
                <w:kern w:val="0"/>
                <w:szCs w:val="21"/>
              </w:rPr>
            </w:pPr>
            <w:r>
              <w:rPr>
                <w:b/>
                <w:color w:val="000000"/>
                <w:kern w:val="0"/>
                <w:szCs w:val="21"/>
              </w:rPr>
              <w:t>主要属性</w:t>
            </w:r>
          </w:p>
        </w:tc>
        <w:tc>
          <w:tcPr>
            <w:tcW w:w="4386" w:type="pct"/>
            <w:gridSpan w:val="11"/>
            <w:vAlign w:val="center"/>
          </w:tcPr>
          <w:p>
            <w:pPr>
              <w:rPr>
                <w:b/>
                <w:bCs/>
                <w:color w:val="000000"/>
                <w:szCs w:val="21"/>
              </w:rPr>
            </w:pPr>
            <w:r>
              <w:rPr>
                <w:b/>
                <w:bCs/>
                <w:color w:val="000000"/>
                <w:szCs w:val="21"/>
              </w:rPr>
              <w:t>红岩镇：</w:t>
            </w:r>
          </w:p>
          <w:p>
            <w:pPr>
              <w:ind w:firstLine="422" w:firstLineChars="200"/>
              <w:rPr>
                <w:b/>
                <w:bCs/>
                <w:color w:val="000000"/>
                <w:szCs w:val="21"/>
              </w:rPr>
            </w:pPr>
            <w:r>
              <w:rPr>
                <w:b/>
                <w:bCs/>
                <w:color w:val="000000"/>
                <w:szCs w:val="21"/>
              </w:rPr>
              <w:t>生态红线：</w:t>
            </w:r>
            <w:r>
              <w:rPr>
                <w:color w:val="000000"/>
                <w:szCs w:val="21"/>
              </w:rPr>
              <w:t>红线/一般生态空间；水源涵养重要区\三区三线生态红线\原生态红线\水土保持功能重要区\生物多样性保护功能重要区\水土流失敏感区\风景名胜区；</w:t>
            </w:r>
          </w:p>
          <w:p>
            <w:pPr>
              <w:ind w:firstLine="422" w:firstLineChars="200"/>
              <w:rPr>
                <w:b/>
                <w:bCs/>
                <w:color w:val="000000"/>
                <w:szCs w:val="21"/>
              </w:rPr>
            </w:pPr>
            <w:r>
              <w:rPr>
                <w:b/>
                <w:bCs/>
                <w:color w:val="000000"/>
                <w:szCs w:val="21"/>
              </w:rPr>
              <w:t>环境质量底线：</w:t>
            </w:r>
            <w:r>
              <w:rPr>
                <w:color w:val="000000"/>
                <w:szCs w:val="21"/>
              </w:rPr>
              <w:t>水环境一般管控区；大气环境优先保护区/大气环境受体敏感重点管控区/大气环境弱扩散重点管控区；蔡锷故里风景名胜区；农用地优先保护区/其他重点管控区/一般管控区；矿区；重点生态功能区；</w:t>
            </w:r>
          </w:p>
          <w:p>
            <w:pPr>
              <w:rPr>
                <w:b/>
                <w:bCs/>
                <w:color w:val="000000"/>
                <w:szCs w:val="21"/>
              </w:rPr>
            </w:pPr>
            <w:r>
              <w:rPr>
                <w:b/>
                <w:bCs/>
                <w:color w:val="000000"/>
                <w:szCs w:val="21"/>
              </w:rPr>
              <w:t>唐家坊镇：</w:t>
            </w:r>
          </w:p>
          <w:p>
            <w:pPr>
              <w:ind w:firstLine="422" w:firstLineChars="200"/>
              <w:rPr>
                <w:b/>
                <w:bCs/>
                <w:color w:val="000000"/>
                <w:szCs w:val="21"/>
              </w:rPr>
            </w:pPr>
            <w:r>
              <w:rPr>
                <w:b/>
                <w:bCs/>
                <w:color w:val="000000"/>
                <w:szCs w:val="21"/>
              </w:rPr>
              <w:t>生态红线：</w:t>
            </w:r>
            <w:r>
              <w:rPr>
                <w:color w:val="000000"/>
                <w:szCs w:val="21"/>
              </w:rPr>
              <w:t>红线/一般生态空间；水水源涵养重要区\三区三线生态红线\原生态红线\生物多样性保护功能重要区\水土流失敏感区；</w:t>
            </w:r>
          </w:p>
          <w:p>
            <w:pPr>
              <w:ind w:firstLine="422" w:firstLineChars="200"/>
              <w:rPr>
                <w:b/>
                <w:bCs/>
                <w:color w:val="000000"/>
                <w:szCs w:val="21"/>
              </w:rPr>
            </w:pPr>
            <w:r>
              <w:rPr>
                <w:b/>
                <w:bCs/>
                <w:color w:val="000000"/>
                <w:szCs w:val="21"/>
              </w:rPr>
              <w:t>环境质量底线：</w:t>
            </w:r>
            <w:r>
              <w:rPr>
                <w:color w:val="000000"/>
                <w:szCs w:val="21"/>
              </w:rPr>
              <w:t>水环境优先保护区/水环境一般管控区；源头水；蓼水源头水域（七坡山至阳镇武阳村口）；大气环境受体敏感重点管控区；农用地优先保护区/一般管控区；重点生态功能区；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widowControl/>
              <w:jc w:val="center"/>
              <w:rPr>
                <w:b/>
                <w:color w:val="000000"/>
                <w:szCs w:val="21"/>
              </w:rPr>
            </w:pPr>
            <w:r>
              <w:rPr>
                <w:b/>
                <w:color w:val="000000"/>
                <w:szCs w:val="21"/>
              </w:rPr>
              <w:t>管控维度</w:t>
            </w:r>
          </w:p>
        </w:tc>
        <w:tc>
          <w:tcPr>
            <w:tcW w:w="3104" w:type="pct"/>
            <w:gridSpan w:val="9"/>
            <w:vAlign w:val="center"/>
          </w:tcPr>
          <w:p>
            <w:pPr>
              <w:jc w:val="center"/>
              <w:rPr>
                <w:b/>
                <w:color w:val="000000"/>
                <w:szCs w:val="21"/>
              </w:rPr>
            </w:pPr>
            <w:r>
              <w:rPr>
                <w:b/>
                <w:color w:val="000000"/>
                <w:kern w:val="0"/>
                <w:szCs w:val="21"/>
              </w:rPr>
              <w:t>管控要求</w:t>
            </w:r>
          </w:p>
        </w:tc>
        <w:tc>
          <w:tcPr>
            <w:tcW w:w="1282" w:type="pct"/>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widowControl/>
              <w:jc w:val="center"/>
              <w:rPr>
                <w:color w:val="000000"/>
                <w:szCs w:val="21"/>
              </w:rPr>
            </w:pPr>
            <w:r>
              <w:rPr>
                <w:color w:val="000000"/>
                <w:szCs w:val="21"/>
              </w:rPr>
              <w:t>空间布局约束</w:t>
            </w:r>
          </w:p>
        </w:tc>
        <w:tc>
          <w:tcPr>
            <w:tcW w:w="3104" w:type="pct"/>
            <w:gridSpan w:val="9"/>
            <w:vAlign w:val="center"/>
          </w:tcPr>
          <w:p>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pPr>
            <w:r>
              <w:t>（1.2）严格控制耕地转为林地、草地、园地等其他农用地。</w:t>
            </w:r>
          </w:p>
          <w:p>
            <w:pPr>
              <w:tabs>
                <w:tab w:val="left" w:pos="1021"/>
              </w:tabs>
            </w:pPr>
            <w:r>
              <w:t>（1.3）扩大高污染燃料禁燃区范围，巩固燃煤锅炉淘汰成果，严禁审批35蒸吨/小时及以下燃煤锅炉。</w:t>
            </w:r>
          </w:p>
        </w:tc>
        <w:tc>
          <w:tcPr>
            <w:tcW w:w="1282" w:type="pct"/>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widowControl/>
              <w:jc w:val="center"/>
              <w:rPr>
                <w:color w:val="000000"/>
                <w:szCs w:val="21"/>
              </w:rPr>
            </w:pPr>
            <w:r>
              <w:rPr>
                <w:color w:val="000000"/>
                <w:szCs w:val="21"/>
              </w:rPr>
              <w:t>污染物排放管控</w:t>
            </w:r>
          </w:p>
        </w:tc>
        <w:tc>
          <w:tcPr>
            <w:tcW w:w="3104" w:type="pct"/>
            <w:gridSpan w:val="9"/>
            <w:vAlign w:val="center"/>
          </w:tcPr>
          <w:p>
            <w:pPr>
              <w:tabs>
                <w:tab w:val="left" w:pos="1021"/>
              </w:tabs>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1282"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widowControl/>
              <w:jc w:val="center"/>
              <w:rPr>
                <w:color w:val="000000"/>
                <w:szCs w:val="21"/>
              </w:rPr>
            </w:pPr>
            <w:r>
              <w:rPr>
                <w:color w:val="000000"/>
                <w:szCs w:val="21"/>
              </w:rPr>
              <w:t>环境风险防控</w:t>
            </w:r>
          </w:p>
        </w:tc>
        <w:tc>
          <w:tcPr>
            <w:tcW w:w="3104" w:type="pct"/>
            <w:gridSpan w:val="9"/>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1282"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pPr>
              <w:widowControl/>
              <w:jc w:val="center"/>
              <w:rPr>
                <w:color w:val="000000"/>
                <w:szCs w:val="21"/>
              </w:rPr>
            </w:pPr>
            <w:r>
              <w:rPr>
                <w:color w:val="000000"/>
                <w:szCs w:val="21"/>
              </w:rPr>
              <w:t>资源开发效率要求</w:t>
            </w:r>
          </w:p>
        </w:tc>
        <w:tc>
          <w:tcPr>
            <w:tcW w:w="3104" w:type="pct"/>
            <w:gridSpan w:val="9"/>
          </w:tcPr>
          <w:p>
            <w:pPr>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color w:val="000000"/>
                <w:szCs w:val="21"/>
              </w:rPr>
            </w:pPr>
            <w:r>
              <w:rPr>
                <w:color w:val="000000"/>
                <w:szCs w:val="21"/>
              </w:rPr>
              <w:t>（4.3.2）适度开发耕地后备资源，推进农用地和建设用地复垦。</w:t>
            </w:r>
          </w:p>
        </w:tc>
        <w:tc>
          <w:tcPr>
            <w:tcW w:w="1282" w:type="pct"/>
            <w:gridSpan w:val="2"/>
            <w:vMerge w:val="continue"/>
            <w:vAlign w:val="center"/>
          </w:tcPr>
          <w:p/>
        </w:tc>
      </w:tr>
    </w:tbl>
    <w:p>
      <w:pPr>
        <w:widowControl/>
        <w:jc w:val="left"/>
        <w:rPr>
          <w:color w:val="000000"/>
          <w:szCs w:val="21"/>
        </w:rPr>
      </w:pPr>
      <w:r>
        <w:rPr>
          <w:color w:val="000000"/>
          <w:szCs w:val="21"/>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804"/>
        <w:gridCol w:w="427"/>
        <w:gridCol w:w="427"/>
        <w:gridCol w:w="427"/>
        <w:gridCol w:w="971"/>
        <w:gridCol w:w="946"/>
        <w:gridCol w:w="1091"/>
        <w:gridCol w:w="3708"/>
        <w:gridCol w:w="689"/>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widowControl/>
              <w:jc w:val="center"/>
              <w:rPr>
                <w:b/>
                <w:color w:val="000000"/>
                <w:kern w:val="0"/>
                <w:szCs w:val="21"/>
              </w:rPr>
            </w:pPr>
            <w:r>
              <w:rPr>
                <w:b/>
                <w:color w:val="000000"/>
                <w:kern w:val="0"/>
                <w:szCs w:val="21"/>
              </w:rPr>
              <w:t>环境管控单元编码</w:t>
            </w:r>
          </w:p>
        </w:tc>
        <w:tc>
          <w:tcPr>
            <w:tcW w:w="284" w:type="pct"/>
            <w:vMerge w:val="restart"/>
            <w:vAlign w:val="center"/>
          </w:tcPr>
          <w:p>
            <w:pPr>
              <w:widowControl/>
              <w:jc w:val="center"/>
              <w:rPr>
                <w:b/>
                <w:color w:val="000000"/>
                <w:kern w:val="0"/>
                <w:szCs w:val="21"/>
              </w:rPr>
            </w:pPr>
            <w:r>
              <w:rPr>
                <w:b/>
                <w:color w:val="000000"/>
                <w:kern w:val="0"/>
                <w:szCs w:val="21"/>
              </w:rPr>
              <w:t>单元名称</w:t>
            </w:r>
          </w:p>
        </w:tc>
        <w:tc>
          <w:tcPr>
            <w:tcW w:w="451" w:type="pct"/>
            <w:gridSpan w:val="3"/>
            <w:vAlign w:val="center"/>
          </w:tcPr>
          <w:p>
            <w:pPr>
              <w:widowControl/>
              <w:jc w:val="center"/>
              <w:rPr>
                <w:b/>
                <w:color w:val="000000"/>
                <w:kern w:val="0"/>
                <w:szCs w:val="21"/>
              </w:rPr>
            </w:pPr>
            <w:r>
              <w:rPr>
                <w:b/>
                <w:color w:val="000000"/>
                <w:kern w:val="0"/>
                <w:szCs w:val="21"/>
              </w:rPr>
              <w:t>行政区划</w:t>
            </w:r>
          </w:p>
        </w:tc>
        <w:tc>
          <w:tcPr>
            <w:tcW w:w="343" w:type="pct"/>
            <w:vMerge w:val="restart"/>
            <w:vAlign w:val="center"/>
          </w:tcPr>
          <w:p>
            <w:pPr>
              <w:widowControl/>
              <w:jc w:val="center"/>
              <w:rPr>
                <w:b/>
                <w:color w:val="000000"/>
                <w:kern w:val="0"/>
                <w:szCs w:val="21"/>
              </w:rPr>
            </w:pPr>
            <w:r>
              <w:rPr>
                <w:b/>
                <w:color w:val="000000"/>
                <w:kern w:val="0"/>
                <w:szCs w:val="21"/>
              </w:rPr>
              <w:t>单元分类</w:t>
            </w:r>
          </w:p>
        </w:tc>
        <w:tc>
          <w:tcPr>
            <w:tcW w:w="334" w:type="pct"/>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85" w:type="pct"/>
            <w:vMerge w:val="restart"/>
            <w:vAlign w:val="center"/>
          </w:tcPr>
          <w:p>
            <w:pPr>
              <w:jc w:val="center"/>
              <w:rPr>
                <w:b/>
                <w:color w:val="000000"/>
                <w:kern w:val="0"/>
                <w:szCs w:val="21"/>
              </w:rPr>
            </w:pPr>
            <w:r>
              <w:rPr>
                <w:b/>
                <w:color w:val="000000"/>
                <w:kern w:val="0"/>
                <w:szCs w:val="21"/>
              </w:rPr>
              <w:t>涉及乡镇(街道)</w:t>
            </w:r>
          </w:p>
        </w:tc>
        <w:tc>
          <w:tcPr>
            <w:tcW w:w="1304" w:type="pct"/>
            <w:vMerge w:val="restart"/>
            <w:vAlign w:val="center"/>
          </w:tcPr>
          <w:p>
            <w:pPr>
              <w:jc w:val="center"/>
              <w:rPr>
                <w:b/>
                <w:color w:val="000000"/>
                <w:kern w:val="0"/>
                <w:szCs w:val="21"/>
              </w:rPr>
            </w:pPr>
            <w:r>
              <w:rPr>
                <w:b/>
                <w:color w:val="000000"/>
                <w:kern w:val="0"/>
                <w:szCs w:val="21"/>
              </w:rPr>
              <w:t>主体功能定位</w:t>
            </w:r>
          </w:p>
        </w:tc>
        <w:tc>
          <w:tcPr>
            <w:tcW w:w="243" w:type="pct"/>
            <w:vMerge w:val="restart"/>
            <w:vAlign w:val="center"/>
          </w:tcPr>
          <w:p>
            <w:pPr>
              <w:jc w:val="center"/>
              <w:rPr>
                <w:b/>
                <w:color w:val="000000"/>
                <w:kern w:val="0"/>
                <w:szCs w:val="21"/>
              </w:rPr>
            </w:pPr>
            <w:r>
              <w:rPr>
                <w:b/>
                <w:color w:val="000000"/>
                <w:kern w:val="0"/>
                <w:szCs w:val="21"/>
              </w:rPr>
              <w:t>经济产业布局</w:t>
            </w:r>
          </w:p>
        </w:tc>
        <w:tc>
          <w:tcPr>
            <w:tcW w:w="1068" w:type="pct"/>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pct"/>
            <w:vMerge w:val="continue"/>
            <w:vAlign w:val="center"/>
          </w:tcPr>
          <w:p/>
        </w:tc>
        <w:tc>
          <w:tcPr>
            <w:tcW w:w="284" w:type="pct"/>
            <w:vMerge w:val="continue"/>
            <w:vAlign w:val="center"/>
          </w:tcPr>
          <w:p/>
        </w:tc>
        <w:tc>
          <w:tcPr>
            <w:tcW w:w="150" w:type="pct"/>
            <w:vAlign w:val="center"/>
          </w:tcPr>
          <w:p>
            <w:pPr>
              <w:jc w:val="center"/>
              <w:rPr>
                <w:b/>
                <w:color w:val="000000"/>
                <w:szCs w:val="21"/>
              </w:rPr>
            </w:pPr>
            <w:r>
              <w:rPr>
                <w:b/>
                <w:color w:val="000000"/>
                <w:szCs w:val="21"/>
              </w:rPr>
              <w:t>省</w:t>
            </w:r>
          </w:p>
        </w:tc>
        <w:tc>
          <w:tcPr>
            <w:tcW w:w="150" w:type="pct"/>
            <w:vAlign w:val="center"/>
          </w:tcPr>
          <w:p>
            <w:pPr>
              <w:jc w:val="center"/>
              <w:rPr>
                <w:b/>
                <w:color w:val="000000"/>
                <w:szCs w:val="21"/>
              </w:rPr>
            </w:pPr>
            <w:r>
              <w:rPr>
                <w:b/>
                <w:color w:val="000000"/>
                <w:szCs w:val="21"/>
              </w:rPr>
              <w:t>市</w:t>
            </w:r>
          </w:p>
        </w:tc>
        <w:tc>
          <w:tcPr>
            <w:tcW w:w="150" w:type="pct"/>
            <w:vAlign w:val="center"/>
          </w:tcPr>
          <w:p>
            <w:pPr>
              <w:jc w:val="center"/>
              <w:rPr>
                <w:b/>
                <w:color w:val="000000"/>
                <w:szCs w:val="21"/>
              </w:rPr>
            </w:pPr>
            <w:r>
              <w:rPr>
                <w:b/>
                <w:color w:val="000000"/>
                <w:szCs w:val="21"/>
              </w:rPr>
              <w:t>县</w:t>
            </w:r>
          </w:p>
        </w:tc>
        <w:tc>
          <w:tcPr>
            <w:tcW w:w="343" w:type="pct"/>
            <w:vMerge w:val="continue"/>
            <w:vAlign w:val="center"/>
          </w:tcPr>
          <w:p/>
        </w:tc>
        <w:tc>
          <w:tcPr>
            <w:tcW w:w="334" w:type="pct"/>
            <w:vMerge w:val="continue"/>
            <w:vAlign w:val="center"/>
          </w:tcPr>
          <w:p/>
        </w:tc>
        <w:tc>
          <w:tcPr>
            <w:tcW w:w="385" w:type="pct"/>
            <w:vMerge w:val="continue"/>
            <w:vAlign w:val="center"/>
          </w:tcPr>
          <w:p/>
        </w:tc>
        <w:tc>
          <w:tcPr>
            <w:tcW w:w="1304" w:type="pct"/>
            <w:vMerge w:val="continue"/>
            <w:vAlign w:val="center"/>
          </w:tcPr>
          <w:p/>
        </w:tc>
        <w:tc>
          <w:tcPr>
            <w:tcW w:w="243" w:type="pct"/>
            <w:vMerge w:val="continue"/>
            <w:vAlign w:val="center"/>
          </w:tcPr>
          <w:p/>
        </w:tc>
        <w:tc>
          <w:tcPr>
            <w:tcW w:w="1068"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jc w:val="center"/>
              <w:rPr>
                <w:color w:val="000000"/>
                <w:szCs w:val="21"/>
              </w:rPr>
            </w:pPr>
            <w:r>
              <w:rPr>
                <w:color w:val="000000"/>
                <w:szCs w:val="21"/>
              </w:rPr>
              <w:t>ZH43052730003</w:t>
            </w:r>
          </w:p>
        </w:tc>
        <w:tc>
          <w:tcPr>
            <w:tcW w:w="284" w:type="pct"/>
            <w:vAlign w:val="center"/>
          </w:tcPr>
          <w:p>
            <w:pPr>
              <w:jc w:val="center"/>
              <w:rPr>
                <w:color w:val="000000"/>
                <w:szCs w:val="21"/>
              </w:rPr>
            </w:pPr>
            <w:r>
              <w:rPr>
                <w:color w:val="000000"/>
                <w:szCs w:val="21"/>
              </w:rPr>
              <w:t>长铺子苗族侗族乡</w:t>
            </w:r>
          </w:p>
        </w:tc>
        <w:tc>
          <w:tcPr>
            <w:tcW w:w="150" w:type="pct"/>
            <w:vAlign w:val="center"/>
          </w:tcPr>
          <w:p>
            <w:pPr>
              <w:jc w:val="center"/>
              <w:rPr>
                <w:color w:val="000000"/>
                <w:szCs w:val="21"/>
              </w:rPr>
            </w:pPr>
            <w:r>
              <w:rPr>
                <w:color w:val="000000"/>
                <w:szCs w:val="21"/>
              </w:rPr>
              <w:t>湖南省</w:t>
            </w:r>
          </w:p>
        </w:tc>
        <w:tc>
          <w:tcPr>
            <w:tcW w:w="150" w:type="pct"/>
            <w:vAlign w:val="center"/>
          </w:tcPr>
          <w:p>
            <w:pPr>
              <w:jc w:val="center"/>
              <w:rPr>
                <w:color w:val="000000"/>
                <w:szCs w:val="21"/>
              </w:rPr>
            </w:pPr>
            <w:r>
              <w:rPr>
                <w:color w:val="000000"/>
                <w:szCs w:val="21"/>
              </w:rPr>
              <w:t>邵阳市</w:t>
            </w:r>
          </w:p>
        </w:tc>
        <w:tc>
          <w:tcPr>
            <w:tcW w:w="150" w:type="pct"/>
            <w:vAlign w:val="center"/>
          </w:tcPr>
          <w:p>
            <w:pPr>
              <w:jc w:val="center"/>
              <w:rPr>
                <w:color w:val="000000"/>
                <w:szCs w:val="21"/>
              </w:rPr>
            </w:pPr>
            <w:r>
              <w:rPr>
                <w:color w:val="000000"/>
                <w:szCs w:val="21"/>
              </w:rPr>
              <w:t>绥宁县</w:t>
            </w:r>
          </w:p>
        </w:tc>
        <w:tc>
          <w:tcPr>
            <w:tcW w:w="343" w:type="pct"/>
            <w:vAlign w:val="center"/>
          </w:tcPr>
          <w:p>
            <w:pPr>
              <w:jc w:val="center"/>
              <w:rPr>
                <w:color w:val="000000"/>
                <w:szCs w:val="21"/>
              </w:rPr>
            </w:pPr>
            <w:r>
              <w:rPr>
                <w:color w:val="000000"/>
                <w:szCs w:val="21"/>
              </w:rPr>
              <w:t>一般管控单元</w:t>
            </w:r>
          </w:p>
        </w:tc>
        <w:tc>
          <w:tcPr>
            <w:tcW w:w="334" w:type="pct"/>
            <w:vAlign w:val="center"/>
          </w:tcPr>
          <w:p>
            <w:pPr>
              <w:jc w:val="center"/>
              <w:rPr>
                <w:color w:val="000000"/>
                <w:szCs w:val="21"/>
              </w:rPr>
            </w:pPr>
            <w:r>
              <w:rPr>
                <w:color w:val="000000"/>
                <w:szCs w:val="21"/>
              </w:rPr>
              <w:t>502.27</w:t>
            </w:r>
          </w:p>
        </w:tc>
        <w:tc>
          <w:tcPr>
            <w:tcW w:w="385" w:type="pct"/>
            <w:vAlign w:val="center"/>
          </w:tcPr>
          <w:p>
            <w:pPr>
              <w:jc w:val="center"/>
              <w:rPr>
                <w:color w:val="000000"/>
                <w:szCs w:val="21"/>
              </w:rPr>
            </w:pPr>
            <w:r>
              <w:rPr>
                <w:color w:val="000000"/>
                <w:szCs w:val="21"/>
              </w:rPr>
              <w:t>长铺子苗族侗族乡</w:t>
            </w:r>
          </w:p>
        </w:tc>
        <w:tc>
          <w:tcPr>
            <w:tcW w:w="1304" w:type="pct"/>
            <w:vAlign w:val="center"/>
          </w:tcPr>
          <w:p>
            <w:pPr>
              <w:jc w:val="center"/>
              <w:rPr>
                <w:strike/>
                <w:color w:val="000000"/>
                <w:szCs w:val="21"/>
              </w:rPr>
            </w:pPr>
            <w:r>
              <w:rPr>
                <w:color w:val="000000"/>
                <w:szCs w:val="21"/>
              </w:rPr>
              <w:t>城市化地区</w:t>
            </w:r>
          </w:p>
        </w:tc>
        <w:tc>
          <w:tcPr>
            <w:tcW w:w="243" w:type="pct"/>
            <w:vAlign w:val="center"/>
          </w:tcPr>
          <w:p>
            <w:pPr>
              <w:widowControl/>
              <w:jc w:val="center"/>
              <w:rPr>
                <w:strike/>
                <w:color w:val="000000"/>
                <w:szCs w:val="21"/>
              </w:rPr>
            </w:pPr>
            <w:r>
              <w:rPr>
                <w:color w:val="000000"/>
                <w:szCs w:val="21"/>
              </w:rPr>
              <w:t>旅游业、社会服务、农业种植、食品加工</w:t>
            </w:r>
          </w:p>
        </w:tc>
        <w:tc>
          <w:tcPr>
            <w:tcW w:w="1068" w:type="pct"/>
            <w:vAlign w:val="center"/>
          </w:tcPr>
          <w:p>
            <w:pPr>
              <w:widowControl/>
              <w:rPr>
                <w:b/>
                <w:color w:val="000000"/>
                <w:kern w:val="0"/>
                <w:szCs w:val="21"/>
              </w:rPr>
            </w:pPr>
            <w:r>
              <w:rPr>
                <w:b/>
                <w:color w:val="000000"/>
                <w:kern w:val="0"/>
                <w:szCs w:val="21"/>
              </w:rPr>
              <w:t>主要环境问题：</w:t>
            </w:r>
            <w:r>
              <w:rPr>
                <w:bCs/>
                <w:color w:val="000000"/>
                <w:kern w:val="0"/>
                <w:szCs w:val="21"/>
              </w:rPr>
              <w:t>无。</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b/>
                <w:color w:val="000000"/>
                <w:kern w:val="0"/>
                <w:szCs w:val="21"/>
              </w:rPr>
            </w:pPr>
            <w:r>
              <w:rPr>
                <w:b/>
                <w:color w:val="000000"/>
                <w:kern w:val="0"/>
                <w:szCs w:val="21"/>
              </w:rPr>
              <w:t>主要属性</w:t>
            </w:r>
          </w:p>
        </w:tc>
        <w:tc>
          <w:tcPr>
            <w:tcW w:w="4417" w:type="pct"/>
            <w:gridSpan w:val="10"/>
            <w:vAlign w:val="center"/>
          </w:tcPr>
          <w:p>
            <w:pPr>
              <w:ind w:firstLine="422" w:firstLineChars="200"/>
              <w:rPr>
                <w:color w:val="000000"/>
                <w:szCs w:val="21"/>
              </w:rPr>
            </w:pPr>
            <w:r>
              <w:rPr>
                <w:b/>
                <w:bCs/>
                <w:color w:val="000000"/>
                <w:szCs w:val="21"/>
              </w:rPr>
              <w:t>生态红线：</w:t>
            </w:r>
            <w:r>
              <w:rPr>
                <w:color w:val="000000"/>
                <w:szCs w:val="21"/>
              </w:rPr>
              <w:t>红线/一般生态空间；水源涵养重要区\三区三线生态红线\森林公园\自然保护区\生物多样性保护功能重要区\湿地公园\原生态红线\水土保持功能重要区\水土流失敏感区；</w:t>
            </w:r>
          </w:p>
          <w:p>
            <w:pPr>
              <w:ind w:firstLine="422" w:firstLineChars="200"/>
              <w:rPr>
                <w:b/>
                <w:bCs/>
                <w:color w:val="000000"/>
                <w:szCs w:val="21"/>
              </w:rPr>
            </w:pPr>
            <w:r>
              <w:rPr>
                <w:b/>
                <w:bCs/>
                <w:color w:val="000000"/>
                <w:szCs w:val="21"/>
              </w:rPr>
              <w:t xml:space="preserve">环境质量底线： </w:t>
            </w:r>
            <w:r>
              <w:rPr>
                <w:color w:val="000000"/>
                <w:szCs w:val="21"/>
              </w:rPr>
              <w:t>水环境优先保护区/ 水环境工业污染重点管控区、水环境城镇生活污染重点管控区、水环境其他重点管控区/水环境一般管控区；水源地（县级及以上）、湿地公园/工业园区、污水处理厂、重金属矿；绥宁县虾子溪饮用水水源保护区、邵阳市绥宁县白岩溪饮用水水源保护区、湖南绥宁花园阁国家级湿地公园/绥宁产业开发区、绥宁县污水处理厂、绥宁县合力铁矿有限公司界头炉铁矿、绥宁县金鼎矿业有限公司水竹坪铁矿；大气环境优先保护区/大气环境高排放重点管控区/大气环境受体敏感重点管控区；湖南绥宁堡子岭省级森林公园/湖南绥宁花园阁国家湿地公园/湖南黄桑国家级自然保护区/绥宁产业开发区/绥宁工业集中区/绥宁县高排放区1/绥宁县湘商产业园；农用地优先保护区/建设用地重点管控区/其他重点管控区/一般管控区；矿区/中高风险企业用地；绥宁产业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b/>
                <w:color w:val="000000"/>
                <w:szCs w:val="21"/>
              </w:rPr>
            </w:pPr>
            <w:r>
              <w:rPr>
                <w:b/>
                <w:color w:val="000000"/>
                <w:szCs w:val="21"/>
              </w:rPr>
              <w:t>管控维度</w:t>
            </w:r>
          </w:p>
        </w:tc>
        <w:tc>
          <w:tcPr>
            <w:tcW w:w="3104" w:type="pct"/>
            <w:gridSpan w:val="8"/>
            <w:vAlign w:val="center"/>
          </w:tcPr>
          <w:p>
            <w:pPr>
              <w:jc w:val="center"/>
              <w:rPr>
                <w:b/>
                <w:color w:val="000000"/>
                <w:szCs w:val="21"/>
              </w:rPr>
            </w:pPr>
            <w:r>
              <w:rPr>
                <w:b/>
                <w:color w:val="000000"/>
                <w:kern w:val="0"/>
                <w:szCs w:val="21"/>
              </w:rPr>
              <w:t>管控要求</w:t>
            </w:r>
          </w:p>
        </w:tc>
        <w:tc>
          <w:tcPr>
            <w:tcW w:w="1312" w:type="pct"/>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空间布局约束</w:t>
            </w:r>
          </w:p>
        </w:tc>
        <w:tc>
          <w:tcPr>
            <w:tcW w:w="3104" w:type="pct"/>
            <w:gridSpan w:val="8"/>
            <w:vAlign w:val="center"/>
          </w:tcPr>
          <w:p>
            <w:r>
              <w:rPr>
                <w:color w:val="000000" w:themeColor="text1"/>
                <w:szCs w:val="21"/>
                <w14:textFill>
                  <w14:solidFill>
                    <w14:schemeClr w14:val="tx1"/>
                  </w14:solidFill>
                </w14:textFill>
              </w:rPr>
              <w:t>（1.1）</w:t>
            </w:r>
            <w:r>
              <w:t>严禁在水域控制范围内违建建（构）筑物，严禁各类建设用地占用生态公益林，严禁未经许可砍伐林木、挖山采石。</w:t>
            </w:r>
          </w:p>
          <w:p>
            <w:pPr>
              <w:tabs>
                <w:tab w:val="left" w:pos="1021"/>
              </w:tabs>
            </w:pPr>
            <w:r>
              <w:t>（1.2）严格控制耕地转为林地、草地、园地等其他农用地。</w:t>
            </w:r>
          </w:p>
          <w:p>
            <w:pPr>
              <w:tabs>
                <w:tab w:val="left" w:pos="1021"/>
              </w:tabs>
            </w:pPr>
            <w:r>
              <w:t>（1.3）扩大高污染燃料禁燃区范围，巩固燃煤锅炉淘汰成果，严禁审批35蒸吨/小时及以下燃煤锅炉。</w:t>
            </w:r>
          </w:p>
        </w:tc>
        <w:tc>
          <w:tcPr>
            <w:tcW w:w="1312" w:type="pct"/>
            <w:gridSpan w:val="2"/>
            <w:vMerge w:val="restart"/>
          </w:tcPr>
          <w:p>
            <w:pPr>
              <w:tabs>
                <w:tab w:val="left" w:pos="1021"/>
              </w:tabs>
              <w:rPr>
                <w:color w:val="000000"/>
                <w:szCs w:val="21"/>
              </w:rPr>
            </w:pPr>
            <w:r>
              <w:rPr>
                <w:color w:val="000000"/>
                <w:szCs w:val="21"/>
              </w:rPr>
              <w:t>（1.1）（2.2.2）</w:t>
            </w:r>
            <w:r>
              <w:rPr>
                <w:spacing w:val="-6"/>
              </w:rPr>
              <w:t>（2.2.3）</w:t>
            </w:r>
            <w:r>
              <w:rPr>
                <w:color w:val="000000"/>
                <w:szCs w:val="21"/>
              </w:rPr>
              <w:t>（4.2.2）《绥宁县国民经济和社会发展第十四个五年规划和二○三五年远景目标纲要》</w:t>
            </w:r>
          </w:p>
          <w:p>
            <w:pPr>
              <w:tabs>
                <w:tab w:val="left" w:pos="1021"/>
              </w:tabs>
              <w:rPr>
                <w:color w:val="000000"/>
                <w:szCs w:val="21"/>
              </w:rPr>
            </w:pPr>
            <w:r>
              <w:t>（1.2）</w:t>
            </w:r>
            <w:r>
              <w:rPr>
                <w:color w:val="000000"/>
                <w:szCs w:val="21"/>
              </w:rPr>
              <w:t>（4.1.2）</w:t>
            </w:r>
            <w:r>
              <w:rPr>
                <w:szCs w:val="21"/>
              </w:rPr>
              <w:t>（4.3.1）</w:t>
            </w:r>
            <w:r>
              <w:rPr>
                <w:color w:val="000000"/>
                <w:szCs w:val="21"/>
              </w:rPr>
              <w:t>（4.3.2）</w:t>
            </w:r>
            <w:r>
              <w:t>《绥宁县国土空间总体规划（2021</w:t>
            </w:r>
            <w:r>
              <w:rPr>
                <w:rFonts w:hint="eastAsia"/>
              </w:rPr>
              <w:t>—</w:t>
            </w:r>
            <w:r>
              <w:t>2035年）》</w:t>
            </w:r>
          </w:p>
          <w:p>
            <w:pPr>
              <w:tabs>
                <w:tab w:val="left" w:pos="1021"/>
              </w:tabs>
              <w:rPr>
                <w:color w:val="000000"/>
                <w:szCs w:val="21"/>
              </w:rPr>
            </w:pPr>
            <w:r>
              <w:rPr>
                <w:color w:val="000000"/>
                <w:szCs w:val="21"/>
              </w:rPr>
              <w:t>（1.3）</w:t>
            </w:r>
            <w:r>
              <w:t>（2.1.</w:t>
            </w:r>
            <w:r>
              <w:rPr>
                <w:color w:val="000000"/>
                <w:szCs w:val="21"/>
              </w:rPr>
              <w:t>1）（2.1.2）（2.2.1）（2.2.4）（2.3.1）</w:t>
            </w:r>
            <w:r>
              <w:t>（2.3.2）（2.3.3）</w:t>
            </w:r>
            <w:r>
              <w:rPr>
                <w:color w:val="000000"/>
                <w:szCs w:val="21"/>
              </w:rPr>
              <w:t>（2.3.4）（3.1）（3.2）（3.3）（4.1.1）《绥宁县“十四五”生态环境规划（2021-2025）》</w:t>
            </w:r>
          </w:p>
          <w:p>
            <w:pPr>
              <w:rPr>
                <w:color w:val="000000"/>
                <w:szCs w:val="21"/>
              </w:rPr>
            </w:pPr>
            <w:r>
              <w:rPr>
                <w:color w:val="000000"/>
                <w:szCs w:val="21"/>
              </w:rPr>
              <w:t>（4.2.1）《邵阳市水利局 邵阳市发展和改革委员会关于印发“十四五”用水量和强度双控目标的通知》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污染物排放管控</w:t>
            </w:r>
          </w:p>
        </w:tc>
        <w:tc>
          <w:tcPr>
            <w:tcW w:w="3104" w:type="pct"/>
            <w:gridSpan w:val="8"/>
            <w:vAlign w:val="center"/>
          </w:tcPr>
          <w:p>
            <w:pPr>
              <w:tabs>
                <w:tab w:val="left" w:pos="1021"/>
              </w:tabs>
              <w:rPr>
                <w:color w:val="000000"/>
                <w:szCs w:val="21"/>
              </w:rPr>
            </w:pPr>
            <w:r>
              <w:rPr>
                <w:color w:val="000000"/>
                <w:szCs w:val="21"/>
              </w:rPr>
              <w:t>（2.1）废水：</w:t>
            </w:r>
          </w:p>
          <w:p>
            <w:pPr>
              <w:tabs>
                <w:tab w:val="left" w:pos="1021"/>
              </w:tabs>
              <w:ind w:firstLine="420" w:firstLineChars="200"/>
              <w:rPr>
                <w:color w:val="000000"/>
                <w:szCs w:val="21"/>
              </w:rPr>
            </w:pPr>
            <w:r>
              <w:rPr>
                <w:color w:val="000000"/>
                <w:szCs w:val="21"/>
              </w:rPr>
              <w:t>（2.1.1）加强重点水污染物排放企业的监管，确保废水达标排放。</w:t>
            </w:r>
          </w:p>
          <w:p>
            <w:pPr>
              <w:tabs>
                <w:tab w:val="left" w:pos="1021"/>
              </w:tabs>
              <w:ind w:firstLine="420" w:firstLineChars="200"/>
              <w:rPr>
                <w:color w:val="000000"/>
                <w:szCs w:val="21"/>
              </w:rPr>
            </w:pPr>
            <w:r>
              <w:rPr>
                <w:color w:val="000000"/>
                <w:szCs w:val="21"/>
              </w:rPr>
              <w:t>（2.1.2）农村地区以建制镇、乡集镇和中心村为重点，因地制宜建设低成本、易管理的污水处理设施。</w:t>
            </w:r>
          </w:p>
          <w:p>
            <w:pPr>
              <w:tabs>
                <w:tab w:val="left" w:pos="1021"/>
              </w:tabs>
              <w:rPr>
                <w:color w:val="000000"/>
                <w:szCs w:val="21"/>
              </w:rPr>
            </w:pPr>
            <w:r>
              <w:rPr>
                <w:color w:val="000000"/>
                <w:szCs w:val="21"/>
              </w:rPr>
              <w:t>（2.2）废气：</w:t>
            </w:r>
          </w:p>
          <w:p>
            <w:pPr>
              <w:tabs>
                <w:tab w:val="left" w:pos="1021"/>
              </w:tabs>
              <w:ind w:firstLine="420" w:firstLineChars="200"/>
              <w:rPr>
                <w:color w:val="000000"/>
                <w:szCs w:val="21"/>
              </w:rPr>
            </w:pPr>
            <w:r>
              <w:rPr>
                <w:color w:val="000000"/>
                <w:szCs w:val="21"/>
              </w:rPr>
              <w:t>（2.2.1）提高重点区域VOCs排放行业环保准入门槛，严格控制新增污染物排放量。</w:t>
            </w:r>
          </w:p>
          <w:p>
            <w:pPr>
              <w:tabs>
                <w:tab w:val="left" w:pos="1021"/>
              </w:tabs>
              <w:ind w:firstLine="420" w:firstLineChars="200"/>
              <w:rPr>
                <w:color w:val="000000" w:themeColor="text1"/>
                <w14:textFill>
                  <w14:solidFill>
                    <w14:schemeClr w14:val="tx1"/>
                  </w14:solidFill>
                </w14:textFill>
              </w:rPr>
            </w:pPr>
            <w:r>
              <w:rPr>
                <w:color w:val="000000"/>
                <w:szCs w:val="21"/>
              </w:rPr>
              <w:t>（2.2.2）</w:t>
            </w:r>
            <w:r>
              <w:rPr>
                <w:color w:val="000000" w:themeColor="text1"/>
                <w14:textFill>
                  <w14:solidFill>
                    <w14:schemeClr w14:val="tx1"/>
                  </w14:solidFill>
                </w14:textFill>
              </w:rPr>
              <w:t>推进大气污染防控，实施煤炭消费减量替代工程，推广使用清洁能源。</w:t>
            </w:r>
          </w:p>
          <w:p>
            <w:pPr>
              <w:tabs>
                <w:tab w:val="left" w:pos="1021"/>
              </w:tabs>
              <w:ind w:firstLine="420" w:firstLineChars="200"/>
              <w:rPr>
                <w:color w:val="000000"/>
                <w:szCs w:val="21"/>
              </w:rPr>
            </w:pPr>
            <w:r>
              <w:rPr>
                <w:color w:val="000000"/>
                <w:szCs w:val="21"/>
              </w:rPr>
              <w:t>（2.2.3）加强VOCs、农作物秸秆、机动车尾气、餐饮服务油烟污染治理。</w:t>
            </w:r>
          </w:p>
          <w:p>
            <w:pPr>
              <w:tabs>
                <w:tab w:val="left" w:pos="1021"/>
              </w:tabs>
              <w:ind w:firstLine="420" w:firstLineChars="200"/>
              <w:rPr>
                <w:color w:val="000000"/>
                <w:szCs w:val="21"/>
              </w:rPr>
            </w:pPr>
            <w:r>
              <w:t>（2.2.4）禁止直接焚烧和露天堆放生活垃圾。</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（2.3.1）生活垃圾、建筑垃圾、渣土运输实行密闭运输，杜绝抛洒滴漏现象。</w:t>
            </w:r>
          </w:p>
          <w:p>
            <w:pPr>
              <w:tabs>
                <w:tab w:val="left" w:pos="1021"/>
              </w:tabs>
              <w:ind w:firstLine="420" w:firstLineChars="200"/>
              <w:rPr>
                <w:color w:val="000000"/>
                <w:szCs w:val="21"/>
              </w:rPr>
            </w:pPr>
            <w:r>
              <w:rPr>
                <w:color w:val="000000"/>
                <w:szCs w:val="21"/>
              </w:rPr>
              <w:t>（2.3.2）加强肥料、农药包装废弃物回收处理试点与推广应用，开展肥料、农药包装废弃物回收处理与资源化利用试点。</w:t>
            </w:r>
          </w:p>
          <w:p>
            <w:pPr>
              <w:tabs>
                <w:tab w:val="left" w:pos="1021"/>
              </w:tabs>
              <w:ind w:firstLine="420" w:firstLineChars="200"/>
              <w:rPr>
                <w:color w:val="000000"/>
                <w:szCs w:val="21"/>
              </w:rPr>
            </w:pPr>
            <w:r>
              <w:rPr>
                <w:color w:val="000000"/>
                <w:szCs w:val="21"/>
              </w:rPr>
              <w:t>（2.3.3）建立秸秆回收利用，肥料化、饲料化、燃料化、基料化、原料化等多途径利用模式，到2025年，秸秆综合利用率达到85%以上。</w:t>
            </w:r>
          </w:p>
          <w:p>
            <w:pPr>
              <w:tabs>
                <w:tab w:val="left" w:pos="1021"/>
              </w:tabs>
              <w:ind w:firstLine="420" w:firstLineChars="200"/>
              <w:rPr>
                <w:strike/>
                <w:color w:val="000000"/>
                <w:szCs w:val="21"/>
              </w:rPr>
            </w:pPr>
            <w:r>
              <w:rPr>
                <w:color w:val="000000"/>
                <w:szCs w:val="21"/>
              </w:rPr>
              <w:t>（2.3.4）加快污泥处理处置设施建设，污水处理设施产生的污泥应进行稳定化、资源化和无害化处置。</w:t>
            </w:r>
          </w:p>
        </w:tc>
        <w:tc>
          <w:tcPr>
            <w:tcW w:w="1312"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环境风险防控</w:t>
            </w:r>
          </w:p>
        </w:tc>
        <w:tc>
          <w:tcPr>
            <w:tcW w:w="3104" w:type="pct"/>
            <w:gridSpan w:val="8"/>
            <w:vAlign w:val="center"/>
          </w:tcPr>
          <w:p>
            <w:pPr>
              <w:ind w:firstLine="420" w:firstLineChars="200"/>
              <w:rPr>
                <w:color w:val="000000"/>
                <w:szCs w:val="21"/>
              </w:rPr>
            </w:pPr>
            <w:r>
              <w:rPr>
                <w:color w:val="000000"/>
                <w:szCs w:val="21"/>
              </w:rPr>
              <w:t>（3.1）积极推进水源水质自动监测站建设，强化饮用水水源应急管理。</w:t>
            </w:r>
          </w:p>
          <w:p>
            <w:pPr>
              <w:ind w:firstLine="420" w:firstLineChars="200"/>
              <w:rPr>
                <w:color w:val="000000"/>
                <w:szCs w:val="21"/>
              </w:rPr>
            </w:pPr>
            <w:r>
              <w:rPr>
                <w:color w:val="000000"/>
                <w:szCs w:val="21"/>
              </w:rPr>
              <w:t>（3.2）加强管理，勒令环境风险高的企业建设并完善日常和应急监测系统，配备其生产特征污染物监测设备，提高环境风险防范能力。</w:t>
            </w:r>
          </w:p>
          <w:p>
            <w:pPr>
              <w:ind w:firstLine="420" w:firstLineChars="200"/>
              <w:rPr>
                <w:strike/>
                <w:color w:val="000000"/>
                <w:szCs w:val="21"/>
              </w:rPr>
            </w:pPr>
            <w:r>
              <w:rPr>
                <w:color w:val="000000"/>
                <w:szCs w:val="21"/>
              </w:rPr>
              <w:t>（3.3）严控新建源、严管现役源、严查风险源，在加强环境增量管理的同时，着力加强环境存量治理。</w:t>
            </w:r>
          </w:p>
        </w:tc>
        <w:tc>
          <w:tcPr>
            <w:tcW w:w="1312" w:type="pct"/>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widowControl/>
              <w:jc w:val="center"/>
              <w:rPr>
                <w:color w:val="000000"/>
                <w:szCs w:val="21"/>
              </w:rPr>
            </w:pPr>
            <w:r>
              <w:rPr>
                <w:color w:val="000000"/>
                <w:szCs w:val="21"/>
              </w:rPr>
              <w:t>资源开发效率要求</w:t>
            </w:r>
          </w:p>
        </w:tc>
        <w:tc>
          <w:tcPr>
            <w:tcW w:w="3104" w:type="pct"/>
            <w:gridSpan w:val="8"/>
          </w:tcPr>
          <w:p>
            <w:pPr>
              <w:rPr>
                <w:color w:val="000000"/>
                <w:szCs w:val="21"/>
              </w:rPr>
            </w:pPr>
            <w:r>
              <w:rPr>
                <w:color w:val="000000"/>
                <w:szCs w:val="21"/>
              </w:rPr>
              <w:t>（4.1）能源:</w:t>
            </w:r>
          </w:p>
          <w:p>
            <w:pPr>
              <w:ind w:firstLine="420" w:firstLineChars="200"/>
              <w:rPr>
                <w:color w:val="000000"/>
                <w:szCs w:val="21"/>
              </w:rPr>
            </w:pPr>
            <w:r>
              <w:rPr>
                <w:color w:val="000000"/>
                <w:szCs w:val="21"/>
              </w:rPr>
              <w:t>（4.1.1）大力推广使用清洁能源，促进煤炭消耗量同比下降。</w:t>
            </w:r>
          </w:p>
          <w:p>
            <w:pPr>
              <w:ind w:firstLine="420" w:firstLineChars="200"/>
              <w:rPr>
                <w:color w:val="000000"/>
                <w:szCs w:val="21"/>
              </w:rPr>
            </w:pPr>
            <w:r>
              <w:rPr>
                <w:color w:val="000000"/>
                <w:szCs w:val="21"/>
              </w:rPr>
              <w:t>（4.1.2）加快开发利用沼气、太阳能、地热能等清洁可再生能源。</w:t>
            </w:r>
          </w:p>
          <w:p>
            <w:pPr>
              <w:rPr>
                <w:color w:val="000000"/>
                <w:szCs w:val="21"/>
              </w:rPr>
            </w:pPr>
            <w:r>
              <w:rPr>
                <w:color w:val="000000"/>
                <w:szCs w:val="21"/>
              </w:rPr>
              <w:t>（4.2）水资源:</w:t>
            </w:r>
          </w:p>
          <w:p>
            <w:pPr>
              <w:ind w:firstLine="420" w:firstLineChars="200"/>
              <w:rPr>
                <w:color w:val="000000"/>
                <w:szCs w:val="21"/>
              </w:rPr>
            </w:pPr>
            <w:r>
              <w:rPr>
                <w:color w:val="000000"/>
                <w:szCs w:val="21"/>
              </w:rPr>
              <w:t>（4.2.1）到2025年，绥宁县用水总量控制在1.495亿立方米，万元地区生产总值用水量比2020年下降20.76%，万元工业增加值用水量比2020年下降11.76%，农田灌溉水有效利用系数为0.54。</w:t>
            </w:r>
          </w:p>
          <w:p>
            <w:pPr>
              <w:ind w:firstLine="420" w:firstLineChars="200"/>
              <w:rPr>
                <w:color w:val="000000"/>
                <w:szCs w:val="21"/>
              </w:rPr>
            </w:pPr>
            <w:r>
              <w:rPr>
                <w:color w:val="000000"/>
                <w:szCs w:val="21"/>
              </w:rPr>
              <w:t>（4.2.2）</w:t>
            </w:r>
            <w:r>
              <w:rPr>
                <w:szCs w:val="21"/>
              </w:rPr>
              <w:t>推行水价改革，建立健全水价形成机制，推行再生水利用，推广节水设备。</w:t>
            </w:r>
          </w:p>
          <w:p>
            <w:pPr>
              <w:rPr>
                <w:color w:val="000000"/>
                <w:szCs w:val="21"/>
              </w:rPr>
            </w:pPr>
            <w:r>
              <w:rPr>
                <w:color w:val="000000"/>
                <w:szCs w:val="21"/>
              </w:rPr>
              <w:t>（4.3）土地资源：</w:t>
            </w:r>
          </w:p>
          <w:p>
            <w:pPr>
              <w:ind w:firstLine="420" w:firstLineChars="200"/>
              <w:rPr>
                <w:color w:val="000000"/>
                <w:szCs w:val="21"/>
              </w:rPr>
            </w:pPr>
            <w:r>
              <w:rPr>
                <w:color w:val="000000"/>
                <w:szCs w:val="21"/>
              </w:rPr>
              <w:t>（4.3.1）有序开展废弃农村宅基地、工矿废弃地以及其他低效闲置建设用地整理复垦。</w:t>
            </w:r>
          </w:p>
          <w:p>
            <w:pPr>
              <w:ind w:firstLine="420" w:firstLineChars="200"/>
              <w:rPr>
                <w:color w:val="000000"/>
                <w:szCs w:val="21"/>
              </w:rPr>
            </w:pPr>
            <w:r>
              <w:rPr>
                <w:color w:val="000000"/>
                <w:szCs w:val="21"/>
              </w:rPr>
              <w:t>（4.3.2）适度开发耕地后备资源，推进农用地和建设用地复垦。</w:t>
            </w:r>
          </w:p>
        </w:tc>
        <w:tc>
          <w:tcPr>
            <w:tcW w:w="1312" w:type="pct"/>
            <w:gridSpan w:val="2"/>
            <w:vMerge w:val="continue"/>
            <w:vAlign w:val="center"/>
          </w:tcPr>
          <w:p/>
        </w:tc>
      </w:tr>
    </w:tbl>
    <w:p>
      <w:pPr>
        <w:rPr>
          <w:color w:val="000000"/>
          <w:szCs w:val="21"/>
        </w:rPr>
      </w:pPr>
      <w:r>
        <w:rPr>
          <w:color w:val="000000"/>
          <w:szCs w:val="21"/>
        </w:rPr>
        <w:br w:type="page"/>
      </w:r>
    </w:p>
    <w:p>
      <w:pPr>
        <w:pStyle w:val="2"/>
        <w:rPr>
          <w:rFonts w:ascii="Times New Roman" w:hAnsi="Times New Roman" w:cs="Times New Roman"/>
        </w:rPr>
      </w:pPr>
      <w:bookmarkStart w:id="48" w:name="_Toc15607"/>
      <w:bookmarkStart w:id="49" w:name="_Toc57836525"/>
      <w:r>
        <w:rPr>
          <w:rFonts w:ascii="Times New Roman" w:hAnsi="Times New Roman" w:cs="Times New Roman"/>
        </w:rPr>
        <w:t>2-10新宁县</w:t>
      </w:r>
      <w:bookmarkEnd w:id="48"/>
      <w:bookmarkEnd w:id="4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026"/>
        <w:gridCol w:w="534"/>
        <w:gridCol w:w="546"/>
        <w:gridCol w:w="467"/>
        <w:gridCol w:w="947"/>
        <w:gridCol w:w="906"/>
        <w:gridCol w:w="1014"/>
        <w:gridCol w:w="1586"/>
        <w:gridCol w:w="2608"/>
        <w:gridCol w:w="59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1026" w:type="dxa"/>
            <w:vMerge w:val="restart"/>
            <w:vAlign w:val="center"/>
          </w:tcPr>
          <w:p>
            <w:pPr>
              <w:widowControl/>
              <w:jc w:val="center"/>
              <w:rPr>
                <w:b/>
                <w:color w:val="000000"/>
                <w:kern w:val="0"/>
                <w:szCs w:val="21"/>
              </w:rPr>
            </w:pPr>
            <w:r>
              <w:rPr>
                <w:b/>
                <w:color w:val="000000"/>
                <w:kern w:val="0"/>
                <w:szCs w:val="21"/>
              </w:rPr>
              <w:t>单元名称</w:t>
            </w:r>
          </w:p>
        </w:tc>
        <w:tc>
          <w:tcPr>
            <w:tcW w:w="1547" w:type="dxa"/>
            <w:gridSpan w:val="3"/>
            <w:vAlign w:val="center"/>
          </w:tcPr>
          <w:p>
            <w:pPr>
              <w:widowControl/>
              <w:jc w:val="center"/>
              <w:rPr>
                <w:b/>
                <w:color w:val="000000"/>
                <w:kern w:val="0"/>
                <w:szCs w:val="21"/>
              </w:rPr>
            </w:pPr>
            <w:r>
              <w:rPr>
                <w:b/>
                <w:color w:val="000000"/>
                <w:kern w:val="0"/>
                <w:szCs w:val="21"/>
              </w:rPr>
              <w:t>行政区划</w:t>
            </w:r>
          </w:p>
        </w:tc>
        <w:tc>
          <w:tcPr>
            <w:tcW w:w="947" w:type="dxa"/>
            <w:vMerge w:val="restart"/>
            <w:vAlign w:val="center"/>
          </w:tcPr>
          <w:p>
            <w:pPr>
              <w:widowControl/>
              <w:jc w:val="center"/>
              <w:rPr>
                <w:b/>
                <w:color w:val="000000"/>
                <w:kern w:val="0"/>
                <w:szCs w:val="21"/>
              </w:rPr>
            </w:pPr>
            <w:r>
              <w:rPr>
                <w:b/>
                <w:color w:val="000000"/>
                <w:kern w:val="0"/>
                <w:szCs w:val="21"/>
              </w:rPr>
              <w:t>单元分类</w:t>
            </w:r>
          </w:p>
        </w:tc>
        <w:tc>
          <w:tcPr>
            <w:tcW w:w="906"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014" w:type="dxa"/>
            <w:vMerge w:val="restart"/>
            <w:vAlign w:val="center"/>
          </w:tcPr>
          <w:p>
            <w:pPr>
              <w:jc w:val="center"/>
              <w:rPr>
                <w:b/>
                <w:color w:val="000000"/>
                <w:kern w:val="0"/>
                <w:szCs w:val="21"/>
              </w:rPr>
            </w:pPr>
            <w:r>
              <w:rPr>
                <w:b/>
                <w:color w:val="000000"/>
                <w:kern w:val="0"/>
                <w:szCs w:val="21"/>
              </w:rPr>
              <w:t>涉及乡镇(街道)</w:t>
            </w:r>
          </w:p>
        </w:tc>
        <w:tc>
          <w:tcPr>
            <w:tcW w:w="1586" w:type="dxa"/>
            <w:vMerge w:val="restart"/>
            <w:vAlign w:val="center"/>
          </w:tcPr>
          <w:p>
            <w:pPr>
              <w:jc w:val="center"/>
              <w:rPr>
                <w:b/>
                <w:color w:val="000000"/>
                <w:kern w:val="0"/>
                <w:szCs w:val="21"/>
              </w:rPr>
            </w:pPr>
            <w:r>
              <w:rPr>
                <w:b/>
                <w:color w:val="000000"/>
                <w:kern w:val="0"/>
                <w:szCs w:val="21"/>
              </w:rPr>
              <w:t>主体功能定位</w:t>
            </w:r>
          </w:p>
        </w:tc>
        <w:tc>
          <w:tcPr>
            <w:tcW w:w="3205" w:type="dxa"/>
            <w:gridSpan w:val="2"/>
            <w:vMerge w:val="restart"/>
            <w:vAlign w:val="center"/>
          </w:tcPr>
          <w:p>
            <w:pPr>
              <w:jc w:val="center"/>
              <w:rPr>
                <w:b/>
                <w:color w:val="000000"/>
                <w:kern w:val="0"/>
                <w:szCs w:val="21"/>
              </w:rPr>
            </w:pPr>
            <w:r>
              <w:rPr>
                <w:b/>
                <w:color w:val="000000"/>
                <w:kern w:val="0"/>
                <w:szCs w:val="21"/>
              </w:rPr>
              <w:t>经济产业布局</w:t>
            </w:r>
          </w:p>
        </w:tc>
        <w:tc>
          <w:tcPr>
            <w:tcW w:w="2589"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4" w:type="dxa"/>
            <w:vMerge w:val="continue"/>
            <w:vAlign w:val="center"/>
          </w:tcPr>
          <w:p/>
        </w:tc>
        <w:tc>
          <w:tcPr>
            <w:tcW w:w="1026" w:type="dxa"/>
            <w:vMerge w:val="continue"/>
            <w:vAlign w:val="center"/>
          </w:tcPr>
          <w:p/>
        </w:tc>
        <w:tc>
          <w:tcPr>
            <w:tcW w:w="534" w:type="dxa"/>
            <w:vAlign w:val="center"/>
          </w:tcPr>
          <w:p>
            <w:pPr>
              <w:jc w:val="center"/>
              <w:rPr>
                <w:b/>
                <w:color w:val="000000"/>
                <w:szCs w:val="21"/>
              </w:rPr>
            </w:pPr>
            <w:r>
              <w:rPr>
                <w:b/>
                <w:color w:val="000000"/>
                <w:szCs w:val="21"/>
              </w:rPr>
              <w:t>省</w:t>
            </w:r>
          </w:p>
        </w:tc>
        <w:tc>
          <w:tcPr>
            <w:tcW w:w="546" w:type="dxa"/>
            <w:vAlign w:val="center"/>
          </w:tcPr>
          <w:p>
            <w:pPr>
              <w:jc w:val="center"/>
              <w:rPr>
                <w:b/>
                <w:color w:val="000000"/>
                <w:szCs w:val="21"/>
              </w:rPr>
            </w:pPr>
            <w:r>
              <w:rPr>
                <w:b/>
                <w:color w:val="000000"/>
                <w:szCs w:val="21"/>
              </w:rPr>
              <w:t>市</w:t>
            </w:r>
          </w:p>
        </w:tc>
        <w:tc>
          <w:tcPr>
            <w:tcW w:w="467" w:type="dxa"/>
            <w:vAlign w:val="center"/>
          </w:tcPr>
          <w:p>
            <w:pPr>
              <w:jc w:val="center"/>
              <w:rPr>
                <w:b/>
                <w:color w:val="000000"/>
                <w:szCs w:val="21"/>
              </w:rPr>
            </w:pPr>
            <w:r>
              <w:rPr>
                <w:b/>
                <w:color w:val="000000"/>
                <w:szCs w:val="21"/>
              </w:rPr>
              <w:t>县</w:t>
            </w:r>
          </w:p>
        </w:tc>
        <w:tc>
          <w:tcPr>
            <w:tcW w:w="947" w:type="dxa"/>
            <w:vMerge w:val="continue"/>
            <w:vAlign w:val="center"/>
          </w:tcPr>
          <w:p/>
        </w:tc>
        <w:tc>
          <w:tcPr>
            <w:tcW w:w="906" w:type="dxa"/>
            <w:vMerge w:val="continue"/>
            <w:vAlign w:val="center"/>
          </w:tcPr>
          <w:p/>
        </w:tc>
        <w:tc>
          <w:tcPr>
            <w:tcW w:w="1014" w:type="dxa"/>
            <w:vMerge w:val="continue"/>
            <w:vAlign w:val="center"/>
          </w:tcPr>
          <w:p/>
        </w:tc>
        <w:tc>
          <w:tcPr>
            <w:tcW w:w="1586" w:type="dxa"/>
            <w:vMerge w:val="continue"/>
            <w:vAlign w:val="center"/>
          </w:tcPr>
          <w:p/>
        </w:tc>
        <w:tc>
          <w:tcPr>
            <w:tcW w:w="3205" w:type="dxa"/>
            <w:gridSpan w:val="2"/>
            <w:vMerge w:val="continue"/>
            <w:vAlign w:val="center"/>
          </w:tcPr>
          <w:p/>
        </w:tc>
        <w:tc>
          <w:tcPr>
            <w:tcW w:w="2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354" w:type="dxa"/>
            <w:vAlign w:val="center"/>
          </w:tcPr>
          <w:p>
            <w:pPr>
              <w:jc w:val="center"/>
              <w:rPr>
                <w:color w:val="000000"/>
                <w:szCs w:val="21"/>
              </w:rPr>
            </w:pPr>
            <w:r>
              <w:rPr>
                <w:color w:val="000000"/>
                <w:szCs w:val="21"/>
              </w:rPr>
              <w:t>ZH43052810001</w:t>
            </w:r>
          </w:p>
        </w:tc>
        <w:tc>
          <w:tcPr>
            <w:tcW w:w="1026" w:type="dxa"/>
            <w:vAlign w:val="center"/>
          </w:tcPr>
          <w:p>
            <w:pPr>
              <w:jc w:val="center"/>
              <w:rPr>
                <w:color w:val="000000"/>
                <w:szCs w:val="21"/>
              </w:rPr>
            </w:pPr>
            <w:r>
              <w:rPr>
                <w:color w:val="000000"/>
                <w:szCs w:val="21"/>
              </w:rPr>
              <w:t>黄金瑶族乡\麻林瑶族乡\水庙镇</w:t>
            </w:r>
          </w:p>
        </w:tc>
        <w:tc>
          <w:tcPr>
            <w:tcW w:w="534" w:type="dxa"/>
            <w:vAlign w:val="center"/>
          </w:tcPr>
          <w:p>
            <w:pPr>
              <w:jc w:val="center"/>
              <w:rPr>
                <w:color w:val="000000"/>
                <w:szCs w:val="21"/>
              </w:rPr>
            </w:pPr>
            <w:r>
              <w:rPr>
                <w:color w:val="000000"/>
                <w:szCs w:val="21"/>
              </w:rPr>
              <w:t>湖南省</w:t>
            </w:r>
          </w:p>
        </w:tc>
        <w:tc>
          <w:tcPr>
            <w:tcW w:w="546" w:type="dxa"/>
            <w:vAlign w:val="center"/>
          </w:tcPr>
          <w:p>
            <w:pPr>
              <w:jc w:val="center"/>
              <w:rPr>
                <w:color w:val="000000"/>
                <w:szCs w:val="21"/>
              </w:rPr>
            </w:pPr>
            <w:r>
              <w:rPr>
                <w:color w:val="000000"/>
                <w:szCs w:val="21"/>
              </w:rPr>
              <w:t>邵阳市</w:t>
            </w:r>
          </w:p>
        </w:tc>
        <w:tc>
          <w:tcPr>
            <w:tcW w:w="467" w:type="dxa"/>
            <w:vAlign w:val="center"/>
          </w:tcPr>
          <w:p>
            <w:pPr>
              <w:jc w:val="center"/>
              <w:rPr>
                <w:color w:val="000000"/>
                <w:szCs w:val="21"/>
              </w:rPr>
            </w:pPr>
            <w:r>
              <w:rPr>
                <w:color w:val="000000"/>
                <w:szCs w:val="21"/>
              </w:rPr>
              <w:t>新宁县</w:t>
            </w:r>
          </w:p>
        </w:tc>
        <w:tc>
          <w:tcPr>
            <w:tcW w:w="947" w:type="dxa"/>
            <w:vAlign w:val="center"/>
          </w:tcPr>
          <w:p>
            <w:pPr>
              <w:jc w:val="center"/>
              <w:rPr>
                <w:color w:val="000000"/>
                <w:szCs w:val="21"/>
              </w:rPr>
            </w:pPr>
            <w:r>
              <w:rPr>
                <w:color w:val="000000"/>
                <w:szCs w:val="21"/>
              </w:rPr>
              <w:t>优先保护单元</w:t>
            </w:r>
          </w:p>
        </w:tc>
        <w:tc>
          <w:tcPr>
            <w:tcW w:w="906" w:type="dxa"/>
            <w:vAlign w:val="center"/>
          </w:tcPr>
          <w:p>
            <w:pPr>
              <w:jc w:val="center"/>
              <w:rPr>
                <w:color w:val="000000"/>
                <w:szCs w:val="21"/>
              </w:rPr>
            </w:pPr>
            <w:r>
              <w:rPr>
                <w:color w:val="000000"/>
                <w:szCs w:val="21"/>
              </w:rPr>
              <w:t>462.33</w:t>
            </w:r>
          </w:p>
        </w:tc>
        <w:tc>
          <w:tcPr>
            <w:tcW w:w="1014" w:type="dxa"/>
            <w:vAlign w:val="center"/>
          </w:tcPr>
          <w:p>
            <w:pPr>
              <w:jc w:val="center"/>
              <w:rPr>
                <w:color w:val="000000"/>
                <w:szCs w:val="21"/>
              </w:rPr>
            </w:pPr>
            <w:r>
              <w:rPr>
                <w:color w:val="000000"/>
                <w:szCs w:val="21"/>
              </w:rPr>
              <w:t>黄金瑶族乡\麻林瑶族乡\水庙镇</w:t>
            </w:r>
          </w:p>
        </w:tc>
        <w:tc>
          <w:tcPr>
            <w:tcW w:w="1586" w:type="dxa"/>
            <w:vAlign w:val="center"/>
          </w:tcPr>
          <w:p>
            <w:pPr>
              <w:jc w:val="left"/>
              <w:rPr>
                <w:color w:val="000000"/>
                <w:szCs w:val="21"/>
              </w:rPr>
            </w:pPr>
            <w:r>
              <w:rPr>
                <w:b/>
                <w:bCs/>
                <w:color w:val="000000"/>
                <w:sz w:val="22"/>
              </w:rPr>
              <w:t>黄金瑶族乡、麻林瑶族乡、水庙镇</w:t>
            </w:r>
            <w:r>
              <w:rPr>
                <w:color w:val="000000"/>
                <w:szCs w:val="21"/>
              </w:rPr>
              <w:t>：重点生态功能区</w:t>
            </w:r>
          </w:p>
        </w:tc>
        <w:tc>
          <w:tcPr>
            <w:tcW w:w="3205" w:type="dxa"/>
            <w:gridSpan w:val="2"/>
            <w:vAlign w:val="center"/>
          </w:tcPr>
          <w:p>
            <w:pPr>
              <w:widowControl/>
              <w:jc w:val="left"/>
              <w:rPr>
                <w:color w:val="000000"/>
                <w:szCs w:val="21"/>
              </w:rPr>
            </w:pPr>
            <w:r>
              <w:rPr>
                <w:b/>
                <w:bCs/>
                <w:color w:val="000000"/>
                <w:szCs w:val="21"/>
              </w:rPr>
              <w:t>黄金瑶族乡：</w:t>
            </w:r>
            <w:r>
              <w:rPr>
                <w:color w:val="000000"/>
                <w:szCs w:val="21"/>
              </w:rPr>
              <w:t>水力发电、风力发电、农副产品加工、食品加工、旅游；</w:t>
            </w:r>
          </w:p>
          <w:p>
            <w:pPr>
              <w:widowControl/>
              <w:jc w:val="left"/>
              <w:rPr>
                <w:color w:val="000000"/>
                <w:szCs w:val="21"/>
              </w:rPr>
            </w:pPr>
            <w:r>
              <w:rPr>
                <w:b/>
                <w:bCs/>
                <w:color w:val="000000"/>
                <w:szCs w:val="21"/>
              </w:rPr>
              <w:t>麻林瑶族乡</w:t>
            </w:r>
            <w:r>
              <w:rPr>
                <w:color w:val="000000"/>
                <w:szCs w:val="21"/>
              </w:rPr>
              <w:t>：水力发电、风力发电、旅游；</w:t>
            </w:r>
          </w:p>
          <w:p>
            <w:pPr>
              <w:widowControl/>
              <w:jc w:val="left"/>
              <w:rPr>
                <w:rFonts w:eastAsia="楷体"/>
                <w:color w:val="000000"/>
                <w:kern w:val="0"/>
                <w:szCs w:val="21"/>
              </w:rPr>
            </w:pPr>
            <w:r>
              <w:rPr>
                <w:b/>
                <w:bCs/>
                <w:color w:val="000000"/>
                <w:szCs w:val="21"/>
              </w:rPr>
              <w:t>水庙镇：</w:t>
            </w:r>
            <w:r>
              <w:rPr>
                <w:color w:val="000000"/>
                <w:szCs w:val="21"/>
              </w:rPr>
              <w:t>旅游开发、农业种植。</w:t>
            </w:r>
          </w:p>
        </w:tc>
        <w:tc>
          <w:tcPr>
            <w:tcW w:w="2589" w:type="dxa"/>
            <w:vAlign w:val="center"/>
          </w:tcPr>
          <w:p>
            <w:pPr>
              <w:widowControl/>
              <w:rPr>
                <w:b/>
                <w:bCs/>
                <w:color w:val="000000"/>
                <w:sz w:val="22"/>
              </w:rPr>
            </w:pPr>
            <w:r>
              <w:rPr>
                <w:b/>
                <w:color w:val="000000"/>
                <w:kern w:val="0"/>
                <w:szCs w:val="21"/>
              </w:rPr>
              <w:t>主要环境问题：</w:t>
            </w:r>
          </w:p>
          <w:p>
            <w:pPr>
              <w:widowControl/>
              <w:rPr>
                <w:color w:val="000000"/>
                <w:kern w:val="0"/>
                <w:szCs w:val="21"/>
              </w:rPr>
            </w:pPr>
            <w:r>
              <w:rPr>
                <w:b/>
                <w:bCs/>
                <w:color w:val="000000"/>
                <w:sz w:val="22"/>
              </w:rPr>
              <w:t>黄金瑶族乡、麻林瑶族乡、水庙镇</w:t>
            </w:r>
            <w:r>
              <w:rPr>
                <w:color w:val="000000"/>
                <w:szCs w:val="21"/>
              </w:rPr>
              <w:t>：</w:t>
            </w:r>
            <w:r>
              <w:rPr>
                <w:color w:val="000000"/>
                <w:kern w:val="0"/>
                <w:szCs w:val="21"/>
              </w:rPr>
              <w:t>部分企业污染治理设施不到位，农村面源污染未得到有效治理；部分企业地块土壤污染；</w:t>
            </w:r>
          </w:p>
          <w:p>
            <w:pPr>
              <w:pStyle w:val="9"/>
              <w:ind w:left="0" w:leftChars="0" w:firstLine="0" w:firstLineChars="0"/>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widowControl/>
              <w:jc w:val="center"/>
              <w:rPr>
                <w:b/>
                <w:color w:val="000000"/>
                <w:kern w:val="0"/>
                <w:szCs w:val="21"/>
              </w:rPr>
            </w:pPr>
            <w:r>
              <w:rPr>
                <w:b/>
                <w:color w:val="000000"/>
                <w:kern w:val="0"/>
                <w:szCs w:val="21"/>
              </w:rPr>
              <w:t>主要属性</w:t>
            </w:r>
          </w:p>
        </w:tc>
        <w:tc>
          <w:tcPr>
            <w:tcW w:w="12820" w:type="dxa"/>
            <w:gridSpan w:val="11"/>
            <w:vAlign w:val="center"/>
          </w:tcPr>
          <w:p>
            <w:pPr>
              <w:rPr>
                <w:color w:val="000000"/>
                <w:szCs w:val="21"/>
              </w:rPr>
            </w:pPr>
            <w:r>
              <w:rPr>
                <w:b/>
                <w:bCs/>
                <w:color w:val="000000"/>
                <w:sz w:val="22"/>
              </w:rPr>
              <w:t>黄金瑶族乡</w:t>
            </w:r>
            <w:r>
              <w:rPr>
                <w:color w:val="000000"/>
                <w:szCs w:val="21"/>
              </w:rPr>
              <w:t>：</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红线/一般生态空间/三区三线生态红线\水源涵养重要区\生物多样性保护功能重要区\自然保护区\原生态红线\水土保持功能重要区\水土流失敏感区\南山国家公园；</w:t>
            </w:r>
          </w:p>
          <w:p>
            <w:pPr>
              <w:ind w:firstLine="442" w:firstLineChars="200"/>
              <w:rPr>
                <w:color w:val="000000"/>
                <w:szCs w:val="21"/>
              </w:rPr>
            </w:pPr>
            <w:r>
              <w:rPr>
                <w:b/>
                <w:bCs/>
                <w:color w:val="000000"/>
                <w:sz w:val="22"/>
              </w:rPr>
              <w:t>环境质量底线：</w:t>
            </w:r>
            <w:r>
              <w:rPr>
                <w:color w:val="000000"/>
                <w:szCs w:val="21"/>
              </w:rPr>
              <w:t>水环境优先保护区/水环境一般管控区/源头水威溪河源头水域（威溪河）（汇水）、巫水源头水域（风雨殿）/大气环境优先保护区/南山国家公园/湖南舜皇山国家级自然保护区/农用地优先保护区/一般管控区/重点生态功能区/</w:t>
            </w:r>
          </w:p>
          <w:p>
            <w:pPr>
              <w:rPr>
                <w:b/>
                <w:bCs/>
                <w:color w:val="000000"/>
                <w:sz w:val="22"/>
              </w:rPr>
            </w:pPr>
            <w:r>
              <w:rPr>
                <w:b/>
                <w:bCs/>
                <w:color w:val="000000"/>
                <w:sz w:val="22"/>
              </w:rPr>
              <w:t>麻林瑶族乡：</w:t>
            </w:r>
          </w:p>
          <w:p>
            <w:pPr>
              <w:ind w:firstLine="422" w:firstLineChars="200"/>
              <w:rPr>
                <w:color w:val="000000"/>
                <w:szCs w:val="21"/>
              </w:rPr>
            </w:pPr>
            <w:r>
              <w:rPr>
                <w:b/>
                <w:bCs/>
                <w:color w:val="000000"/>
                <w:szCs w:val="21"/>
              </w:rPr>
              <w:t>生态红线：</w:t>
            </w:r>
            <w:r>
              <w:rPr>
                <w:color w:val="000000"/>
                <w:sz w:val="22"/>
              </w:rPr>
              <w:t>红</w:t>
            </w:r>
            <w:r>
              <w:rPr>
                <w:color w:val="000000"/>
                <w:szCs w:val="21"/>
              </w:rPr>
              <w:t>线/一般生态空间/三区三线生态红线\水源涵养重要区\自然保护区\生物多样性保护功能重要区\水土保持功能重要区\原生态红线\水土流失敏感区\南山国家公园；</w:t>
            </w:r>
          </w:p>
          <w:p>
            <w:pPr>
              <w:ind w:firstLine="442" w:firstLineChars="200"/>
              <w:rPr>
                <w:color w:val="000000"/>
                <w:szCs w:val="21"/>
              </w:rPr>
            </w:pPr>
            <w:r>
              <w:rPr>
                <w:b/>
                <w:bCs/>
                <w:color w:val="000000"/>
                <w:sz w:val="22"/>
              </w:rPr>
              <w:t>环境质量底线：</w:t>
            </w:r>
            <w:r>
              <w:rPr>
                <w:color w:val="000000"/>
                <w:szCs w:val="21"/>
              </w:rPr>
              <w:t>水环境优先保护区/水环境一般管控区/源头水/威溪河源头水域（威溪河）（汇水）、巫水源头水域（风雨殿）/大气环境优先保护区/南山国家公园/湖南舜皇山国家级自然保护区/农用地优先保护区/一般管控区/重点生态功能区/</w:t>
            </w:r>
          </w:p>
          <w:p>
            <w:pPr>
              <w:rPr>
                <w:b/>
                <w:bCs/>
                <w:color w:val="000000"/>
                <w:sz w:val="22"/>
              </w:rPr>
            </w:pPr>
            <w:r>
              <w:rPr>
                <w:b/>
                <w:bCs/>
                <w:color w:val="000000"/>
                <w:sz w:val="22"/>
              </w:rPr>
              <w:t>水庙镇：</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红线/一般生态空间/三区三线生态红线\水源涵养重要区\自然保护区\石漠公园\生物多样性保护功能重要区\水土流失敏感区\原生态红线\石漠化敏感区；</w:t>
            </w:r>
          </w:p>
          <w:p>
            <w:pPr>
              <w:ind w:firstLine="442" w:firstLineChars="200"/>
              <w:rPr>
                <w:b/>
                <w:bCs/>
                <w:color w:val="000000"/>
                <w:sz w:val="22"/>
              </w:rPr>
            </w:pPr>
            <w:r>
              <w:rPr>
                <w:b/>
                <w:bCs/>
                <w:color w:val="000000"/>
                <w:sz w:val="22"/>
              </w:rPr>
              <w:t>环境质量底线：</w:t>
            </w:r>
            <w:r>
              <w:rPr>
                <w:color w:val="000000"/>
                <w:szCs w:val="21"/>
              </w:rPr>
              <w:t>水环境优先保护区/水环境一般管控区/源头水/威溪河源头水域（威溪河）（汇水）/大气环境优先保护区/大气环境受体敏感重点管控区/湖南新宁国家石漠公园/湖南舜皇山国家级自然保护区/农用地优先保护区/建设用地重点管控区/其他重点管控区/一般管控区/矿区/中高风险企业用地/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widowControl/>
              <w:jc w:val="center"/>
              <w:rPr>
                <w:b/>
                <w:color w:val="000000"/>
                <w:szCs w:val="21"/>
              </w:rPr>
            </w:pPr>
            <w:r>
              <w:rPr>
                <w:b/>
                <w:color w:val="000000"/>
                <w:szCs w:val="21"/>
              </w:rPr>
              <w:t>管控维度</w:t>
            </w:r>
          </w:p>
        </w:tc>
        <w:tc>
          <w:tcPr>
            <w:tcW w:w="9634" w:type="dxa"/>
            <w:gridSpan w:val="9"/>
            <w:vAlign w:val="center"/>
          </w:tcPr>
          <w:p>
            <w:pPr>
              <w:jc w:val="center"/>
              <w:rPr>
                <w:b/>
                <w:color w:val="000000"/>
                <w:szCs w:val="21"/>
              </w:rPr>
            </w:pPr>
            <w:r>
              <w:rPr>
                <w:b/>
                <w:color w:val="000000"/>
                <w:kern w:val="0"/>
                <w:szCs w:val="21"/>
              </w:rPr>
              <w:t>管控要求</w:t>
            </w:r>
          </w:p>
        </w:tc>
        <w:tc>
          <w:tcPr>
            <w:tcW w:w="3186"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widowControl/>
              <w:jc w:val="center"/>
              <w:rPr>
                <w:color w:val="000000"/>
                <w:szCs w:val="21"/>
              </w:rPr>
            </w:pPr>
            <w:r>
              <w:rPr>
                <w:color w:val="000000"/>
                <w:szCs w:val="21"/>
              </w:rPr>
              <w:t>空间布局约束</w:t>
            </w:r>
          </w:p>
        </w:tc>
        <w:tc>
          <w:tcPr>
            <w:tcW w:w="9634"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color w:val="000000"/>
                <w:szCs w:val="21"/>
              </w:rPr>
            </w:pPr>
            <w:r>
              <w:rPr>
                <w:color w:val="000000"/>
                <w:szCs w:val="21"/>
              </w:rPr>
              <w:t>（1.3）生态保护红线内，自然保护地核心保护区原则上禁止人为活动，其他区域严格禁止开发性、生产性建设活动。</w:t>
            </w:r>
          </w:p>
        </w:tc>
        <w:tc>
          <w:tcPr>
            <w:tcW w:w="3186"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（2.1.1）（2.2.1）（2.2.2）（2.3.1）（2.3.2）（2.3.3）（2.3.4）（3.1）（3.2）（4.1.1）（4.1.2）《新宁县生态环境保护“十四五”规划》（新环发</w:t>
            </w:r>
            <w:r>
              <w:rPr>
                <w:rFonts w:hint="eastAsia"/>
                <w:color w:val="000000"/>
                <w:szCs w:val="21"/>
              </w:rPr>
              <w:t>〔2021〕11号</w:t>
            </w:r>
            <w:r>
              <w:rPr>
                <w:color w:val="000000"/>
                <w:szCs w:val="21"/>
              </w:rPr>
              <w:t>）</w:t>
            </w:r>
          </w:p>
          <w:p>
            <w:pPr>
              <w:tabs>
                <w:tab w:val="left" w:pos="1021"/>
              </w:tabs>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4" w:type="dxa"/>
            <w:vAlign w:val="center"/>
          </w:tcPr>
          <w:p>
            <w:pPr>
              <w:widowControl/>
              <w:jc w:val="center"/>
              <w:rPr>
                <w:color w:val="000000"/>
                <w:szCs w:val="21"/>
              </w:rPr>
            </w:pPr>
            <w:r>
              <w:rPr>
                <w:color w:val="000000"/>
                <w:szCs w:val="21"/>
              </w:rPr>
              <w:t>污染物排放管控</w:t>
            </w:r>
          </w:p>
        </w:tc>
        <w:tc>
          <w:tcPr>
            <w:tcW w:w="9634"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3186"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354" w:type="dxa"/>
            <w:vAlign w:val="center"/>
          </w:tcPr>
          <w:p>
            <w:pPr>
              <w:widowControl/>
              <w:jc w:val="center"/>
              <w:rPr>
                <w:color w:val="000000"/>
                <w:szCs w:val="21"/>
              </w:rPr>
            </w:pPr>
            <w:r>
              <w:rPr>
                <w:color w:val="000000"/>
                <w:szCs w:val="21"/>
              </w:rPr>
              <w:t>环境风险防控</w:t>
            </w:r>
          </w:p>
        </w:tc>
        <w:tc>
          <w:tcPr>
            <w:tcW w:w="9634"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p>
            <w:pPr>
              <w:tabs>
                <w:tab w:val="left" w:pos="1021"/>
              </w:tabs>
              <w:rPr>
                <w:color w:val="000000"/>
                <w:szCs w:val="21"/>
              </w:rPr>
            </w:pPr>
            <w:r>
              <w:rPr>
                <w:color w:val="000000"/>
                <w:szCs w:val="21"/>
              </w:rPr>
              <w:t>（3.2）开展尾矿库环境风险评估，落实重点监管尾矿库企业环境风险管控措施；全面整治历史遗留尾矿库，完善覆膜、压土、排洪、堤坝加固等措施；对关闭矿山完成闭坑后矿山生态环境修复治理及矿井涌水整治。</w:t>
            </w:r>
          </w:p>
        </w:tc>
        <w:tc>
          <w:tcPr>
            <w:tcW w:w="3186"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354" w:type="dxa"/>
            <w:vAlign w:val="center"/>
          </w:tcPr>
          <w:p>
            <w:pPr>
              <w:widowControl/>
              <w:jc w:val="center"/>
              <w:rPr>
                <w:color w:val="000000"/>
                <w:szCs w:val="21"/>
              </w:rPr>
            </w:pPr>
            <w:r>
              <w:rPr>
                <w:color w:val="000000"/>
                <w:szCs w:val="21"/>
              </w:rPr>
              <w:t>资源开发效率要求</w:t>
            </w:r>
          </w:p>
        </w:tc>
        <w:tc>
          <w:tcPr>
            <w:tcW w:w="9634"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3186"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425"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15"/>
        <w:gridCol w:w="497"/>
        <w:gridCol w:w="497"/>
        <w:gridCol w:w="497"/>
        <w:gridCol w:w="602"/>
        <w:gridCol w:w="1359"/>
        <w:gridCol w:w="1466"/>
        <w:gridCol w:w="1346"/>
        <w:gridCol w:w="2345"/>
        <w:gridCol w:w="20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1415" w:type="dxa"/>
            <w:vMerge w:val="restart"/>
            <w:vAlign w:val="center"/>
          </w:tcPr>
          <w:p>
            <w:pPr>
              <w:widowControl/>
              <w:jc w:val="center"/>
              <w:rPr>
                <w:b/>
                <w:color w:val="000000"/>
                <w:kern w:val="0"/>
                <w:szCs w:val="21"/>
              </w:rPr>
            </w:pPr>
            <w:r>
              <w:rPr>
                <w:b/>
                <w:color w:val="000000"/>
                <w:kern w:val="0"/>
                <w:szCs w:val="21"/>
              </w:rPr>
              <w:t>单元名称</w:t>
            </w:r>
          </w:p>
        </w:tc>
        <w:tc>
          <w:tcPr>
            <w:tcW w:w="1491" w:type="dxa"/>
            <w:gridSpan w:val="3"/>
            <w:vAlign w:val="center"/>
          </w:tcPr>
          <w:p>
            <w:pPr>
              <w:widowControl/>
              <w:jc w:val="center"/>
              <w:rPr>
                <w:b/>
                <w:color w:val="000000"/>
                <w:kern w:val="0"/>
                <w:szCs w:val="21"/>
              </w:rPr>
            </w:pPr>
            <w:r>
              <w:rPr>
                <w:b/>
                <w:color w:val="000000"/>
                <w:kern w:val="0"/>
                <w:szCs w:val="21"/>
              </w:rPr>
              <w:t>行政区划</w:t>
            </w:r>
          </w:p>
        </w:tc>
        <w:tc>
          <w:tcPr>
            <w:tcW w:w="602" w:type="dxa"/>
            <w:vMerge w:val="restart"/>
            <w:vAlign w:val="center"/>
          </w:tcPr>
          <w:p>
            <w:pPr>
              <w:widowControl/>
              <w:jc w:val="center"/>
              <w:rPr>
                <w:b/>
                <w:color w:val="000000"/>
                <w:kern w:val="0"/>
                <w:szCs w:val="21"/>
              </w:rPr>
            </w:pPr>
            <w:r>
              <w:rPr>
                <w:b/>
                <w:color w:val="000000"/>
                <w:kern w:val="0"/>
                <w:szCs w:val="21"/>
              </w:rPr>
              <w:t>单元分类</w:t>
            </w:r>
          </w:p>
        </w:tc>
        <w:tc>
          <w:tcPr>
            <w:tcW w:w="1359"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466" w:type="dxa"/>
            <w:vMerge w:val="restart"/>
            <w:vAlign w:val="center"/>
          </w:tcPr>
          <w:p>
            <w:pPr>
              <w:jc w:val="center"/>
              <w:rPr>
                <w:b/>
                <w:color w:val="000000"/>
                <w:kern w:val="0"/>
                <w:szCs w:val="21"/>
              </w:rPr>
            </w:pPr>
            <w:r>
              <w:rPr>
                <w:b/>
                <w:color w:val="000000"/>
                <w:kern w:val="0"/>
                <w:szCs w:val="21"/>
              </w:rPr>
              <w:t>涉及乡镇(街道)</w:t>
            </w:r>
          </w:p>
        </w:tc>
        <w:tc>
          <w:tcPr>
            <w:tcW w:w="1346" w:type="dxa"/>
            <w:vMerge w:val="restart"/>
            <w:vAlign w:val="center"/>
          </w:tcPr>
          <w:p>
            <w:pPr>
              <w:jc w:val="center"/>
              <w:rPr>
                <w:b/>
                <w:color w:val="000000"/>
                <w:kern w:val="0"/>
                <w:szCs w:val="21"/>
              </w:rPr>
            </w:pPr>
            <w:r>
              <w:rPr>
                <w:b/>
                <w:color w:val="000000"/>
                <w:kern w:val="0"/>
                <w:szCs w:val="21"/>
              </w:rPr>
              <w:t>主体功能定位</w:t>
            </w:r>
          </w:p>
        </w:tc>
        <w:tc>
          <w:tcPr>
            <w:tcW w:w="2554" w:type="dxa"/>
            <w:gridSpan w:val="2"/>
            <w:vMerge w:val="restart"/>
            <w:vAlign w:val="center"/>
          </w:tcPr>
          <w:p>
            <w:pPr>
              <w:jc w:val="center"/>
              <w:rPr>
                <w:b/>
                <w:color w:val="000000"/>
                <w:kern w:val="0"/>
                <w:szCs w:val="21"/>
              </w:rPr>
            </w:pPr>
            <w:r>
              <w:rPr>
                <w:b/>
                <w:color w:val="000000"/>
                <w:kern w:val="0"/>
                <w:szCs w:val="21"/>
              </w:rPr>
              <w:t>经济产业布局</w:t>
            </w:r>
          </w:p>
        </w:tc>
        <w:tc>
          <w:tcPr>
            <w:tcW w:w="2248"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3" w:type="dxa"/>
            <w:vMerge w:val="continue"/>
            <w:vAlign w:val="center"/>
          </w:tcPr>
          <w:p/>
        </w:tc>
        <w:tc>
          <w:tcPr>
            <w:tcW w:w="1415" w:type="dxa"/>
            <w:vMerge w:val="continue"/>
            <w:vAlign w:val="center"/>
          </w:tcPr>
          <w:p/>
        </w:tc>
        <w:tc>
          <w:tcPr>
            <w:tcW w:w="497" w:type="dxa"/>
            <w:vAlign w:val="center"/>
          </w:tcPr>
          <w:p>
            <w:pPr>
              <w:jc w:val="center"/>
              <w:rPr>
                <w:b/>
                <w:color w:val="000000"/>
                <w:szCs w:val="21"/>
              </w:rPr>
            </w:pPr>
            <w:r>
              <w:rPr>
                <w:b/>
                <w:color w:val="000000"/>
                <w:szCs w:val="21"/>
              </w:rPr>
              <w:t>省</w:t>
            </w:r>
          </w:p>
        </w:tc>
        <w:tc>
          <w:tcPr>
            <w:tcW w:w="497" w:type="dxa"/>
            <w:vAlign w:val="center"/>
          </w:tcPr>
          <w:p>
            <w:pPr>
              <w:jc w:val="center"/>
              <w:rPr>
                <w:b/>
                <w:color w:val="000000"/>
                <w:szCs w:val="21"/>
              </w:rPr>
            </w:pPr>
            <w:r>
              <w:rPr>
                <w:b/>
                <w:color w:val="000000"/>
                <w:szCs w:val="21"/>
              </w:rPr>
              <w:t>市</w:t>
            </w:r>
          </w:p>
        </w:tc>
        <w:tc>
          <w:tcPr>
            <w:tcW w:w="497" w:type="dxa"/>
            <w:vAlign w:val="center"/>
          </w:tcPr>
          <w:p>
            <w:pPr>
              <w:jc w:val="center"/>
              <w:rPr>
                <w:b/>
                <w:color w:val="000000"/>
                <w:szCs w:val="21"/>
              </w:rPr>
            </w:pPr>
            <w:r>
              <w:rPr>
                <w:b/>
                <w:color w:val="000000"/>
                <w:szCs w:val="21"/>
              </w:rPr>
              <w:t>县</w:t>
            </w:r>
          </w:p>
        </w:tc>
        <w:tc>
          <w:tcPr>
            <w:tcW w:w="602" w:type="dxa"/>
            <w:vMerge w:val="continue"/>
            <w:vAlign w:val="center"/>
          </w:tcPr>
          <w:p/>
        </w:tc>
        <w:tc>
          <w:tcPr>
            <w:tcW w:w="1359" w:type="dxa"/>
            <w:vMerge w:val="continue"/>
            <w:vAlign w:val="center"/>
          </w:tcPr>
          <w:p/>
        </w:tc>
        <w:tc>
          <w:tcPr>
            <w:tcW w:w="1466" w:type="dxa"/>
            <w:vMerge w:val="continue"/>
            <w:vAlign w:val="center"/>
          </w:tcPr>
          <w:p/>
        </w:tc>
        <w:tc>
          <w:tcPr>
            <w:tcW w:w="1346" w:type="dxa"/>
            <w:vMerge w:val="continue"/>
            <w:vAlign w:val="center"/>
          </w:tcPr>
          <w:p/>
        </w:tc>
        <w:tc>
          <w:tcPr>
            <w:tcW w:w="2554" w:type="dxa"/>
            <w:gridSpan w:val="2"/>
            <w:vMerge w:val="continue"/>
            <w:vAlign w:val="center"/>
          </w:tcPr>
          <w:p/>
        </w:tc>
        <w:tc>
          <w:tcPr>
            <w:tcW w:w="224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jc w:val="center"/>
              <w:rPr>
                <w:color w:val="000000"/>
                <w:szCs w:val="21"/>
              </w:rPr>
            </w:pPr>
            <w:r>
              <w:rPr>
                <w:color w:val="000000"/>
                <w:szCs w:val="21"/>
              </w:rPr>
              <w:t>ZH43052810003</w:t>
            </w:r>
          </w:p>
        </w:tc>
        <w:tc>
          <w:tcPr>
            <w:tcW w:w="1415" w:type="dxa"/>
            <w:vAlign w:val="center"/>
          </w:tcPr>
          <w:p>
            <w:pPr>
              <w:jc w:val="center"/>
              <w:rPr>
                <w:color w:val="000000"/>
                <w:szCs w:val="21"/>
              </w:rPr>
            </w:pPr>
            <w:r>
              <w:rPr>
                <w:color w:val="000000"/>
                <w:szCs w:val="21"/>
              </w:rPr>
              <w:t>黄龙镇\金石镇</w:t>
            </w:r>
          </w:p>
        </w:tc>
        <w:tc>
          <w:tcPr>
            <w:tcW w:w="497" w:type="dxa"/>
            <w:vAlign w:val="center"/>
          </w:tcPr>
          <w:p>
            <w:pPr>
              <w:jc w:val="center"/>
              <w:rPr>
                <w:color w:val="000000"/>
                <w:szCs w:val="21"/>
              </w:rPr>
            </w:pPr>
            <w:r>
              <w:rPr>
                <w:color w:val="000000"/>
                <w:szCs w:val="21"/>
              </w:rPr>
              <w:t>湖南省</w:t>
            </w:r>
          </w:p>
        </w:tc>
        <w:tc>
          <w:tcPr>
            <w:tcW w:w="497" w:type="dxa"/>
            <w:vAlign w:val="center"/>
          </w:tcPr>
          <w:p>
            <w:pPr>
              <w:jc w:val="center"/>
              <w:rPr>
                <w:color w:val="000000"/>
                <w:szCs w:val="21"/>
              </w:rPr>
            </w:pPr>
            <w:r>
              <w:rPr>
                <w:color w:val="000000"/>
                <w:szCs w:val="21"/>
              </w:rPr>
              <w:t>邵阳市</w:t>
            </w:r>
          </w:p>
        </w:tc>
        <w:tc>
          <w:tcPr>
            <w:tcW w:w="497" w:type="dxa"/>
            <w:vAlign w:val="center"/>
          </w:tcPr>
          <w:p>
            <w:pPr>
              <w:jc w:val="center"/>
              <w:rPr>
                <w:color w:val="000000"/>
                <w:szCs w:val="21"/>
              </w:rPr>
            </w:pPr>
            <w:r>
              <w:rPr>
                <w:color w:val="000000"/>
                <w:szCs w:val="21"/>
              </w:rPr>
              <w:t>新宁县</w:t>
            </w:r>
          </w:p>
        </w:tc>
        <w:tc>
          <w:tcPr>
            <w:tcW w:w="602" w:type="dxa"/>
            <w:vAlign w:val="center"/>
          </w:tcPr>
          <w:p>
            <w:pPr>
              <w:jc w:val="center"/>
              <w:rPr>
                <w:color w:val="000000"/>
                <w:szCs w:val="21"/>
              </w:rPr>
            </w:pPr>
            <w:r>
              <w:rPr>
                <w:color w:val="000000"/>
                <w:szCs w:val="21"/>
              </w:rPr>
              <w:t>优先保护单元</w:t>
            </w:r>
          </w:p>
        </w:tc>
        <w:tc>
          <w:tcPr>
            <w:tcW w:w="1359" w:type="dxa"/>
            <w:vAlign w:val="center"/>
          </w:tcPr>
          <w:p>
            <w:pPr>
              <w:jc w:val="center"/>
              <w:rPr>
                <w:color w:val="000000"/>
                <w:szCs w:val="21"/>
              </w:rPr>
            </w:pPr>
            <w:r>
              <w:rPr>
                <w:color w:val="000000"/>
                <w:szCs w:val="21"/>
              </w:rPr>
              <w:t>533.47</w:t>
            </w:r>
          </w:p>
        </w:tc>
        <w:tc>
          <w:tcPr>
            <w:tcW w:w="1466" w:type="dxa"/>
            <w:vAlign w:val="center"/>
          </w:tcPr>
          <w:p>
            <w:pPr>
              <w:jc w:val="center"/>
              <w:rPr>
                <w:color w:val="000000"/>
                <w:szCs w:val="21"/>
              </w:rPr>
            </w:pPr>
            <w:r>
              <w:rPr>
                <w:color w:val="000000"/>
                <w:szCs w:val="21"/>
              </w:rPr>
              <w:t>黄龙镇\金石镇</w:t>
            </w:r>
          </w:p>
        </w:tc>
        <w:tc>
          <w:tcPr>
            <w:tcW w:w="1346" w:type="dxa"/>
            <w:vAlign w:val="center"/>
          </w:tcPr>
          <w:p>
            <w:pPr>
              <w:jc w:val="left"/>
              <w:rPr>
                <w:color w:val="000000"/>
                <w:szCs w:val="21"/>
              </w:rPr>
            </w:pPr>
            <w:r>
              <w:rPr>
                <w:b/>
                <w:bCs/>
                <w:color w:val="000000"/>
                <w:sz w:val="22"/>
              </w:rPr>
              <w:t>黄龙镇：</w:t>
            </w:r>
            <w:r>
              <w:rPr>
                <w:color w:val="000000"/>
                <w:szCs w:val="21"/>
              </w:rPr>
              <w:t>重点生态功能区；</w:t>
            </w:r>
          </w:p>
          <w:p>
            <w:pPr>
              <w:jc w:val="left"/>
              <w:rPr>
                <w:color w:val="000000"/>
                <w:szCs w:val="21"/>
              </w:rPr>
            </w:pPr>
            <w:r>
              <w:rPr>
                <w:b/>
                <w:bCs/>
                <w:color w:val="000000"/>
                <w:sz w:val="22"/>
              </w:rPr>
              <w:t>金石镇：</w:t>
            </w:r>
            <w:r>
              <w:rPr>
                <w:color w:val="000000"/>
                <w:szCs w:val="21"/>
              </w:rPr>
              <w:t>农产品主产区</w:t>
            </w:r>
          </w:p>
        </w:tc>
        <w:tc>
          <w:tcPr>
            <w:tcW w:w="2554" w:type="dxa"/>
            <w:gridSpan w:val="2"/>
            <w:vAlign w:val="center"/>
          </w:tcPr>
          <w:p>
            <w:pPr>
              <w:widowControl/>
              <w:jc w:val="left"/>
              <w:rPr>
                <w:b/>
                <w:bCs/>
                <w:color w:val="000000"/>
                <w:kern w:val="0"/>
                <w:szCs w:val="21"/>
              </w:rPr>
            </w:pPr>
            <w:r>
              <w:rPr>
                <w:b/>
                <w:bCs/>
                <w:color w:val="000000"/>
                <w:sz w:val="22"/>
              </w:rPr>
              <w:t>黄龙镇：</w:t>
            </w:r>
            <w:r>
              <w:rPr>
                <w:color w:val="000000"/>
                <w:szCs w:val="21"/>
              </w:rPr>
              <w:t>旅游、农业种植。</w:t>
            </w:r>
            <w:r>
              <w:rPr>
                <w:b/>
                <w:bCs/>
                <w:color w:val="000000"/>
                <w:sz w:val="22"/>
              </w:rPr>
              <w:t>金石镇：</w:t>
            </w:r>
            <w:r>
              <w:rPr>
                <w:color w:val="000000"/>
                <w:szCs w:val="21"/>
              </w:rPr>
              <w:t>旅游、农业种植。</w:t>
            </w:r>
          </w:p>
        </w:tc>
        <w:tc>
          <w:tcPr>
            <w:tcW w:w="2248" w:type="dxa"/>
            <w:vAlign w:val="center"/>
          </w:tcPr>
          <w:p>
            <w:pPr>
              <w:widowControl/>
              <w:rPr>
                <w:color w:val="000000"/>
                <w:kern w:val="0"/>
                <w:szCs w:val="21"/>
              </w:rPr>
            </w:pPr>
            <w:r>
              <w:rPr>
                <w:b/>
                <w:color w:val="000000"/>
                <w:kern w:val="0"/>
                <w:szCs w:val="21"/>
              </w:rPr>
              <w:t>主要环境问题：</w:t>
            </w:r>
          </w:p>
          <w:p>
            <w:pPr>
              <w:widowControl/>
              <w:rPr>
                <w:b/>
                <w:bCs/>
                <w:color w:val="000000"/>
                <w:kern w:val="0"/>
                <w:szCs w:val="21"/>
              </w:rPr>
            </w:pPr>
            <w:r>
              <w:rPr>
                <w:b/>
                <w:bCs/>
                <w:color w:val="000000"/>
                <w:szCs w:val="21"/>
              </w:rPr>
              <w:t>黄龙镇、金石镇：</w:t>
            </w:r>
          </w:p>
          <w:p>
            <w:pPr>
              <w:widowControl/>
              <w:rPr>
                <w:color w:val="000000"/>
                <w:kern w:val="0"/>
                <w:szCs w:val="21"/>
              </w:rPr>
            </w:pPr>
            <w:r>
              <w:rPr>
                <w:color w:val="000000"/>
                <w:kern w:val="0"/>
                <w:szCs w:val="21"/>
              </w:rPr>
              <w:t>1.部分企业污染治理设施不到位，农村面源污染未得到有效治理；</w:t>
            </w:r>
          </w:p>
          <w:p>
            <w:pPr>
              <w:widowControl/>
              <w:rPr>
                <w:color w:val="000000"/>
                <w:kern w:val="0"/>
                <w:szCs w:val="21"/>
              </w:rPr>
            </w:pPr>
            <w:r>
              <w:rPr>
                <w:color w:val="000000"/>
                <w:kern w:val="0"/>
                <w:szCs w:val="21"/>
              </w:rPr>
              <w:t>2.部分企业地块土壤污染。</w:t>
            </w:r>
          </w:p>
          <w:p>
            <w:pPr>
              <w:widowControl/>
              <w:rPr>
                <w:b/>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kern w:val="0"/>
                <w:szCs w:val="21"/>
              </w:rPr>
            </w:pPr>
            <w:r>
              <w:rPr>
                <w:b/>
                <w:color w:val="000000"/>
                <w:kern w:val="0"/>
                <w:szCs w:val="21"/>
              </w:rPr>
              <w:t>主要属性</w:t>
            </w:r>
          </w:p>
        </w:tc>
        <w:tc>
          <w:tcPr>
            <w:tcW w:w="12481" w:type="dxa"/>
            <w:gridSpan w:val="11"/>
            <w:vAlign w:val="center"/>
          </w:tcPr>
          <w:p>
            <w:pPr>
              <w:rPr>
                <w:b/>
                <w:bCs/>
                <w:color w:val="000000"/>
                <w:sz w:val="22"/>
              </w:rPr>
            </w:pPr>
            <w:r>
              <w:rPr>
                <w:b/>
                <w:bCs/>
                <w:color w:val="000000"/>
                <w:sz w:val="22"/>
              </w:rPr>
              <w:t>黄龙镇：</w:t>
            </w:r>
          </w:p>
          <w:p>
            <w:pPr>
              <w:ind w:firstLine="422" w:firstLineChars="200"/>
              <w:rPr>
                <w:color w:val="000000"/>
                <w:szCs w:val="21"/>
              </w:rPr>
            </w:pPr>
            <w:r>
              <w:rPr>
                <w:b/>
                <w:bCs/>
                <w:color w:val="000000"/>
                <w:szCs w:val="21"/>
              </w:rPr>
              <w:t>生态红线：</w:t>
            </w:r>
            <w:r>
              <w:rPr>
                <w:color w:val="000000"/>
                <w:szCs w:val="21"/>
              </w:rPr>
              <w:t>红线/一般生态空间/自然保护区\水源涵养重要区\三区三线生态红线\湿地公园\水土保持功能重要区\生物多样性保护功能重要区\水土流失敏感区\原生态红线\石漠化敏感区；</w:t>
            </w:r>
          </w:p>
          <w:p>
            <w:pPr>
              <w:ind w:firstLine="442" w:firstLineChars="200"/>
              <w:rPr>
                <w:color w:val="000000"/>
                <w:szCs w:val="21"/>
              </w:rPr>
            </w:pPr>
            <w:r>
              <w:rPr>
                <w:b/>
                <w:bCs/>
                <w:color w:val="000000"/>
                <w:sz w:val="22"/>
              </w:rPr>
              <w:t>环境质量底线：</w:t>
            </w:r>
            <w:r>
              <w:rPr>
                <w:color w:val="000000"/>
                <w:szCs w:val="21"/>
              </w:rPr>
              <w:t>水环境优先保护区/水环境一般管控区/湿地公园/源头水/湖南新宁夫夷江国家级湿地公园/紫水河源头水域（源头至紫云乡政府）/大气环境优先保护区/大气环境受体敏感重点管控区/湖南新宁夫夷江国家湿地公园/湖南东安舜皇山国家级自然保护区/湖南舜皇山国家级自然保护区/农用地优先保护区/其他重点管控区/一般管控区/矿区/重点生态功能区/</w:t>
            </w:r>
          </w:p>
          <w:p>
            <w:pPr>
              <w:rPr>
                <w:b/>
                <w:bCs/>
                <w:color w:val="000000"/>
                <w:sz w:val="22"/>
              </w:rPr>
            </w:pPr>
            <w:r>
              <w:rPr>
                <w:b/>
                <w:bCs/>
                <w:color w:val="000000"/>
                <w:sz w:val="22"/>
              </w:rPr>
              <w:t>金石镇：</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红线/一般生态空间/三区三线生态红线\水源涵养重要区\风景名胜区\湿地公园\自然保护区\地质公园\生物多样性保护功能重要区\水土流失敏感区\原生态红线\石漠化敏感区；</w:t>
            </w:r>
          </w:p>
          <w:p>
            <w:pPr>
              <w:ind w:firstLine="442" w:firstLineChars="200"/>
              <w:rPr>
                <w:color w:val="000000"/>
                <w:szCs w:val="21"/>
              </w:rPr>
            </w:pPr>
            <w:r>
              <w:rPr>
                <w:b/>
                <w:bCs/>
                <w:color w:val="000000"/>
                <w:sz w:val="22"/>
              </w:rPr>
              <w:t>环境质量底线：</w:t>
            </w:r>
            <w:r>
              <w:rPr>
                <w:color w:val="000000"/>
                <w:szCs w:val="21"/>
              </w:rPr>
              <w:t>水环境优先保护区/ 水环境工业污染重点管控区/水环境一般管控区/水源地（县级及以上）、湿地公园/工业园区、污水处理厂/邵阳市新宁县夫夷水饮用水水源保护区、湖南新宁夫夷江国家级湿地公园/新宁产业开发区、新宁县污水处理厂/大气环境优先保护区/大气环境高排放重点管控区/大气环境受体敏感重点管控区/湖南新宁夫夷江国家湿地公园/崀山风景名胜区/湖南舜皇山国家级自然保护区/新宁产业开发区/新宁县工业集中区永安园区/新宁县工业园区/农用地优先保护区/建设用地重点管控区/其他重点管控区/一般管控区/矿区/中高风险企业用地/新宁产业开发区/农产品主产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693" w:type="dxa"/>
            <w:vAlign w:val="center"/>
          </w:tcPr>
          <w:p>
            <w:pPr>
              <w:widowControl/>
              <w:jc w:val="center"/>
              <w:rPr>
                <w:b/>
                <w:color w:val="000000"/>
                <w:szCs w:val="21"/>
              </w:rPr>
            </w:pPr>
            <w:r>
              <w:rPr>
                <w:b/>
                <w:color w:val="000000"/>
                <w:szCs w:val="21"/>
              </w:rPr>
              <w:t>管控维度</w:t>
            </w:r>
          </w:p>
        </w:tc>
        <w:tc>
          <w:tcPr>
            <w:tcW w:w="10024" w:type="dxa"/>
            <w:gridSpan w:val="9"/>
            <w:vAlign w:val="center"/>
          </w:tcPr>
          <w:p>
            <w:pPr>
              <w:jc w:val="center"/>
              <w:rPr>
                <w:b/>
                <w:color w:val="000000"/>
                <w:szCs w:val="21"/>
              </w:rPr>
            </w:pPr>
            <w:r>
              <w:rPr>
                <w:b/>
                <w:color w:val="000000"/>
                <w:kern w:val="0"/>
                <w:szCs w:val="21"/>
              </w:rPr>
              <w:t>管控要求</w:t>
            </w:r>
          </w:p>
        </w:tc>
        <w:tc>
          <w:tcPr>
            <w:tcW w:w="2457"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空间布局约束</w:t>
            </w:r>
          </w:p>
        </w:tc>
        <w:tc>
          <w:tcPr>
            <w:tcW w:w="10024"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废弃物。运输有毒有害物质的船舶和车辆进入保护区，须经批准并设置防渗、防溢、防漏设施。</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color w:val="000000"/>
                <w:szCs w:val="21"/>
              </w:rPr>
            </w:pPr>
            <w:r>
              <w:rPr>
                <w:color w:val="000000"/>
                <w:szCs w:val="21"/>
              </w:rPr>
              <w:t>（1.3）生态保护红线内，自然保护地核心保护区原则上禁止人为活动，其他区域严格禁止开发性、生产性建设活动。</w:t>
            </w:r>
          </w:p>
          <w:p>
            <w:pPr>
              <w:tabs>
                <w:tab w:val="left" w:pos="1021"/>
              </w:tabs>
              <w:rPr>
                <w:color w:val="000000"/>
                <w:szCs w:val="21"/>
              </w:rPr>
            </w:pPr>
            <w:r>
              <w:rPr>
                <w:color w:val="000000"/>
                <w:szCs w:val="21"/>
              </w:rPr>
              <w:t>（1.4）禁燃区内禁止使用、销售高污染燃料。禁燃区内不得新建、改建、扩建任何燃用高污染燃料的设备。</w:t>
            </w:r>
          </w:p>
        </w:tc>
        <w:tc>
          <w:tcPr>
            <w:tcW w:w="2457"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（2.1.1）（2.2.1）（2.2.2）（2.3.1）（2.3.2）（2.3.3）（2.3.4）（3.1）（4.1.1）（4.1.2）《新宁县生态环境保护“十四五”规划》（新环发</w:t>
            </w:r>
            <w:r>
              <w:rPr>
                <w:rFonts w:hint="eastAsia"/>
                <w:color w:val="000000"/>
                <w:szCs w:val="21"/>
              </w:rPr>
              <w:t>〔2021〕11号</w:t>
            </w:r>
            <w:r>
              <w:rPr>
                <w:color w:val="000000"/>
                <w:szCs w:val="21"/>
              </w:rPr>
              <w:t>）</w:t>
            </w:r>
          </w:p>
          <w:p>
            <w:pPr>
              <w:tabs>
                <w:tab w:val="left" w:pos="1021"/>
              </w:tabs>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污染物排放管控</w:t>
            </w:r>
          </w:p>
        </w:tc>
        <w:tc>
          <w:tcPr>
            <w:tcW w:w="10024"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245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环境风险防控</w:t>
            </w:r>
          </w:p>
        </w:tc>
        <w:tc>
          <w:tcPr>
            <w:tcW w:w="10024" w:type="dxa"/>
            <w:gridSpan w:val="9"/>
            <w:vAlign w:val="center"/>
          </w:tcPr>
          <w:p>
            <w:pPr>
              <w:tabs>
                <w:tab w:val="left" w:pos="1021"/>
              </w:tabs>
              <w:rPr>
                <w:strike/>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tc>
        <w:tc>
          <w:tcPr>
            <w:tcW w:w="245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资源开发效率要求</w:t>
            </w:r>
          </w:p>
        </w:tc>
        <w:tc>
          <w:tcPr>
            <w:tcW w:w="10024"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2457"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p>
      <w:pPr>
        <w:widowControl/>
        <w:jc w:val="left"/>
        <w:rPr>
          <w:color w:val="000000"/>
          <w:szCs w:val="21"/>
        </w:rPr>
      </w:pPr>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15"/>
        <w:gridCol w:w="497"/>
        <w:gridCol w:w="497"/>
        <w:gridCol w:w="497"/>
        <w:gridCol w:w="925"/>
        <w:gridCol w:w="1036"/>
        <w:gridCol w:w="1466"/>
        <w:gridCol w:w="1488"/>
        <w:gridCol w:w="1324"/>
        <w:gridCol w:w="108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1415" w:type="dxa"/>
            <w:vMerge w:val="restart"/>
            <w:vAlign w:val="center"/>
          </w:tcPr>
          <w:p>
            <w:pPr>
              <w:widowControl/>
              <w:jc w:val="center"/>
              <w:rPr>
                <w:b/>
                <w:color w:val="000000"/>
                <w:kern w:val="0"/>
                <w:szCs w:val="21"/>
              </w:rPr>
            </w:pPr>
            <w:r>
              <w:rPr>
                <w:b/>
                <w:color w:val="000000"/>
                <w:kern w:val="0"/>
                <w:szCs w:val="21"/>
              </w:rPr>
              <w:t>单元名称</w:t>
            </w:r>
          </w:p>
        </w:tc>
        <w:tc>
          <w:tcPr>
            <w:tcW w:w="1491" w:type="dxa"/>
            <w:gridSpan w:val="3"/>
            <w:vAlign w:val="center"/>
          </w:tcPr>
          <w:p>
            <w:pPr>
              <w:widowControl/>
              <w:jc w:val="center"/>
              <w:rPr>
                <w:b/>
                <w:color w:val="000000"/>
                <w:kern w:val="0"/>
                <w:szCs w:val="21"/>
              </w:rPr>
            </w:pPr>
            <w:r>
              <w:rPr>
                <w:b/>
                <w:color w:val="000000"/>
                <w:kern w:val="0"/>
                <w:szCs w:val="21"/>
              </w:rPr>
              <w:t>行政区划</w:t>
            </w:r>
          </w:p>
        </w:tc>
        <w:tc>
          <w:tcPr>
            <w:tcW w:w="925" w:type="dxa"/>
            <w:vMerge w:val="restart"/>
            <w:vAlign w:val="center"/>
          </w:tcPr>
          <w:p>
            <w:pPr>
              <w:widowControl/>
              <w:jc w:val="center"/>
              <w:rPr>
                <w:b/>
                <w:color w:val="000000"/>
                <w:kern w:val="0"/>
                <w:szCs w:val="21"/>
              </w:rPr>
            </w:pPr>
            <w:r>
              <w:rPr>
                <w:b/>
                <w:color w:val="000000"/>
                <w:kern w:val="0"/>
                <w:szCs w:val="21"/>
              </w:rPr>
              <w:t>单元分类</w:t>
            </w:r>
          </w:p>
        </w:tc>
        <w:tc>
          <w:tcPr>
            <w:tcW w:w="1036"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466" w:type="dxa"/>
            <w:vMerge w:val="restart"/>
            <w:vAlign w:val="center"/>
          </w:tcPr>
          <w:p>
            <w:pPr>
              <w:jc w:val="center"/>
              <w:rPr>
                <w:b/>
                <w:color w:val="000000"/>
                <w:kern w:val="0"/>
                <w:szCs w:val="21"/>
              </w:rPr>
            </w:pPr>
            <w:r>
              <w:rPr>
                <w:b/>
                <w:color w:val="000000"/>
                <w:kern w:val="0"/>
                <w:szCs w:val="21"/>
              </w:rPr>
              <w:t>涉及乡镇(街道)</w:t>
            </w:r>
          </w:p>
        </w:tc>
        <w:tc>
          <w:tcPr>
            <w:tcW w:w="1488" w:type="dxa"/>
            <w:vMerge w:val="restart"/>
            <w:vAlign w:val="center"/>
          </w:tcPr>
          <w:p>
            <w:pPr>
              <w:jc w:val="center"/>
              <w:rPr>
                <w:b/>
                <w:color w:val="000000"/>
                <w:kern w:val="0"/>
                <w:szCs w:val="21"/>
              </w:rPr>
            </w:pPr>
            <w:r>
              <w:rPr>
                <w:b/>
                <w:color w:val="000000"/>
                <w:kern w:val="0"/>
                <w:szCs w:val="21"/>
              </w:rPr>
              <w:t>主体功能定位</w:t>
            </w:r>
          </w:p>
        </w:tc>
        <w:tc>
          <w:tcPr>
            <w:tcW w:w="2412" w:type="dxa"/>
            <w:gridSpan w:val="2"/>
            <w:vMerge w:val="restart"/>
            <w:vAlign w:val="center"/>
          </w:tcPr>
          <w:p>
            <w:pPr>
              <w:jc w:val="center"/>
              <w:rPr>
                <w:b/>
                <w:color w:val="000000"/>
                <w:kern w:val="0"/>
                <w:szCs w:val="21"/>
              </w:rPr>
            </w:pPr>
            <w:r>
              <w:rPr>
                <w:b/>
                <w:color w:val="000000"/>
                <w:kern w:val="0"/>
                <w:szCs w:val="21"/>
              </w:rPr>
              <w:t>经济产业布局</w:t>
            </w:r>
          </w:p>
        </w:tc>
        <w:tc>
          <w:tcPr>
            <w:tcW w:w="2248"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3" w:type="dxa"/>
            <w:vMerge w:val="continue"/>
            <w:vAlign w:val="center"/>
          </w:tcPr>
          <w:p/>
        </w:tc>
        <w:tc>
          <w:tcPr>
            <w:tcW w:w="1415" w:type="dxa"/>
            <w:vMerge w:val="continue"/>
            <w:vAlign w:val="center"/>
          </w:tcPr>
          <w:p/>
        </w:tc>
        <w:tc>
          <w:tcPr>
            <w:tcW w:w="497" w:type="dxa"/>
            <w:vAlign w:val="center"/>
          </w:tcPr>
          <w:p>
            <w:pPr>
              <w:jc w:val="center"/>
              <w:rPr>
                <w:b/>
                <w:color w:val="000000"/>
                <w:szCs w:val="21"/>
              </w:rPr>
            </w:pPr>
            <w:r>
              <w:rPr>
                <w:b/>
                <w:color w:val="000000"/>
                <w:szCs w:val="21"/>
              </w:rPr>
              <w:t>省</w:t>
            </w:r>
          </w:p>
        </w:tc>
        <w:tc>
          <w:tcPr>
            <w:tcW w:w="497" w:type="dxa"/>
            <w:vAlign w:val="center"/>
          </w:tcPr>
          <w:p>
            <w:pPr>
              <w:jc w:val="center"/>
              <w:rPr>
                <w:b/>
                <w:color w:val="000000"/>
                <w:szCs w:val="21"/>
              </w:rPr>
            </w:pPr>
            <w:r>
              <w:rPr>
                <w:b/>
                <w:color w:val="000000"/>
                <w:szCs w:val="21"/>
              </w:rPr>
              <w:t>市</w:t>
            </w:r>
          </w:p>
        </w:tc>
        <w:tc>
          <w:tcPr>
            <w:tcW w:w="497" w:type="dxa"/>
            <w:vAlign w:val="center"/>
          </w:tcPr>
          <w:p>
            <w:pPr>
              <w:jc w:val="center"/>
              <w:rPr>
                <w:b/>
                <w:color w:val="000000"/>
                <w:szCs w:val="21"/>
              </w:rPr>
            </w:pPr>
            <w:r>
              <w:rPr>
                <w:b/>
                <w:color w:val="000000"/>
                <w:szCs w:val="21"/>
              </w:rPr>
              <w:t>县</w:t>
            </w:r>
          </w:p>
        </w:tc>
        <w:tc>
          <w:tcPr>
            <w:tcW w:w="925" w:type="dxa"/>
            <w:vMerge w:val="continue"/>
            <w:vAlign w:val="center"/>
          </w:tcPr>
          <w:p/>
        </w:tc>
        <w:tc>
          <w:tcPr>
            <w:tcW w:w="1036" w:type="dxa"/>
            <w:vMerge w:val="continue"/>
            <w:vAlign w:val="center"/>
          </w:tcPr>
          <w:p/>
        </w:tc>
        <w:tc>
          <w:tcPr>
            <w:tcW w:w="1466" w:type="dxa"/>
            <w:vMerge w:val="continue"/>
            <w:vAlign w:val="center"/>
          </w:tcPr>
          <w:p/>
        </w:tc>
        <w:tc>
          <w:tcPr>
            <w:tcW w:w="1488" w:type="dxa"/>
            <w:vMerge w:val="continue"/>
            <w:vAlign w:val="center"/>
          </w:tcPr>
          <w:p/>
        </w:tc>
        <w:tc>
          <w:tcPr>
            <w:tcW w:w="2412" w:type="dxa"/>
            <w:gridSpan w:val="2"/>
            <w:vMerge w:val="continue"/>
            <w:vAlign w:val="center"/>
          </w:tcPr>
          <w:p/>
        </w:tc>
        <w:tc>
          <w:tcPr>
            <w:tcW w:w="224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jc w:val="center"/>
              <w:rPr>
                <w:color w:val="000000"/>
                <w:szCs w:val="21"/>
              </w:rPr>
            </w:pPr>
            <w:r>
              <w:rPr>
                <w:color w:val="000000"/>
                <w:szCs w:val="21"/>
              </w:rPr>
              <w:t>ZH43052810004</w:t>
            </w:r>
          </w:p>
        </w:tc>
        <w:tc>
          <w:tcPr>
            <w:tcW w:w="1415" w:type="dxa"/>
            <w:vAlign w:val="center"/>
          </w:tcPr>
          <w:p>
            <w:pPr>
              <w:jc w:val="center"/>
              <w:rPr>
                <w:color w:val="000000"/>
                <w:szCs w:val="21"/>
              </w:rPr>
            </w:pPr>
            <w:r>
              <w:rPr>
                <w:color w:val="000000"/>
                <w:szCs w:val="21"/>
              </w:rPr>
              <w:t>高桥镇\清江桥乡</w:t>
            </w:r>
          </w:p>
        </w:tc>
        <w:tc>
          <w:tcPr>
            <w:tcW w:w="497" w:type="dxa"/>
            <w:vAlign w:val="center"/>
          </w:tcPr>
          <w:p>
            <w:pPr>
              <w:jc w:val="center"/>
              <w:rPr>
                <w:color w:val="000000"/>
                <w:szCs w:val="21"/>
              </w:rPr>
            </w:pPr>
            <w:r>
              <w:rPr>
                <w:color w:val="000000"/>
                <w:szCs w:val="21"/>
              </w:rPr>
              <w:t>湖南省</w:t>
            </w:r>
          </w:p>
        </w:tc>
        <w:tc>
          <w:tcPr>
            <w:tcW w:w="497" w:type="dxa"/>
            <w:vAlign w:val="center"/>
          </w:tcPr>
          <w:p>
            <w:pPr>
              <w:jc w:val="center"/>
              <w:rPr>
                <w:color w:val="000000"/>
                <w:szCs w:val="21"/>
              </w:rPr>
            </w:pPr>
            <w:r>
              <w:rPr>
                <w:color w:val="000000"/>
                <w:szCs w:val="21"/>
              </w:rPr>
              <w:t>邵阳市</w:t>
            </w:r>
          </w:p>
        </w:tc>
        <w:tc>
          <w:tcPr>
            <w:tcW w:w="497" w:type="dxa"/>
            <w:vAlign w:val="center"/>
          </w:tcPr>
          <w:p>
            <w:pPr>
              <w:jc w:val="center"/>
              <w:rPr>
                <w:color w:val="000000"/>
                <w:szCs w:val="21"/>
              </w:rPr>
            </w:pPr>
            <w:r>
              <w:rPr>
                <w:color w:val="000000"/>
                <w:szCs w:val="21"/>
              </w:rPr>
              <w:t>新宁县</w:t>
            </w:r>
          </w:p>
        </w:tc>
        <w:tc>
          <w:tcPr>
            <w:tcW w:w="925" w:type="dxa"/>
            <w:vAlign w:val="center"/>
          </w:tcPr>
          <w:p>
            <w:pPr>
              <w:jc w:val="center"/>
              <w:rPr>
                <w:color w:val="000000"/>
                <w:szCs w:val="21"/>
              </w:rPr>
            </w:pPr>
            <w:r>
              <w:rPr>
                <w:color w:val="000000"/>
                <w:szCs w:val="21"/>
              </w:rPr>
              <w:t>优先保护单元</w:t>
            </w:r>
          </w:p>
        </w:tc>
        <w:tc>
          <w:tcPr>
            <w:tcW w:w="1036" w:type="dxa"/>
            <w:vAlign w:val="center"/>
          </w:tcPr>
          <w:p>
            <w:pPr>
              <w:jc w:val="center"/>
              <w:rPr>
                <w:color w:val="000000"/>
                <w:szCs w:val="21"/>
              </w:rPr>
            </w:pPr>
            <w:r>
              <w:rPr>
                <w:color w:val="000000"/>
                <w:szCs w:val="21"/>
              </w:rPr>
              <w:t>285.19</w:t>
            </w:r>
          </w:p>
        </w:tc>
        <w:tc>
          <w:tcPr>
            <w:tcW w:w="1466" w:type="dxa"/>
            <w:vAlign w:val="center"/>
          </w:tcPr>
          <w:p>
            <w:pPr>
              <w:jc w:val="center"/>
              <w:rPr>
                <w:color w:val="000000"/>
                <w:szCs w:val="21"/>
              </w:rPr>
            </w:pPr>
            <w:r>
              <w:rPr>
                <w:color w:val="000000"/>
                <w:szCs w:val="21"/>
              </w:rPr>
              <w:t>高桥镇\清江桥乡</w:t>
            </w:r>
          </w:p>
        </w:tc>
        <w:tc>
          <w:tcPr>
            <w:tcW w:w="1488" w:type="dxa"/>
            <w:vAlign w:val="center"/>
          </w:tcPr>
          <w:p>
            <w:pPr>
              <w:jc w:val="center"/>
              <w:rPr>
                <w:color w:val="000000"/>
                <w:szCs w:val="21"/>
              </w:rPr>
            </w:pPr>
            <w:r>
              <w:rPr>
                <w:b/>
                <w:bCs/>
                <w:color w:val="000000"/>
                <w:szCs w:val="21"/>
              </w:rPr>
              <w:t>高桥镇：</w:t>
            </w:r>
            <w:r>
              <w:rPr>
                <w:color w:val="000000"/>
                <w:szCs w:val="21"/>
              </w:rPr>
              <w:t>农产品主产区；</w:t>
            </w:r>
          </w:p>
          <w:p>
            <w:pPr>
              <w:jc w:val="center"/>
              <w:rPr>
                <w:color w:val="000000"/>
                <w:szCs w:val="21"/>
              </w:rPr>
            </w:pPr>
            <w:r>
              <w:rPr>
                <w:b/>
                <w:bCs/>
                <w:color w:val="000000"/>
                <w:szCs w:val="21"/>
              </w:rPr>
              <w:t>清江桥乡：</w:t>
            </w:r>
            <w:r>
              <w:rPr>
                <w:color w:val="000000"/>
                <w:szCs w:val="21"/>
              </w:rPr>
              <w:t>重点生态功能区</w:t>
            </w:r>
          </w:p>
        </w:tc>
        <w:tc>
          <w:tcPr>
            <w:tcW w:w="2412" w:type="dxa"/>
            <w:gridSpan w:val="2"/>
            <w:vAlign w:val="center"/>
          </w:tcPr>
          <w:p>
            <w:pPr>
              <w:widowControl/>
              <w:jc w:val="left"/>
              <w:rPr>
                <w:color w:val="000000"/>
                <w:szCs w:val="21"/>
              </w:rPr>
            </w:pPr>
            <w:r>
              <w:rPr>
                <w:b/>
                <w:bCs/>
                <w:color w:val="000000"/>
                <w:szCs w:val="21"/>
              </w:rPr>
              <w:t>高桥镇：</w:t>
            </w:r>
            <w:r>
              <w:rPr>
                <w:color w:val="000000"/>
                <w:szCs w:val="21"/>
              </w:rPr>
              <w:t>农业种植。</w:t>
            </w:r>
          </w:p>
          <w:p>
            <w:pPr>
              <w:widowControl/>
              <w:jc w:val="left"/>
              <w:rPr>
                <w:color w:val="000000"/>
                <w:szCs w:val="21"/>
              </w:rPr>
            </w:pPr>
            <w:r>
              <w:rPr>
                <w:b/>
                <w:bCs/>
                <w:color w:val="000000"/>
                <w:szCs w:val="21"/>
              </w:rPr>
              <w:t>清江桥乡：</w:t>
            </w:r>
            <w:r>
              <w:rPr>
                <w:color w:val="000000"/>
                <w:szCs w:val="21"/>
              </w:rPr>
              <w:t>农业种植、旅游。</w:t>
            </w:r>
          </w:p>
        </w:tc>
        <w:tc>
          <w:tcPr>
            <w:tcW w:w="2248" w:type="dxa"/>
            <w:vAlign w:val="center"/>
          </w:tcPr>
          <w:p>
            <w:pPr>
              <w:widowControl/>
              <w:rPr>
                <w:color w:val="000000"/>
                <w:kern w:val="0"/>
                <w:szCs w:val="21"/>
              </w:rPr>
            </w:pPr>
            <w:r>
              <w:rPr>
                <w:b/>
                <w:color w:val="000000"/>
                <w:kern w:val="0"/>
                <w:szCs w:val="21"/>
              </w:rPr>
              <w:t>主要环境问题：</w:t>
            </w:r>
          </w:p>
          <w:p>
            <w:pPr>
              <w:widowControl/>
              <w:rPr>
                <w:b/>
                <w:bCs/>
                <w:color w:val="000000"/>
                <w:kern w:val="0"/>
                <w:szCs w:val="21"/>
              </w:rPr>
            </w:pPr>
            <w:r>
              <w:rPr>
                <w:b/>
                <w:bCs/>
                <w:color w:val="000000"/>
                <w:szCs w:val="21"/>
              </w:rPr>
              <w:t>高桥镇、清江桥乡：</w:t>
            </w:r>
          </w:p>
          <w:p>
            <w:pPr>
              <w:widowControl/>
              <w:rPr>
                <w:color w:val="000000"/>
                <w:kern w:val="0"/>
                <w:szCs w:val="21"/>
              </w:rPr>
            </w:pPr>
            <w:r>
              <w:rPr>
                <w:color w:val="000000"/>
                <w:kern w:val="0"/>
                <w:szCs w:val="21"/>
              </w:rPr>
              <w:t>1.部分企业污染治理设施不到位，农村面源污染未得到有效治理；</w:t>
            </w:r>
          </w:p>
          <w:p>
            <w:pPr>
              <w:widowControl/>
              <w:rPr>
                <w:color w:val="000000"/>
                <w:kern w:val="0"/>
                <w:szCs w:val="21"/>
              </w:rPr>
            </w:pPr>
            <w:r>
              <w:rPr>
                <w:color w:val="000000"/>
                <w:kern w:val="0"/>
                <w:szCs w:val="21"/>
              </w:rPr>
              <w:t>2.部分企业地块土壤污染。</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kern w:val="0"/>
                <w:szCs w:val="21"/>
              </w:rPr>
            </w:pPr>
            <w:r>
              <w:rPr>
                <w:b/>
                <w:color w:val="000000"/>
                <w:kern w:val="0"/>
                <w:szCs w:val="21"/>
              </w:rPr>
              <w:t>主要属性</w:t>
            </w:r>
          </w:p>
        </w:tc>
        <w:tc>
          <w:tcPr>
            <w:tcW w:w="12481" w:type="dxa"/>
            <w:gridSpan w:val="11"/>
            <w:vAlign w:val="center"/>
          </w:tcPr>
          <w:p>
            <w:pPr>
              <w:rPr>
                <w:b/>
                <w:bCs/>
                <w:color w:val="000000"/>
                <w:sz w:val="22"/>
              </w:rPr>
            </w:pPr>
            <w:r>
              <w:rPr>
                <w:b/>
                <w:bCs/>
                <w:color w:val="000000"/>
                <w:sz w:val="22"/>
              </w:rPr>
              <w:t>高桥镇：</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红线/一般生态空间/三区三线生态红线\水源涵养重要区\湿地公园\原生态红线\水土流失敏感区\生物多样性保护功能重要区；</w:t>
            </w:r>
          </w:p>
          <w:p>
            <w:pPr>
              <w:ind w:firstLine="442" w:firstLineChars="200"/>
              <w:rPr>
                <w:color w:val="000000"/>
                <w:szCs w:val="21"/>
              </w:rPr>
            </w:pPr>
            <w:r>
              <w:rPr>
                <w:b/>
                <w:bCs/>
                <w:color w:val="000000"/>
                <w:sz w:val="22"/>
              </w:rPr>
              <w:t>环境质量底线：</w:t>
            </w:r>
            <w:r>
              <w:rPr>
                <w:color w:val="000000"/>
                <w:szCs w:val="21"/>
              </w:rPr>
              <w:t>水环境优先保护区/水环境一般管控区/湿地公园/湖南新宁夫夷江国家级湿地公园/大气环境优先保护区/大气环境受体敏感重点管控区/湖南新宁夫夷江国家湿地公园/农用地优先保护区/其他重点管控区/一般管控区/矿区/农产品主产区</w:t>
            </w:r>
          </w:p>
          <w:p>
            <w:pPr>
              <w:rPr>
                <w:b/>
                <w:bCs/>
                <w:color w:val="000000"/>
                <w:sz w:val="22"/>
              </w:rPr>
            </w:pPr>
            <w:r>
              <w:rPr>
                <w:b/>
                <w:bCs/>
                <w:color w:val="000000"/>
                <w:sz w:val="22"/>
              </w:rPr>
              <w:t>清江桥乡：</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红线/一般生态空间/三区三线生态红线\水源涵养重要区\自然保护区\湿地公园\生物多样性保护功能重要区\水土流失敏感区\原生态红线\水土保持功能重要区；</w:t>
            </w:r>
          </w:p>
          <w:p>
            <w:pPr>
              <w:ind w:firstLine="442" w:firstLineChars="200"/>
              <w:rPr>
                <w:color w:val="000000"/>
                <w:szCs w:val="21"/>
              </w:rPr>
            </w:pPr>
            <w:r>
              <w:rPr>
                <w:b/>
                <w:bCs/>
                <w:color w:val="000000"/>
                <w:sz w:val="22"/>
              </w:rPr>
              <w:t>环境质量底线：</w:t>
            </w:r>
            <w:r>
              <w:rPr>
                <w:color w:val="000000"/>
                <w:szCs w:val="21"/>
              </w:rPr>
              <w:t>水环境优先保护区/水环境其他重点管控区/水环境一般管控区/湿地公园/重金属矿/湖南新宁夫夷江国家级湿地公园/新宁县清江桥巴凌冲铁矿有限公司巴凌冲大冲铁矿、新宁县金天山矿业有限公司兴隆锑矿、新宁县田家矿业有限责任公司田家锑矿、新宁县清江金铁矿矿业有限公司清江金矿、安徽兴邦控股有限公司三明铁矿、新宁县五里矿业有限责任公司六角冲锑矿/大气环境优先保护区/大气环境受体敏感重点管控区/湖南新宁夫夷江国家湿地公园/湖南东安舜皇山国家级自然保护区/湖南舜皇山国家级自然保护区/农用地优先保护区/建设用地重点管控区/其他重点管控区/一般管控区/矿区/中高风险企业用地/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szCs w:val="21"/>
              </w:rPr>
            </w:pPr>
            <w:r>
              <w:rPr>
                <w:b/>
                <w:color w:val="000000"/>
                <w:szCs w:val="21"/>
              </w:rPr>
              <w:t>管控维度</w:t>
            </w:r>
          </w:p>
        </w:tc>
        <w:tc>
          <w:tcPr>
            <w:tcW w:w="9145" w:type="dxa"/>
            <w:gridSpan w:val="9"/>
            <w:vAlign w:val="center"/>
          </w:tcPr>
          <w:p>
            <w:pPr>
              <w:jc w:val="center"/>
              <w:rPr>
                <w:b/>
                <w:color w:val="000000"/>
                <w:szCs w:val="21"/>
              </w:rPr>
            </w:pPr>
            <w:r>
              <w:rPr>
                <w:b/>
                <w:color w:val="000000"/>
                <w:kern w:val="0"/>
                <w:szCs w:val="21"/>
              </w:rPr>
              <w:t>管控要求</w:t>
            </w:r>
          </w:p>
        </w:tc>
        <w:tc>
          <w:tcPr>
            <w:tcW w:w="3336"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空间布局约束</w:t>
            </w:r>
          </w:p>
        </w:tc>
        <w:tc>
          <w:tcPr>
            <w:tcW w:w="9145"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color w:val="000000"/>
                <w:szCs w:val="21"/>
              </w:rPr>
            </w:pPr>
            <w:r>
              <w:rPr>
                <w:color w:val="000000"/>
                <w:szCs w:val="21"/>
              </w:rPr>
              <w:t>（1.3）生态保护红线内，自然保护地核心保护区原则上禁止人为活动，其他区域严格禁止开发性、生产性建设活动。</w:t>
            </w:r>
          </w:p>
        </w:tc>
        <w:tc>
          <w:tcPr>
            <w:tcW w:w="3336"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（2.1.1）（2.2.1）（2.2.2）（2.3.1）（2.3.2）（2.3.3）（2.3.4）（3.1）（3.2）（4.1.1）（4.1.2）《新宁县生态环境保护“十四五”规划》（新环发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污染物排放管控</w:t>
            </w:r>
          </w:p>
        </w:tc>
        <w:tc>
          <w:tcPr>
            <w:tcW w:w="9145"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3336"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环境风险防控</w:t>
            </w:r>
          </w:p>
        </w:tc>
        <w:tc>
          <w:tcPr>
            <w:tcW w:w="9145"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p>
            <w:pPr>
              <w:tabs>
                <w:tab w:val="left" w:pos="1021"/>
              </w:tabs>
              <w:rPr>
                <w:strike/>
                <w:color w:val="000000"/>
                <w:szCs w:val="21"/>
              </w:rPr>
            </w:pPr>
            <w:r>
              <w:rPr>
                <w:color w:val="000000"/>
                <w:szCs w:val="21"/>
              </w:rPr>
              <w:t>（3.2）开展尾矿库环境风险评估，落实重点监管尾矿库企业环境风险管控措施；全面整治历史遗留尾矿库，完善覆膜、压土、排洪、堤坝加固等措施；对关闭矿山完成闭坑后矿山生态环境修复治理及矿井涌水整治。</w:t>
            </w:r>
          </w:p>
        </w:tc>
        <w:tc>
          <w:tcPr>
            <w:tcW w:w="3336"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资源开发效率要求</w:t>
            </w:r>
          </w:p>
        </w:tc>
        <w:tc>
          <w:tcPr>
            <w:tcW w:w="9145"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3336"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15"/>
        <w:gridCol w:w="497"/>
        <w:gridCol w:w="497"/>
        <w:gridCol w:w="497"/>
        <w:gridCol w:w="602"/>
        <w:gridCol w:w="1359"/>
        <w:gridCol w:w="1466"/>
        <w:gridCol w:w="1914"/>
        <w:gridCol w:w="277"/>
        <w:gridCol w:w="170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1415" w:type="dxa"/>
            <w:vMerge w:val="restart"/>
            <w:vAlign w:val="center"/>
          </w:tcPr>
          <w:p>
            <w:pPr>
              <w:widowControl/>
              <w:jc w:val="center"/>
              <w:rPr>
                <w:b/>
                <w:color w:val="000000"/>
                <w:kern w:val="0"/>
                <w:szCs w:val="21"/>
              </w:rPr>
            </w:pPr>
            <w:r>
              <w:rPr>
                <w:b/>
                <w:color w:val="000000"/>
                <w:kern w:val="0"/>
                <w:szCs w:val="21"/>
              </w:rPr>
              <w:t>单元名称</w:t>
            </w:r>
          </w:p>
        </w:tc>
        <w:tc>
          <w:tcPr>
            <w:tcW w:w="1491" w:type="dxa"/>
            <w:gridSpan w:val="3"/>
            <w:vAlign w:val="center"/>
          </w:tcPr>
          <w:p>
            <w:pPr>
              <w:widowControl/>
              <w:jc w:val="center"/>
              <w:rPr>
                <w:b/>
                <w:color w:val="000000"/>
                <w:kern w:val="0"/>
                <w:szCs w:val="21"/>
              </w:rPr>
            </w:pPr>
            <w:r>
              <w:rPr>
                <w:b/>
                <w:color w:val="000000"/>
                <w:kern w:val="0"/>
                <w:szCs w:val="21"/>
              </w:rPr>
              <w:t>行政区划</w:t>
            </w:r>
          </w:p>
        </w:tc>
        <w:tc>
          <w:tcPr>
            <w:tcW w:w="602" w:type="dxa"/>
            <w:vMerge w:val="restart"/>
            <w:vAlign w:val="center"/>
          </w:tcPr>
          <w:p>
            <w:pPr>
              <w:widowControl/>
              <w:jc w:val="center"/>
              <w:rPr>
                <w:b/>
                <w:color w:val="000000"/>
                <w:kern w:val="0"/>
                <w:szCs w:val="21"/>
              </w:rPr>
            </w:pPr>
            <w:r>
              <w:rPr>
                <w:b/>
                <w:color w:val="000000"/>
                <w:kern w:val="0"/>
                <w:szCs w:val="21"/>
              </w:rPr>
              <w:t>单元分类</w:t>
            </w:r>
          </w:p>
        </w:tc>
        <w:tc>
          <w:tcPr>
            <w:tcW w:w="1359"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466" w:type="dxa"/>
            <w:vMerge w:val="restart"/>
            <w:vAlign w:val="center"/>
          </w:tcPr>
          <w:p>
            <w:pPr>
              <w:jc w:val="center"/>
              <w:rPr>
                <w:b/>
                <w:color w:val="000000"/>
                <w:kern w:val="0"/>
                <w:szCs w:val="21"/>
              </w:rPr>
            </w:pPr>
            <w:r>
              <w:rPr>
                <w:b/>
                <w:color w:val="000000"/>
                <w:kern w:val="0"/>
                <w:szCs w:val="21"/>
              </w:rPr>
              <w:t>涉及乡镇(街道)</w:t>
            </w:r>
          </w:p>
        </w:tc>
        <w:tc>
          <w:tcPr>
            <w:tcW w:w="1914" w:type="dxa"/>
            <w:vMerge w:val="restart"/>
            <w:vAlign w:val="center"/>
          </w:tcPr>
          <w:p>
            <w:pPr>
              <w:jc w:val="center"/>
              <w:rPr>
                <w:b/>
                <w:color w:val="000000"/>
                <w:kern w:val="0"/>
                <w:szCs w:val="21"/>
              </w:rPr>
            </w:pPr>
            <w:r>
              <w:rPr>
                <w:b/>
                <w:color w:val="000000"/>
                <w:kern w:val="0"/>
                <w:szCs w:val="21"/>
              </w:rPr>
              <w:t>主体功能定位</w:t>
            </w:r>
          </w:p>
        </w:tc>
        <w:tc>
          <w:tcPr>
            <w:tcW w:w="1986" w:type="dxa"/>
            <w:gridSpan w:val="2"/>
            <w:vMerge w:val="restart"/>
            <w:vAlign w:val="center"/>
          </w:tcPr>
          <w:p>
            <w:pPr>
              <w:jc w:val="center"/>
              <w:rPr>
                <w:b/>
                <w:color w:val="000000"/>
                <w:kern w:val="0"/>
                <w:szCs w:val="21"/>
              </w:rPr>
            </w:pPr>
            <w:r>
              <w:rPr>
                <w:b/>
                <w:color w:val="000000"/>
                <w:kern w:val="0"/>
                <w:szCs w:val="21"/>
              </w:rPr>
              <w:t>经济产业布局</w:t>
            </w:r>
          </w:p>
        </w:tc>
        <w:tc>
          <w:tcPr>
            <w:tcW w:w="2248"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3" w:type="dxa"/>
            <w:vMerge w:val="continue"/>
            <w:vAlign w:val="center"/>
          </w:tcPr>
          <w:p/>
        </w:tc>
        <w:tc>
          <w:tcPr>
            <w:tcW w:w="1415" w:type="dxa"/>
            <w:vMerge w:val="continue"/>
            <w:vAlign w:val="center"/>
          </w:tcPr>
          <w:p/>
        </w:tc>
        <w:tc>
          <w:tcPr>
            <w:tcW w:w="497" w:type="dxa"/>
            <w:vAlign w:val="center"/>
          </w:tcPr>
          <w:p>
            <w:pPr>
              <w:jc w:val="center"/>
              <w:rPr>
                <w:b/>
                <w:color w:val="000000"/>
                <w:szCs w:val="21"/>
              </w:rPr>
            </w:pPr>
            <w:r>
              <w:rPr>
                <w:b/>
                <w:color w:val="000000"/>
                <w:szCs w:val="21"/>
              </w:rPr>
              <w:t>省</w:t>
            </w:r>
          </w:p>
        </w:tc>
        <w:tc>
          <w:tcPr>
            <w:tcW w:w="497" w:type="dxa"/>
            <w:vAlign w:val="center"/>
          </w:tcPr>
          <w:p>
            <w:pPr>
              <w:jc w:val="center"/>
              <w:rPr>
                <w:b/>
                <w:color w:val="000000"/>
                <w:szCs w:val="21"/>
              </w:rPr>
            </w:pPr>
            <w:r>
              <w:rPr>
                <w:b/>
                <w:color w:val="000000"/>
                <w:szCs w:val="21"/>
              </w:rPr>
              <w:t>市</w:t>
            </w:r>
          </w:p>
        </w:tc>
        <w:tc>
          <w:tcPr>
            <w:tcW w:w="497" w:type="dxa"/>
            <w:vAlign w:val="center"/>
          </w:tcPr>
          <w:p>
            <w:pPr>
              <w:jc w:val="center"/>
              <w:rPr>
                <w:b/>
                <w:color w:val="000000"/>
                <w:szCs w:val="21"/>
              </w:rPr>
            </w:pPr>
            <w:r>
              <w:rPr>
                <w:b/>
                <w:color w:val="000000"/>
                <w:szCs w:val="21"/>
              </w:rPr>
              <w:t>县</w:t>
            </w:r>
          </w:p>
        </w:tc>
        <w:tc>
          <w:tcPr>
            <w:tcW w:w="602" w:type="dxa"/>
            <w:vMerge w:val="continue"/>
            <w:vAlign w:val="center"/>
          </w:tcPr>
          <w:p/>
        </w:tc>
        <w:tc>
          <w:tcPr>
            <w:tcW w:w="1359" w:type="dxa"/>
            <w:vMerge w:val="continue"/>
            <w:vAlign w:val="center"/>
          </w:tcPr>
          <w:p/>
        </w:tc>
        <w:tc>
          <w:tcPr>
            <w:tcW w:w="1466" w:type="dxa"/>
            <w:vMerge w:val="continue"/>
            <w:vAlign w:val="center"/>
          </w:tcPr>
          <w:p/>
        </w:tc>
        <w:tc>
          <w:tcPr>
            <w:tcW w:w="1914" w:type="dxa"/>
            <w:vMerge w:val="continue"/>
            <w:vAlign w:val="center"/>
          </w:tcPr>
          <w:p/>
        </w:tc>
        <w:tc>
          <w:tcPr>
            <w:tcW w:w="1986" w:type="dxa"/>
            <w:gridSpan w:val="2"/>
            <w:vMerge w:val="continue"/>
            <w:vAlign w:val="center"/>
          </w:tcPr>
          <w:p/>
        </w:tc>
        <w:tc>
          <w:tcPr>
            <w:tcW w:w="224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jc w:val="center"/>
              <w:rPr>
                <w:color w:val="000000"/>
                <w:szCs w:val="21"/>
              </w:rPr>
            </w:pPr>
            <w:r>
              <w:rPr>
                <w:color w:val="000000"/>
                <w:szCs w:val="21"/>
              </w:rPr>
              <w:t>ZH43052810005</w:t>
            </w:r>
          </w:p>
        </w:tc>
        <w:tc>
          <w:tcPr>
            <w:tcW w:w="1415" w:type="dxa"/>
            <w:vAlign w:val="center"/>
          </w:tcPr>
          <w:p>
            <w:pPr>
              <w:jc w:val="center"/>
              <w:rPr>
                <w:color w:val="000000"/>
                <w:szCs w:val="21"/>
              </w:rPr>
            </w:pPr>
            <w:r>
              <w:rPr>
                <w:color w:val="000000"/>
                <w:szCs w:val="21"/>
              </w:rPr>
              <w:t>崀山镇</w:t>
            </w:r>
          </w:p>
        </w:tc>
        <w:tc>
          <w:tcPr>
            <w:tcW w:w="497" w:type="dxa"/>
            <w:vAlign w:val="center"/>
          </w:tcPr>
          <w:p>
            <w:pPr>
              <w:jc w:val="center"/>
              <w:rPr>
                <w:color w:val="000000"/>
                <w:szCs w:val="21"/>
              </w:rPr>
            </w:pPr>
            <w:r>
              <w:rPr>
                <w:color w:val="000000"/>
                <w:szCs w:val="21"/>
              </w:rPr>
              <w:t>湖南省</w:t>
            </w:r>
          </w:p>
        </w:tc>
        <w:tc>
          <w:tcPr>
            <w:tcW w:w="497" w:type="dxa"/>
            <w:vAlign w:val="center"/>
          </w:tcPr>
          <w:p>
            <w:pPr>
              <w:jc w:val="center"/>
              <w:rPr>
                <w:color w:val="000000"/>
                <w:szCs w:val="21"/>
              </w:rPr>
            </w:pPr>
            <w:r>
              <w:rPr>
                <w:color w:val="000000"/>
                <w:szCs w:val="21"/>
              </w:rPr>
              <w:t>邵阳市</w:t>
            </w:r>
          </w:p>
        </w:tc>
        <w:tc>
          <w:tcPr>
            <w:tcW w:w="497" w:type="dxa"/>
            <w:vAlign w:val="center"/>
          </w:tcPr>
          <w:p>
            <w:pPr>
              <w:jc w:val="center"/>
              <w:rPr>
                <w:color w:val="000000"/>
                <w:szCs w:val="21"/>
              </w:rPr>
            </w:pPr>
            <w:r>
              <w:rPr>
                <w:color w:val="000000"/>
                <w:szCs w:val="21"/>
              </w:rPr>
              <w:t>新宁县</w:t>
            </w:r>
          </w:p>
        </w:tc>
        <w:tc>
          <w:tcPr>
            <w:tcW w:w="602" w:type="dxa"/>
            <w:vAlign w:val="center"/>
          </w:tcPr>
          <w:p>
            <w:pPr>
              <w:jc w:val="center"/>
              <w:rPr>
                <w:color w:val="000000"/>
                <w:szCs w:val="21"/>
              </w:rPr>
            </w:pPr>
            <w:r>
              <w:rPr>
                <w:color w:val="000000"/>
                <w:szCs w:val="21"/>
              </w:rPr>
              <w:t>优先保护单元</w:t>
            </w:r>
          </w:p>
        </w:tc>
        <w:tc>
          <w:tcPr>
            <w:tcW w:w="1359" w:type="dxa"/>
            <w:vAlign w:val="center"/>
          </w:tcPr>
          <w:p>
            <w:pPr>
              <w:jc w:val="center"/>
              <w:rPr>
                <w:color w:val="000000"/>
                <w:szCs w:val="21"/>
              </w:rPr>
            </w:pPr>
            <w:r>
              <w:rPr>
                <w:color w:val="000000"/>
                <w:szCs w:val="21"/>
              </w:rPr>
              <w:t>266.25</w:t>
            </w:r>
          </w:p>
        </w:tc>
        <w:tc>
          <w:tcPr>
            <w:tcW w:w="1466" w:type="dxa"/>
            <w:vAlign w:val="center"/>
          </w:tcPr>
          <w:p>
            <w:pPr>
              <w:jc w:val="center"/>
              <w:rPr>
                <w:color w:val="000000"/>
                <w:szCs w:val="21"/>
              </w:rPr>
            </w:pPr>
            <w:r>
              <w:rPr>
                <w:color w:val="000000"/>
                <w:szCs w:val="21"/>
              </w:rPr>
              <w:t>崀山镇</w:t>
            </w:r>
          </w:p>
        </w:tc>
        <w:tc>
          <w:tcPr>
            <w:tcW w:w="1914" w:type="dxa"/>
            <w:vAlign w:val="center"/>
          </w:tcPr>
          <w:p>
            <w:pPr>
              <w:jc w:val="center"/>
              <w:rPr>
                <w:color w:val="000000"/>
                <w:szCs w:val="21"/>
              </w:rPr>
            </w:pPr>
            <w:r>
              <w:rPr>
                <w:color w:val="000000"/>
                <w:szCs w:val="21"/>
              </w:rPr>
              <w:t>重点生态功能区/历史文化资源富集区</w:t>
            </w:r>
          </w:p>
        </w:tc>
        <w:tc>
          <w:tcPr>
            <w:tcW w:w="1986" w:type="dxa"/>
            <w:gridSpan w:val="2"/>
            <w:vAlign w:val="center"/>
          </w:tcPr>
          <w:p>
            <w:pPr>
              <w:widowControl/>
              <w:jc w:val="center"/>
              <w:rPr>
                <w:color w:val="000000"/>
                <w:kern w:val="0"/>
                <w:szCs w:val="21"/>
              </w:rPr>
            </w:pPr>
            <w:r>
              <w:rPr>
                <w:color w:val="000000"/>
                <w:kern w:val="0"/>
                <w:szCs w:val="21"/>
              </w:rPr>
              <w:t>农业种植、畜禽养殖、农副产品加工、食品加工、机电设备制造、制鞋、裘革加工、旅游开发及旅游产品加工、社会事业、建筑材料及砖瓦制造、矿山开采、矿泉水开采、竹木加工、</w:t>
            </w:r>
            <w:r>
              <w:rPr>
                <w:rFonts w:hint="eastAsia"/>
                <w:color w:val="000000"/>
                <w:kern w:val="0"/>
                <w:szCs w:val="21"/>
              </w:rPr>
              <w:t>水力发电</w:t>
            </w:r>
            <w:r>
              <w:rPr>
                <w:color w:val="000000"/>
                <w:kern w:val="0"/>
                <w:szCs w:val="21"/>
              </w:rPr>
              <w:t>、风力发电</w:t>
            </w:r>
          </w:p>
        </w:tc>
        <w:tc>
          <w:tcPr>
            <w:tcW w:w="2248" w:type="dxa"/>
            <w:vAlign w:val="center"/>
          </w:tcPr>
          <w:p>
            <w:pPr>
              <w:widowControl/>
              <w:rPr>
                <w:color w:val="000000"/>
                <w:kern w:val="0"/>
                <w:szCs w:val="21"/>
              </w:rPr>
            </w:pPr>
            <w:r>
              <w:rPr>
                <w:b/>
                <w:color w:val="000000"/>
                <w:kern w:val="0"/>
                <w:szCs w:val="21"/>
              </w:rPr>
              <w:t>主要环境问题：</w:t>
            </w:r>
            <w:r>
              <w:rPr>
                <w:color w:val="000000"/>
                <w:kern w:val="0"/>
                <w:szCs w:val="21"/>
              </w:rPr>
              <w:t>农村生活污水未完全收集、农村面源污染未得到有效治理；部分企业地块土壤污染</w:t>
            </w:r>
          </w:p>
          <w:p>
            <w:pPr>
              <w:widowControl/>
              <w:rPr>
                <w:color w:val="000000"/>
                <w:kern w:val="0"/>
                <w:szCs w:val="21"/>
              </w:rPr>
            </w:pPr>
            <w:r>
              <w:rPr>
                <w:b/>
                <w:color w:val="000000"/>
                <w:kern w:val="0"/>
                <w:szCs w:val="21"/>
              </w:rPr>
              <w:t>重要敏感目标：</w:t>
            </w:r>
            <w:r>
              <w:rPr>
                <w:color w:val="000000"/>
                <w:szCs w:val="21"/>
              </w:rPr>
              <w:t>邵阳市新宁县夫夷水饮用水水源保护区、湖南舜皇山国家级自然保护区</w:t>
            </w:r>
            <w:r>
              <w:rPr>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kern w:val="0"/>
                <w:szCs w:val="21"/>
              </w:rPr>
            </w:pPr>
            <w:r>
              <w:rPr>
                <w:b/>
                <w:color w:val="000000"/>
                <w:kern w:val="0"/>
                <w:szCs w:val="21"/>
              </w:rPr>
              <w:t>主要属性</w:t>
            </w:r>
          </w:p>
        </w:tc>
        <w:tc>
          <w:tcPr>
            <w:tcW w:w="12481" w:type="dxa"/>
            <w:gridSpan w:val="11"/>
            <w:vAlign w:val="center"/>
          </w:tcPr>
          <w:p>
            <w:pPr>
              <w:rPr>
                <w:b/>
                <w:bCs/>
                <w:color w:val="000000"/>
                <w:sz w:val="22"/>
              </w:rPr>
            </w:pPr>
            <w:r>
              <w:rPr>
                <w:b/>
                <w:bCs/>
                <w:color w:val="000000"/>
                <w:sz w:val="22"/>
              </w:rPr>
              <w:t>崀山镇：</w:t>
            </w:r>
          </w:p>
          <w:p>
            <w:pPr>
              <w:ind w:firstLine="422" w:firstLineChars="200"/>
              <w:rPr>
                <w:color w:val="000000"/>
                <w:szCs w:val="21"/>
              </w:rPr>
            </w:pPr>
            <w:r>
              <w:rPr>
                <w:b/>
                <w:bCs/>
                <w:color w:val="000000"/>
                <w:szCs w:val="21"/>
              </w:rPr>
              <w:t>生态红线：</w:t>
            </w:r>
            <w:r>
              <w:rPr>
                <w:color w:val="000000"/>
                <w:szCs w:val="21"/>
              </w:rPr>
              <w:t>红线/一般生态空间/水源涵养重要区\风景名胜区\三区三线生态红线\地质公园\生物多样性保护功能重要区\水土流失敏感区\原生态红线\石漠化敏感区\自然保护区\水土保持功能重要区/水环境优先保护区；</w:t>
            </w:r>
          </w:p>
          <w:p>
            <w:pPr>
              <w:ind w:firstLine="442" w:firstLineChars="200"/>
              <w:rPr>
                <w:color w:val="000000"/>
                <w:szCs w:val="21"/>
              </w:rPr>
            </w:pPr>
            <w:r>
              <w:rPr>
                <w:b/>
                <w:bCs/>
                <w:color w:val="000000"/>
                <w:sz w:val="22"/>
              </w:rPr>
              <w:t>环境质量底线：</w:t>
            </w:r>
            <w:r>
              <w:rPr>
                <w:color w:val="000000"/>
                <w:szCs w:val="21"/>
              </w:rPr>
              <w:t>水环境一般管控区/水源地（县级及以上）/邵阳市新宁县夫夷水饮用水水源保护区/大气环境优先保护区/大气环境受体敏感重点管控区/崀山风景名胜区/湖南舜皇山国家级自然保护区/农用地优先保护区/建设用地重点管控区/其他重点管控区/一般管控区/矿区/中高风险企业用地/重点生态功能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szCs w:val="21"/>
              </w:rPr>
            </w:pPr>
            <w:r>
              <w:rPr>
                <w:b/>
                <w:color w:val="000000"/>
                <w:szCs w:val="21"/>
              </w:rPr>
              <w:t>管控维度</w:t>
            </w:r>
          </w:p>
        </w:tc>
        <w:tc>
          <w:tcPr>
            <w:tcW w:w="8524" w:type="dxa"/>
            <w:gridSpan w:val="9"/>
            <w:vAlign w:val="center"/>
          </w:tcPr>
          <w:p>
            <w:pPr>
              <w:jc w:val="center"/>
              <w:rPr>
                <w:b/>
                <w:color w:val="000000"/>
                <w:szCs w:val="21"/>
              </w:rPr>
            </w:pPr>
            <w:r>
              <w:rPr>
                <w:b/>
                <w:color w:val="000000"/>
                <w:kern w:val="0"/>
                <w:szCs w:val="21"/>
              </w:rPr>
              <w:t>管控要求</w:t>
            </w:r>
          </w:p>
        </w:tc>
        <w:tc>
          <w:tcPr>
            <w:tcW w:w="3957"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空间布局约束</w:t>
            </w:r>
          </w:p>
        </w:tc>
        <w:tc>
          <w:tcPr>
            <w:tcW w:w="8524"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strike/>
                <w:color w:val="000000"/>
                <w:szCs w:val="21"/>
              </w:rPr>
            </w:pPr>
            <w:r>
              <w:rPr>
                <w:color w:val="000000"/>
                <w:szCs w:val="21"/>
              </w:rPr>
              <w:t>（1.3）生态保护红线内，自然保护地核心保护区原则上禁止人为活动，其他区域严格禁止开发性、生产性建设活动。</w:t>
            </w:r>
          </w:p>
        </w:tc>
        <w:tc>
          <w:tcPr>
            <w:tcW w:w="3957"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（2.1.1）（2.2.1）（2.2.2）（2.3.1）（2.3.2）（2.3.3）（2.3.4）（3.1）（3.2）（4.1.1）（4.1.2）《新宁县生态环境保护“十四五”规划》（新环发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污染物排放管控</w:t>
            </w:r>
          </w:p>
        </w:tc>
        <w:tc>
          <w:tcPr>
            <w:tcW w:w="8524"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strike/>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395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环境风险防控</w:t>
            </w:r>
          </w:p>
        </w:tc>
        <w:tc>
          <w:tcPr>
            <w:tcW w:w="8524"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p>
            <w:pPr>
              <w:tabs>
                <w:tab w:val="left" w:pos="1021"/>
              </w:tabs>
              <w:rPr>
                <w:strike/>
                <w:color w:val="000000"/>
                <w:szCs w:val="21"/>
              </w:rPr>
            </w:pPr>
            <w:r>
              <w:rPr>
                <w:color w:val="000000"/>
                <w:szCs w:val="21"/>
              </w:rPr>
              <w:t>（3.2）开展尾矿库环境风险评估，落实重点监管尾矿库企业环境风险管控措施；全面整治历史遗留尾矿库，完善覆膜、压土、排洪、堤坝加固等措施；对关闭矿山完成闭坑后矿山生态环境修复治理及矿井涌水整治。</w:t>
            </w:r>
          </w:p>
        </w:tc>
        <w:tc>
          <w:tcPr>
            <w:tcW w:w="395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资源开发效率要求</w:t>
            </w:r>
          </w:p>
        </w:tc>
        <w:tc>
          <w:tcPr>
            <w:tcW w:w="8524"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3957"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425"/>
        <w:gridCol w:w="425"/>
        <w:gridCol w:w="426"/>
        <w:gridCol w:w="1134"/>
        <w:gridCol w:w="992"/>
        <w:gridCol w:w="1055"/>
        <w:gridCol w:w="1415"/>
        <w:gridCol w:w="3302"/>
        <w:gridCol w:w="102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jc w:val="center"/>
              <w:rPr>
                <w:b/>
                <w:color w:val="000000"/>
                <w:kern w:val="0"/>
                <w:szCs w:val="21"/>
              </w:rPr>
            </w:pPr>
            <w:r>
              <w:rPr>
                <w:color w:val="000000"/>
                <w:szCs w:val="21"/>
              </w:rPr>
              <w:br w:type="page"/>
            </w:r>
            <w:r>
              <w:rPr>
                <w:b/>
                <w:color w:val="000000"/>
                <w:kern w:val="0"/>
                <w:szCs w:val="21"/>
              </w:rPr>
              <w:t>环境管控单元编码</w:t>
            </w:r>
          </w:p>
        </w:tc>
        <w:tc>
          <w:tcPr>
            <w:tcW w:w="851" w:type="dxa"/>
            <w:vMerge w:val="restart"/>
            <w:vAlign w:val="center"/>
          </w:tcPr>
          <w:p>
            <w:pPr>
              <w:widowControl/>
              <w:jc w:val="center"/>
              <w:rPr>
                <w:b/>
                <w:color w:val="000000"/>
                <w:kern w:val="0"/>
                <w:szCs w:val="21"/>
              </w:rPr>
            </w:pPr>
            <w:r>
              <w:rPr>
                <w:b/>
                <w:color w:val="000000"/>
                <w:kern w:val="0"/>
                <w:szCs w:val="21"/>
              </w:rPr>
              <w:t>单元名称</w:t>
            </w:r>
          </w:p>
        </w:tc>
        <w:tc>
          <w:tcPr>
            <w:tcW w:w="1276" w:type="dxa"/>
            <w:gridSpan w:val="3"/>
            <w:vAlign w:val="center"/>
          </w:tcPr>
          <w:p>
            <w:pPr>
              <w:widowControl/>
              <w:jc w:val="center"/>
              <w:rPr>
                <w:b/>
                <w:color w:val="000000"/>
                <w:kern w:val="0"/>
                <w:szCs w:val="21"/>
              </w:rPr>
            </w:pPr>
            <w:r>
              <w:rPr>
                <w:b/>
                <w:color w:val="000000"/>
                <w:kern w:val="0"/>
                <w:szCs w:val="21"/>
              </w:rPr>
              <w:t>行政区划</w:t>
            </w:r>
          </w:p>
        </w:tc>
        <w:tc>
          <w:tcPr>
            <w:tcW w:w="1134" w:type="dxa"/>
            <w:vMerge w:val="restart"/>
            <w:vAlign w:val="center"/>
          </w:tcPr>
          <w:p>
            <w:pPr>
              <w:widowControl/>
              <w:jc w:val="center"/>
              <w:rPr>
                <w:b/>
                <w:color w:val="000000"/>
                <w:kern w:val="0"/>
                <w:szCs w:val="21"/>
              </w:rPr>
            </w:pPr>
            <w:r>
              <w:rPr>
                <w:b/>
                <w:color w:val="000000"/>
                <w:kern w:val="0"/>
                <w:szCs w:val="21"/>
              </w:rPr>
              <w:t>单元分类</w:t>
            </w:r>
          </w:p>
        </w:tc>
        <w:tc>
          <w:tcPr>
            <w:tcW w:w="992"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055" w:type="dxa"/>
            <w:vMerge w:val="restart"/>
            <w:vAlign w:val="center"/>
          </w:tcPr>
          <w:p>
            <w:pPr>
              <w:jc w:val="center"/>
              <w:rPr>
                <w:b/>
                <w:color w:val="000000"/>
                <w:kern w:val="0"/>
                <w:szCs w:val="21"/>
              </w:rPr>
            </w:pPr>
            <w:r>
              <w:rPr>
                <w:b/>
                <w:color w:val="000000"/>
                <w:kern w:val="0"/>
                <w:szCs w:val="21"/>
              </w:rPr>
              <w:t>涉及乡镇(街道)</w:t>
            </w:r>
          </w:p>
        </w:tc>
        <w:tc>
          <w:tcPr>
            <w:tcW w:w="1415" w:type="dxa"/>
            <w:vMerge w:val="restart"/>
            <w:vAlign w:val="center"/>
          </w:tcPr>
          <w:p>
            <w:pPr>
              <w:jc w:val="center"/>
              <w:rPr>
                <w:b/>
                <w:color w:val="000000"/>
                <w:kern w:val="0"/>
                <w:szCs w:val="21"/>
              </w:rPr>
            </w:pPr>
            <w:r>
              <w:rPr>
                <w:b/>
                <w:color w:val="000000"/>
                <w:kern w:val="0"/>
                <w:szCs w:val="21"/>
              </w:rPr>
              <w:t>主体功能定位</w:t>
            </w:r>
          </w:p>
        </w:tc>
        <w:tc>
          <w:tcPr>
            <w:tcW w:w="4329" w:type="dxa"/>
            <w:gridSpan w:val="2"/>
            <w:vMerge w:val="restart"/>
            <w:vAlign w:val="center"/>
          </w:tcPr>
          <w:p>
            <w:pPr>
              <w:jc w:val="center"/>
              <w:rPr>
                <w:b/>
                <w:color w:val="000000"/>
                <w:kern w:val="0"/>
                <w:szCs w:val="21"/>
              </w:rPr>
            </w:pPr>
            <w:r>
              <w:rPr>
                <w:b/>
                <w:color w:val="000000"/>
                <w:kern w:val="0"/>
                <w:szCs w:val="21"/>
              </w:rPr>
              <w:t>经济产业布局</w:t>
            </w:r>
          </w:p>
        </w:tc>
        <w:tc>
          <w:tcPr>
            <w:tcW w:w="1771"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vAlign w:val="center"/>
          </w:tcPr>
          <w:p/>
        </w:tc>
        <w:tc>
          <w:tcPr>
            <w:tcW w:w="851" w:type="dxa"/>
            <w:vMerge w:val="continue"/>
            <w:vAlign w:val="center"/>
          </w:tcPr>
          <w:p/>
        </w:tc>
        <w:tc>
          <w:tcPr>
            <w:tcW w:w="425" w:type="dxa"/>
            <w:vAlign w:val="center"/>
          </w:tcPr>
          <w:p>
            <w:pPr>
              <w:jc w:val="center"/>
              <w:rPr>
                <w:b/>
                <w:color w:val="000000"/>
                <w:szCs w:val="21"/>
              </w:rPr>
            </w:pPr>
            <w:r>
              <w:rPr>
                <w:b/>
                <w:color w:val="000000"/>
                <w:szCs w:val="21"/>
              </w:rPr>
              <w:t>省</w:t>
            </w:r>
          </w:p>
        </w:tc>
        <w:tc>
          <w:tcPr>
            <w:tcW w:w="425" w:type="dxa"/>
            <w:vAlign w:val="center"/>
          </w:tcPr>
          <w:p>
            <w:pPr>
              <w:jc w:val="center"/>
              <w:rPr>
                <w:b/>
                <w:color w:val="000000"/>
                <w:szCs w:val="21"/>
              </w:rPr>
            </w:pPr>
            <w:r>
              <w:rPr>
                <w:b/>
                <w:color w:val="000000"/>
                <w:szCs w:val="21"/>
              </w:rPr>
              <w:t>市</w:t>
            </w:r>
          </w:p>
        </w:tc>
        <w:tc>
          <w:tcPr>
            <w:tcW w:w="426" w:type="dxa"/>
            <w:vAlign w:val="center"/>
          </w:tcPr>
          <w:p>
            <w:pPr>
              <w:jc w:val="center"/>
              <w:rPr>
                <w:b/>
                <w:color w:val="000000"/>
                <w:szCs w:val="21"/>
              </w:rPr>
            </w:pPr>
            <w:r>
              <w:rPr>
                <w:b/>
                <w:color w:val="000000"/>
                <w:szCs w:val="21"/>
              </w:rPr>
              <w:t>县</w:t>
            </w:r>
          </w:p>
        </w:tc>
        <w:tc>
          <w:tcPr>
            <w:tcW w:w="1134" w:type="dxa"/>
            <w:vMerge w:val="continue"/>
            <w:vAlign w:val="center"/>
          </w:tcPr>
          <w:p/>
        </w:tc>
        <w:tc>
          <w:tcPr>
            <w:tcW w:w="992" w:type="dxa"/>
            <w:vMerge w:val="continue"/>
            <w:vAlign w:val="center"/>
          </w:tcPr>
          <w:p/>
        </w:tc>
        <w:tc>
          <w:tcPr>
            <w:tcW w:w="1055" w:type="dxa"/>
            <w:vMerge w:val="continue"/>
            <w:vAlign w:val="center"/>
          </w:tcPr>
          <w:p/>
        </w:tc>
        <w:tc>
          <w:tcPr>
            <w:tcW w:w="1415" w:type="dxa"/>
            <w:vMerge w:val="continue"/>
            <w:vAlign w:val="center"/>
          </w:tcPr>
          <w:p/>
        </w:tc>
        <w:tc>
          <w:tcPr>
            <w:tcW w:w="4329" w:type="dxa"/>
            <w:gridSpan w:val="2"/>
            <w:vMerge w:val="continue"/>
            <w:vAlign w:val="center"/>
          </w:tcPr>
          <w:p/>
        </w:tc>
        <w:tc>
          <w:tcPr>
            <w:tcW w:w="17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134" w:type="dxa"/>
            <w:vAlign w:val="center"/>
          </w:tcPr>
          <w:p>
            <w:pPr>
              <w:jc w:val="center"/>
              <w:rPr>
                <w:color w:val="000000"/>
                <w:szCs w:val="21"/>
              </w:rPr>
            </w:pPr>
            <w:r>
              <w:rPr>
                <w:color w:val="000000"/>
                <w:szCs w:val="21"/>
              </w:rPr>
              <w:t>ZH43052810002</w:t>
            </w:r>
          </w:p>
        </w:tc>
        <w:tc>
          <w:tcPr>
            <w:tcW w:w="851" w:type="dxa"/>
            <w:vAlign w:val="center"/>
          </w:tcPr>
          <w:p>
            <w:pPr>
              <w:jc w:val="center"/>
              <w:rPr>
                <w:color w:val="000000"/>
                <w:szCs w:val="21"/>
              </w:rPr>
            </w:pPr>
            <w:r>
              <w:rPr>
                <w:color w:val="000000"/>
                <w:szCs w:val="21"/>
              </w:rPr>
              <w:t>靖位乡</w:t>
            </w:r>
          </w:p>
        </w:tc>
        <w:tc>
          <w:tcPr>
            <w:tcW w:w="425" w:type="dxa"/>
            <w:vAlign w:val="center"/>
          </w:tcPr>
          <w:p>
            <w:pPr>
              <w:jc w:val="center"/>
              <w:rPr>
                <w:color w:val="000000"/>
                <w:szCs w:val="21"/>
              </w:rPr>
            </w:pPr>
            <w:r>
              <w:rPr>
                <w:color w:val="000000"/>
                <w:szCs w:val="21"/>
              </w:rPr>
              <w:t>湖南省</w:t>
            </w:r>
          </w:p>
        </w:tc>
        <w:tc>
          <w:tcPr>
            <w:tcW w:w="425" w:type="dxa"/>
            <w:vAlign w:val="center"/>
          </w:tcPr>
          <w:p>
            <w:pPr>
              <w:jc w:val="center"/>
              <w:rPr>
                <w:color w:val="000000"/>
                <w:szCs w:val="21"/>
              </w:rPr>
            </w:pPr>
            <w:r>
              <w:rPr>
                <w:color w:val="000000"/>
                <w:szCs w:val="21"/>
              </w:rPr>
              <w:t>邵阳市</w:t>
            </w:r>
          </w:p>
        </w:tc>
        <w:tc>
          <w:tcPr>
            <w:tcW w:w="426" w:type="dxa"/>
            <w:vAlign w:val="center"/>
          </w:tcPr>
          <w:p>
            <w:pPr>
              <w:jc w:val="center"/>
              <w:rPr>
                <w:color w:val="000000"/>
                <w:szCs w:val="21"/>
              </w:rPr>
            </w:pPr>
            <w:r>
              <w:rPr>
                <w:color w:val="000000"/>
                <w:szCs w:val="21"/>
              </w:rPr>
              <w:t>新宁县</w:t>
            </w:r>
          </w:p>
        </w:tc>
        <w:tc>
          <w:tcPr>
            <w:tcW w:w="1134" w:type="dxa"/>
            <w:vAlign w:val="center"/>
          </w:tcPr>
          <w:p>
            <w:pPr>
              <w:jc w:val="center"/>
              <w:rPr>
                <w:color w:val="000000"/>
                <w:szCs w:val="21"/>
              </w:rPr>
            </w:pPr>
            <w:r>
              <w:rPr>
                <w:color w:val="000000"/>
                <w:szCs w:val="21"/>
              </w:rPr>
              <w:t>优先保护单元</w:t>
            </w:r>
          </w:p>
        </w:tc>
        <w:tc>
          <w:tcPr>
            <w:tcW w:w="992" w:type="dxa"/>
            <w:vAlign w:val="center"/>
          </w:tcPr>
          <w:p>
            <w:pPr>
              <w:jc w:val="center"/>
              <w:rPr>
                <w:color w:val="000000"/>
                <w:szCs w:val="21"/>
              </w:rPr>
            </w:pPr>
            <w:r>
              <w:rPr>
                <w:color w:val="000000"/>
                <w:szCs w:val="21"/>
              </w:rPr>
              <w:t>63.28</w:t>
            </w:r>
          </w:p>
        </w:tc>
        <w:tc>
          <w:tcPr>
            <w:tcW w:w="1055" w:type="dxa"/>
            <w:vAlign w:val="center"/>
          </w:tcPr>
          <w:p>
            <w:pPr>
              <w:jc w:val="center"/>
              <w:rPr>
                <w:color w:val="000000"/>
                <w:szCs w:val="21"/>
              </w:rPr>
            </w:pPr>
            <w:r>
              <w:rPr>
                <w:color w:val="000000"/>
                <w:szCs w:val="21"/>
              </w:rPr>
              <w:t>靖位乡</w:t>
            </w:r>
          </w:p>
        </w:tc>
        <w:tc>
          <w:tcPr>
            <w:tcW w:w="1415" w:type="dxa"/>
            <w:vAlign w:val="center"/>
          </w:tcPr>
          <w:p>
            <w:pPr>
              <w:jc w:val="center"/>
              <w:rPr>
                <w:color w:val="000000"/>
                <w:szCs w:val="21"/>
              </w:rPr>
            </w:pPr>
            <w:r>
              <w:rPr>
                <w:color w:val="000000"/>
                <w:szCs w:val="21"/>
              </w:rPr>
              <w:t>重点生态功能区</w:t>
            </w:r>
          </w:p>
        </w:tc>
        <w:tc>
          <w:tcPr>
            <w:tcW w:w="4329" w:type="dxa"/>
            <w:gridSpan w:val="2"/>
            <w:vAlign w:val="center"/>
          </w:tcPr>
          <w:p>
            <w:pPr>
              <w:widowControl/>
              <w:jc w:val="center"/>
              <w:rPr>
                <w:color w:val="000000"/>
                <w:kern w:val="0"/>
                <w:szCs w:val="21"/>
              </w:rPr>
            </w:pPr>
            <w:r>
              <w:rPr>
                <w:color w:val="000000"/>
                <w:kern w:val="0"/>
                <w:szCs w:val="21"/>
              </w:rPr>
              <w:t>农业种植、畜禽养殖、农副产品加工、食品加工、旅游开发及旅游产品加工、社会事业、矿泉水、竹木加工、水</w:t>
            </w:r>
            <w:r>
              <w:rPr>
                <w:rFonts w:hint="eastAsia"/>
                <w:color w:val="000000"/>
                <w:kern w:val="0"/>
                <w:szCs w:val="21"/>
              </w:rPr>
              <w:t>力</w:t>
            </w:r>
            <w:r>
              <w:rPr>
                <w:color w:val="000000"/>
                <w:kern w:val="0"/>
                <w:szCs w:val="21"/>
              </w:rPr>
              <w:t>发电、风力发电、纺织加工、电子设备制造及社会化康复疗养及养老。</w:t>
            </w:r>
          </w:p>
        </w:tc>
        <w:tc>
          <w:tcPr>
            <w:tcW w:w="1771" w:type="dxa"/>
            <w:vAlign w:val="center"/>
          </w:tcPr>
          <w:p>
            <w:pPr>
              <w:widowControl/>
              <w:rPr>
                <w:b/>
                <w:color w:val="000000"/>
                <w:kern w:val="0"/>
                <w:szCs w:val="21"/>
              </w:rPr>
            </w:pPr>
            <w:r>
              <w:rPr>
                <w:b/>
                <w:color w:val="000000"/>
                <w:kern w:val="0"/>
                <w:szCs w:val="21"/>
              </w:rPr>
              <w:t>主要环境问题：</w:t>
            </w:r>
          </w:p>
          <w:p>
            <w:pPr>
              <w:widowControl/>
              <w:rPr>
                <w:color w:val="000000"/>
                <w:kern w:val="0"/>
                <w:szCs w:val="21"/>
              </w:rPr>
            </w:pPr>
            <w:r>
              <w:rPr>
                <w:color w:val="000000"/>
                <w:kern w:val="0"/>
                <w:szCs w:val="21"/>
              </w:rPr>
              <w:t>农村面源污染未得到有效治理。</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kern w:val="0"/>
                <w:szCs w:val="21"/>
              </w:rPr>
            </w:pPr>
            <w:r>
              <w:rPr>
                <w:b/>
                <w:color w:val="000000"/>
                <w:kern w:val="0"/>
                <w:szCs w:val="21"/>
              </w:rPr>
              <w:t>主要属性</w:t>
            </w:r>
          </w:p>
        </w:tc>
        <w:tc>
          <w:tcPr>
            <w:tcW w:w="12823" w:type="dxa"/>
            <w:gridSpan w:val="11"/>
            <w:vAlign w:val="center"/>
          </w:tcPr>
          <w:p>
            <w:pPr>
              <w:rPr>
                <w:b/>
                <w:bCs/>
                <w:color w:val="000000"/>
                <w:sz w:val="22"/>
              </w:rPr>
            </w:pPr>
            <w:r>
              <w:rPr>
                <w:b/>
                <w:bCs/>
                <w:color w:val="000000"/>
                <w:sz w:val="22"/>
              </w:rPr>
              <w:t>靖位乡：</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红线/一般生态空间/三区三线生态红线\水源涵养重要区\自然保护区\生物多样性保护功能重要区\原生态红线\水土流失敏感区\水土保持功能重要区；</w:t>
            </w:r>
          </w:p>
          <w:p>
            <w:pPr>
              <w:ind w:firstLine="442" w:firstLineChars="200"/>
              <w:rPr>
                <w:color w:val="000000"/>
                <w:szCs w:val="21"/>
              </w:rPr>
            </w:pPr>
            <w:r>
              <w:rPr>
                <w:b/>
                <w:bCs/>
                <w:color w:val="000000"/>
                <w:sz w:val="22"/>
              </w:rPr>
              <w:t>环境质量底线：</w:t>
            </w:r>
            <w:r>
              <w:rPr>
                <w:color w:val="000000"/>
                <w:szCs w:val="21"/>
              </w:rPr>
              <w:t>水环境一般管控区/ 大气环境优先保护区/湖南东安舜皇山国家级自然保护区/湖南舜皇山国家级自然保护区/农用地优先保护区/其他重点管控区/一般管控区/矿区/重点生态功能区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szCs w:val="21"/>
              </w:rPr>
            </w:pPr>
            <w:r>
              <w:rPr>
                <w:b/>
                <w:color w:val="000000"/>
                <w:szCs w:val="21"/>
              </w:rPr>
              <w:t>管控维度</w:t>
            </w:r>
          </w:p>
        </w:tc>
        <w:tc>
          <w:tcPr>
            <w:tcW w:w="10025" w:type="dxa"/>
            <w:gridSpan w:val="9"/>
            <w:vAlign w:val="center"/>
          </w:tcPr>
          <w:p>
            <w:pPr>
              <w:jc w:val="center"/>
              <w:rPr>
                <w:b/>
                <w:color w:val="000000"/>
                <w:szCs w:val="21"/>
              </w:rPr>
            </w:pPr>
            <w:r>
              <w:rPr>
                <w:b/>
                <w:color w:val="000000"/>
                <w:kern w:val="0"/>
                <w:szCs w:val="21"/>
              </w:rPr>
              <w:t>管控要求</w:t>
            </w:r>
          </w:p>
        </w:tc>
        <w:tc>
          <w:tcPr>
            <w:tcW w:w="2798"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空间布局约束</w:t>
            </w:r>
          </w:p>
        </w:tc>
        <w:tc>
          <w:tcPr>
            <w:tcW w:w="10025"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strike/>
                <w:color w:val="000000"/>
                <w:szCs w:val="21"/>
              </w:rPr>
            </w:pPr>
            <w:r>
              <w:rPr>
                <w:color w:val="000000"/>
                <w:szCs w:val="21"/>
              </w:rPr>
              <w:t>（1.3）生态保护红线内，自然保护地核心保护区原则上禁止人为活动，其他区域严格禁止开发性、生产性建设活动。</w:t>
            </w:r>
          </w:p>
        </w:tc>
        <w:tc>
          <w:tcPr>
            <w:tcW w:w="2798"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污染物排放管控</w:t>
            </w:r>
          </w:p>
        </w:tc>
        <w:tc>
          <w:tcPr>
            <w:tcW w:w="10025"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279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环境风险防控</w:t>
            </w:r>
          </w:p>
        </w:tc>
        <w:tc>
          <w:tcPr>
            <w:tcW w:w="10025" w:type="dxa"/>
            <w:gridSpan w:val="9"/>
            <w:vAlign w:val="center"/>
          </w:tcPr>
          <w:p>
            <w:pPr>
              <w:tabs>
                <w:tab w:val="left" w:pos="1021"/>
              </w:tabs>
              <w:rPr>
                <w:strike/>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tc>
        <w:tc>
          <w:tcPr>
            <w:tcW w:w="279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Align w:val="center"/>
          </w:tcPr>
          <w:p>
            <w:pPr>
              <w:widowControl/>
              <w:jc w:val="center"/>
              <w:rPr>
                <w:color w:val="000000"/>
                <w:szCs w:val="21"/>
              </w:rPr>
            </w:pPr>
            <w:r>
              <w:rPr>
                <w:color w:val="000000"/>
                <w:szCs w:val="21"/>
              </w:rPr>
              <w:t>资源开发效率要求</w:t>
            </w:r>
          </w:p>
        </w:tc>
        <w:tc>
          <w:tcPr>
            <w:tcW w:w="10025"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2798" w:type="dxa"/>
            <w:gridSpan w:val="2"/>
            <w:vMerge w:val="continue"/>
            <w:vAlign w:val="center"/>
          </w:tcPr>
          <w:p/>
        </w:tc>
      </w:tr>
    </w:tbl>
    <w:p>
      <w:pPr>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7"/>
        <w:gridCol w:w="427"/>
        <w:gridCol w:w="427"/>
        <w:gridCol w:w="427"/>
        <w:gridCol w:w="663"/>
        <w:gridCol w:w="1336"/>
        <w:gridCol w:w="1390"/>
        <w:gridCol w:w="1185"/>
        <w:gridCol w:w="884"/>
        <w:gridCol w:w="1562"/>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Merge w:val="restart"/>
            <w:vAlign w:val="center"/>
          </w:tcPr>
          <w:p>
            <w:pPr>
              <w:widowControl/>
              <w:jc w:val="center"/>
              <w:rPr>
                <w:b/>
                <w:color w:val="000000"/>
                <w:kern w:val="0"/>
                <w:szCs w:val="21"/>
              </w:rPr>
            </w:pPr>
            <w:r>
              <w:rPr>
                <w:b/>
                <w:color w:val="000000"/>
                <w:kern w:val="0"/>
                <w:szCs w:val="21"/>
              </w:rPr>
              <w:t>环境管控单元编码</w:t>
            </w:r>
          </w:p>
        </w:tc>
        <w:tc>
          <w:tcPr>
            <w:tcW w:w="427" w:type="dxa"/>
            <w:vMerge w:val="restart"/>
            <w:vAlign w:val="center"/>
          </w:tcPr>
          <w:p>
            <w:pPr>
              <w:widowControl/>
              <w:jc w:val="center"/>
              <w:rPr>
                <w:b/>
                <w:color w:val="000000"/>
                <w:kern w:val="0"/>
                <w:szCs w:val="21"/>
              </w:rPr>
            </w:pPr>
            <w:r>
              <w:rPr>
                <w:b/>
                <w:color w:val="000000"/>
                <w:kern w:val="0"/>
                <w:szCs w:val="21"/>
              </w:rPr>
              <w:t>单元名称</w:t>
            </w:r>
          </w:p>
        </w:tc>
        <w:tc>
          <w:tcPr>
            <w:tcW w:w="1281" w:type="dxa"/>
            <w:gridSpan w:val="3"/>
            <w:vAlign w:val="center"/>
          </w:tcPr>
          <w:p>
            <w:pPr>
              <w:widowControl/>
              <w:jc w:val="center"/>
              <w:rPr>
                <w:b/>
                <w:color w:val="000000"/>
                <w:kern w:val="0"/>
                <w:szCs w:val="21"/>
              </w:rPr>
            </w:pPr>
            <w:r>
              <w:rPr>
                <w:b/>
                <w:color w:val="000000"/>
                <w:kern w:val="0"/>
                <w:szCs w:val="21"/>
              </w:rPr>
              <w:t>行政区划</w:t>
            </w:r>
          </w:p>
        </w:tc>
        <w:tc>
          <w:tcPr>
            <w:tcW w:w="663" w:type="dxa"/>
            <w:vMerge w:val="restart"/>
            <w:vAlign w:val="center"/>
          </w:tcPr>
          <w:p>
            <w:pPr>
              <w:widowControl/>
              <w:jc w:val="center"/>
              <w:rPr>
                <w:b/>
                <w:color w:val="000000"/>
                <w:kern w:val="0"/>
                <w:szCs w:val="21"/>
              </w:rPr>
            </w:pPr>
            <w:r>
              <w:rPr>
                <w:b/>
                <w:color w:val="000000"/>
                <w:kern w:val="0"/>
                <w:szCs w:val="21"/>
              </w:rPr>
              <w:t>单元分类</w:t>
            </w:r>
          </w:p>
        </w:tc>
        <w:tc>
          <w:tcPr>
            <w:tcW w:w="1336"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390" w:type="dxa"/>
            <w:vMerge w:val="restart"/>
            <w:vAlign w:val="center"/>
          </w:tcPr>
          <w:p>
            <w:pPr>
              <w:jc w:val="center"/>
              <w:rPr>
                <w:b/>
                <w:color w:val="000000"/>
                <w:kern w:val="0"/>
                <w:szCs w:val="21"/>
              </w:rPr>
            </w:pPr>
            <w:r>
              <w:rPr>
                <w:b/>
                <w:color w:val="000000"/>
                <w:kern w:val="0"/>
                <w:szCs w:val="21"/>
              </w:rPr>
              <w:t>涉及乡镇(街道)</w:t>
            </w:r>
          </w:p>
        </w:tc>
        <w:tc>
          <w:tcPr>
            <w:tcW w:w="1185" w:type="dxa"/>
            <w:vMerge w:val="restart"/>
            <w:vAlign w:val="center"/>
          </w:tcPr>
          <w:p>
            <w:pPr>
              <w:jc w:val="center"/>
              <w:rPr>
                <w:b/>
                <w:color w:val="000000"/>
                <w:kern w:val="0"/>
                <w:szCs w:val="21"/>
              </w:rPr>
            </w:pPr>
            <w:r>
              <w:rPr>
                <w:b/>
                <w:color w:val="000000"/>
                <w:kern w:val="0"/>
                <w:szCs w:val="21"/>
              </w:rPr>
              <w:t>主体功能定位</w:t>
            </w:r>
          </w:p>
        </w:tc>
        <w:tc>
          <w:tcPr>
            <w:tcW w:w="2446" w:type="dxa"/>
            <w:gridSpan w:val="2"/>
            <w:vMerge w:val="restart"/>
            <w:vAlign w:val="center"/>
          </w:tcPr>
          <w:p>
            <w:pPr>
              <w:jc w:val="center"/>
              <w:rPr>
                <w:b/>
                <w:color w:val="000000"/>
                <w:kern w:val="0"/>
                <w:szCs w:val="21"/>
              </w:rPr>
            </w:pPr>
            <w:r>
              <w:rPr>
                <w:b/>
                <w:color w:val="000000"/>
                <w:kern w:val="0"/>
                <w:szCs w:val="21"/>
              </w:rPr>
              <w:t>经济产业布局</w:t>
            </w:r>
          </w:p>
        </w:tc>
        <w:tc>
          <w:tcPr>
            <w:tcW w:w="2539"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51" w:type="dxa"/>
            <w:vMerge w:val="continue"/>
            <w:vAlign w:val="center"/>
          </w:tcPr>
          <w:p/>
        </w:tc>
        <w:tc>
          <w:tcPr>
            <w:tcW w:w="427" w:type="dxa"/>
            <w:vMerge w:val="continue"/>
            <w:vAlign w:val="center"/>
          </w:tcPr>
          <w:p/>
        </w:tc>
        <w:tc>
          <w:tcPr>
            <w:tcW w:w="427" w:type="dxa"/>
            <w:vAlign w:val="center"/>
          </w:tcPr>
          <w:p>
            <w:pPr>
              <w:jc w:val="center"/>
              <w:rPr>
                <w:b/>
                <w:color w:val="000000"/>
                <w:szCs w:val="21"/>
              </w:rPr>
            </w:pPr>
            <w:r>
              <w:rPr>
                <w:b/>
                <w:color w:val="000000"/>
                <w:szCs w:val="21"/>
              </w:rPr>
              <w:t>省</w:t>
            </w:r>
          </w:p>
        </w:tc>
        <w:tc>
          <w:tcPr>
            <w:tcW w:w="427" w:type="dxa"/>
            <w:vAlign w:val="center"/>
          </w:tcPr>
          <w:p>
            <w:pPr>
              <w:jc w:val="center"/>
              <w:rPr>
                <w:b/>
                <w:color w:val="000000"/>
                <w:szCs w:val="21"/>
              </w:rPr>
            </w:pPr>
            <w:r>
              <w:rPr>
                <w:b/>
                <w:color w:val="000000"/>
                <w:szCs w:val="21"/>
              </w:rPr>
              <w:t>市</w:t>
            </w:r>
          </w:p>
        </w:tc>
        <w:tc>
          <w:tcPr>
            <w:tcW w:w="427" w:type="dxa"/>
            <w:vAlign w:val="center"/>
          </w:tcPr>
          <w:p>
            <w:pPr>
              <w:jc w:val="center"/>
              <w:rPr>
                <w:b/>
                <w:color w:val="000000"/>
                <w:szCs w:val="21"/>
              </w:rPr>
            </w:pPr>
            <w:r>
              <w:rPr>
                <w:b/>
                <w:color w:val="000000"/>
                <w:szCs w:val="21"/>
              </w:rPr>
              <w:t>县</w:t>
            </w:r>
          </w:p>
        </w:tc>
        <w:tc>
          <w:tcPr>
            <w:tcW w:w="663" w:type="dxa"/>
            <w:vMerge w:val="continue"/>
            <w:vAlign w:val="center"/>
          </w:tcPr>
          <w:p/>
        </w:tc>
        <w:tc>
          <w:tcPr>
            <w:tcW w:w="1336" w:type="dxa"/>
            <w:vMerge w:val="continue"/>
            <w:vAlign w:val="center"/>
          </w:tcPr>
          <w:p/>
        </w:tc>
        <w:tc>
          <w:tcPr>
            <w:tcW w:w="1390" w:type="dxa"/>
            <w:vMerge w:val="continue"/>
            <w:vAlign w:val="center"/>
          </w:tcPr>
          <w:p/>
        </w:tc>
        <w:tc>
          <w:tcPr>
            <w:tcW w:w="1185" w:type="dxa"/>
            <w:vMerge w:val="continue"/>
            <w:vAlign w:val="center"/>
          </w:tcPr>
          <w:p/>
        </w:tc>
        <w:tc>
          <w:tcPr>
            <w:tcW w:w="2446" w:type="dxa"/>
            <w:gridSpan w:val="2"/>
            <w:vMerge w:val="continue"/>
            <w:vAlign w:val="center"/>
          </w:tcPr>
          <w:p/>
        </w:tc>
        <w:tc>
          <w:tcPr>
            <w:tcW w:w="25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1651" w:type="dxa"/>
            <w:vAlign w:val="center"/>
          </w:tcPr>
          <w:p>
            <w:pPr>
              <w:jc w:val="center"/>
              <w:rPr>
                <w:color w:val="000000"/>
                <w:szCs w:val="21"/>
              </w:rPr>
            </w:pPr>
            <w:r>
              <w:rPr>
                <w:color w:val="000000"/>
                <w:szCs w:val="21"/>
              </w:rPr>
              <w:t>ZH43052820001</w:t>
            </w:r>
          </w:p>
        </w:tc>
        <w:tc>
          <w:tcPr>
            <w:tcW w:w="427" w:type="dxa"/>
            <w:vAlign w:val="center"/>
          </w:tcPr>
          <w:p>
            <w:pPr>
              <w:jc w:val="center"/>
              <w:rPr>
                <w:color w:val="000000"/>
                <w:szCs w:val="21"/>
              </w:rPr>
            </w:pPr>
            <w:r>
              <w:rPr>
                <w:color w:val="000000"/>
                <w:szCs w:val="21"/>
              </w:rPr>
              <w:t>金石镇</w:t>
            </w:r>
          </w:p>
        </w:tc>
        <w:tc>
          <w:tcPr>
            <w:tcW w:w="427" w:type="dxa"/>
            <w:vAlign w:val="center"/>
          </w:tcPr>
          <w:p>
            <w:pPr>
              <w:jc w:val="center"/>
              <w:rPr>
                <w:color w:val="000000"/>
                <w:szCs w:val="21"/>
              </w:rPr>
            </w:pPr>
            <w:r>
              <w:rPr>
                <w:color w:val="000000"/>
                <w:szCs w:val="21"/>
              </w:rPr>
              <w:t>湖南省</w:t>
            </w:r>
          </w:p>
        </w:tc>
        <w:tc>
          <w:tcPr>
            <w:tcW w:w="427" w:type="dxa"/>
            <w:vAlign w:val="center"/>
          </w:tcPr>
          <w:p>
            <w:pPr>
              <w:jc w:val="center"/>
              <w:rPr>
                <w:color w:val="000000"/>
                <w:szCs w:val="21"/>
              </w:rPr>
            </w:pPr>
            <w:r>
              <w:rPr>
                <w:color w:val="000000"/>
                <w:szCs w:val="21"/>
              </w:rPr>
              <w:t>邵阳市</w:t>
            </w:r>
          </w:p>
        </w:tc>
        <w:tc>
          <w:tcPr>
            <w:tcW w:w="427" w:type="dxa"/>
            <w:vAlign w:val="center"/>
          </w:tcPr>
          <w:p>
            <w:pPr>
              <w:jc w:val="center"/>
              <w:rPr>
                <w:color w:val="000000"/>
                <w:szCs w:val="21"/>
              </w:rPr>
            </w:pPr>
            <w:r>
              <w:rPr>
                <w:color w:val="000000"/>
                <w:szCs w:val="21"/>
              </w:rPr>
              <w:t>新宁县</w:t>
            </w:r>
          </w:p>
        </w:tc>
        <w:tc>
          <w:tcPr>
            <w:tcW w:w="663" w:type="dxa"/>
            <w:vAlign w:val="center"/>
          </w:tcPr>
          <w:p>
            <w:pPr>
              <w:jc w:val="center"/>
              <w:rPr>
                <w:color w:val="000000"/>
                <w:szCs w:val="21"/>
              </w:rPr>
            </w:pPr>
            <w:r>
              <w:rPr>
                <w:color w:val="000000"/>
                <w:szCs w:val="21"/>
              </w:rPr>
              <w:t>重点管控单元</w:t>
            </w:r>
          </w:p>
        </w:tc>
        <w:tc>
          <w:tcPr>
            <w:tcW w:w="1336" w:type="dxa"/>
            <w:vAlign w:val="center"/>
          </w:tcPr>
          <w:p>
            <w:pPr>
              <w:jc w:val="center"/>
              <w:rPr>
                <w:color w:val="000000"/>
                <w:szCs w:val="21"/>
              </w:rPr>
            </w:pPr>
            <w:r>
              <w:rPr>
                <w:color w:val="000000"/>
                <w:szCs w:val="21"/>
              </w:rPr>
              <w:t>100.16</w:t>
            </w:r>
          </w:p>
        </w:tc>
        <w:tc>
          <w:tcPr>
            <w:tcW w:w="1390" w:type="dxa"/>
            <w:vAlign w:val="center"/>
          </w:tcPr>
          <w:p>
            <w:pPr>
              <w:jc w:val="center"/>
              <w:rPr>
                <w:color w:val="000000"/>
                <w:szCs w:val="21"/>
              </w:rPr>
            </w:pPr>
            <w:r>
              <w:rPr>
                <w:color w:val="000000"/>
                <w:szCs w:val="21"/>
              </w:rPr>
              <w:t>金石镇</w:t>
            </w:r>
          </w:p>
        </w:tc>
        <w:tc>
          <w:tcPr>
            <w:tcW w:w="1185" w:type="dxa"/>
            <w:vAlign w:val="center"/>
          </w:tcPr>
          <w:p>
            <w:pPr>
              <w:jc w:val="center"/>
              <w:rPr>
                <w:color w:val="000000"/>
                <w:szCs w:val="21"/>
              </w:rPr>
            </w:pPr>
            <w:r>
              <w:rPr>
                <w:color w:val="000000"/>
                <w:szCs w:val="21"/>
              </w:rPr>
              <w:t>农产品主产区</w:t>
            </w:r>
          </w:p>
        </w:tc>
        <w:tc>
          <w:tcPr>
            <w:tcW w:w="2446" w:type="dxa"/>
            <w:gridSpan w:val="2"/>
            <w:vAlign w:val="center"/>
          </w:tcPr>
          <w:p>
            <w:pPr>
              <w:widowControl/>
              <w:jc w:val="center"/>
              <w:rPr>
                <w:color w:val="000000"/>
                <w:kern w:val="0"/>
                <w:szCs w:val="21"/>
              </w:rPr>
            </w:pPr>
            <w:r>
              <w:rPr>
                <w:color w:val="000000"/>
                <w:kern w:val="0"/>
                <w:szCs w:val="21"/>
              </w:rPr>
              <w:t>农业种植、畜禽养殖、农副产品加工、食品加工、机电设备制造、制鞋、裘革加工、旅游开发及旅游产品加工、社会事业、建筑材料及砖瓦制造、仓储物流、矿泉水开采、竹木加工、</w:t>
            </w:r>
            <w:r>
              <w:rPr>
                <w:rFonts w:hint="eastAsia"/>
                <w:color w:val="000000"/>
                <w:kern w:val="0"/>
                <w:szCs w:val="21"/>
              </w:rPr>
              <w:t>水力发电</w:t>
            </w:r>
            <w:r>
              <w:rPr>
                <w:color w:val="000000"/>
                <w:kern w:val="0"/>
                <w:szCs w:val="21"/>
              </w:rPr>
              <w:t>、采矿。</w:t>
            </w:r>
          </w:p>
        </w:tc>
        <w:tc>
          <w:tcPr>
            <w:tcW w:w="2539" w:type="dxa"/>
            <w:vAlign w:val="center"/>
          </w:tcPr>
          <w:p>
            <w:pPr>
              <w:widowControl/>
              <w:rPr>
                <w:b/>
                <w:color w:val="000000"/>
                <w:kern w:val="0"/>
                <w:szCs w:val="21"/>
              </w:rPr>
            </w:pPr>
            <w:r>
              <w:rPr>
                <w:b/>
                <w:color w:val="000000"/>
                <w:kern w:val="0"/>
                <w:szCs w:val="21"/>
              </w:rPr>
              <w:t>主要环境问题：</w:t>
            </w:r>
          </w:p>
          <w:p>
            <w:pPr>
              <w:widowControl/>
              <w:rPr>
                <w:color w:val="000000"/>
                <w:kern w:val="0"/>
                <w:szCs w:val="21"/>
              </w:rPr>
            </w:pPr>
            <w:r>
              <w:rPr>
                <w:color w:val="000000"/>
                <w:kern w:val="0"/>
                <w:szCs w:val="21"/>
              </w:rPr>
              <w:t>1.部分企业污染治理设施不到位，农村面源污染未得到有效治理；</w:t>
            </w:r>
          </w:p>
          <w:p>
            <w:pPr>
              <w:widowControl/>
              <w:rPr>
                <w:color w:val="000000"/>
                <w:kern w:val="0"/>
                <w:szCs w:val="21"/>
              </w:rPr>
            </w:pPr>
            <w:r>
              <w:rPr>
                <w:color w:val="000000"/>
                <w:kern w:val="0"/>
                <w:szCs w:val="21"/>
              </w:rPr>
              <w:t>2.部分企业地块土壤污染。</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kern w:val="0"/>
                <w:szCs w:val="21"/>
              </w:rPr>
            </w:pPr>
            <w:r>
              <w:rPr>
                <w:b/>
                <w:color w:val="000000"/>
                <w:kern w:val="0"/>
                <w:szCs w:val="21"/>
              </w:rPr>
              <w:t>主要属性</w:t>
            </w:r>
          </w:p>
        </w:tc>
        <w:tc>
          <w:tcPr>
            <w:tcW w:w="11267" w:type="dxa"/>
            <w:gridSpan w:val="11"/>
            <w:vAlign w:val="center"/>
          </w:tcPr>
          <w:p>
            <w:pPr>
              <w:rPr>
                <w:b/>
                <w:bCs/>
                <w:color w:val="000000"/>
                <w:sz w:val="22"/>
              </w:rPr>
            </w:pPr>
            <w:r>
              <w:rPr>
                <w:b/>
                <w:bCs/>
                <w:color w:val="000000"/>
                <w:sz w:val="22"/>
              </w:rPr>
              <w:t>金石镇：</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红线/一般生态空间/三区三线生态红线\水源涵养重要区\风景名胜区\湿地公园\自然保护区\地质公园\生物多样性保护功能重要区\水土流失敏感区\原生态红线\石漠化敏感区；</w:t>
            </w:r>
          </w:p>
          <w:p>
            <w:pPr>
              <w:ind w:firstLine="442" w:firstLineChars="200"/>
              <w:rPr>
                <w:color w:val="000000"/>
                <w:szCs w:val="21"/>
              </w:rPr>
            </w:pPr>
            <w:r>
              <w:rPr>
                <w:b/>
                <w:bCs/>
                <w:color w:val="000000"/>
                <w:sz w:val="22"/>
              </w:rPr>
              <w:t>环境质量底线：</w:t>
            </w:r>
            <w:r>
              <w:rPr>
                <w:color w:val="000000"/>
                <w:szCs w:val="21"/>
              </w:rPr>
              <w:t>水环境优先保护区/ 水环境工业污染重点管控区/水环境一般管控区/水源地（县级及以上）、湿地公园/工业园区、污水处理厂/邵阳市新宁县夫夷水饮用水水源保护区、湖南新宁夫夷江国家级湿地公园/新宁产业开发区、新宁县污水处理厂/大气环境优先保护区/大气环境高排放重点管控区/大气环境受体敏感重点管控区/湖南新宁夫夷江国家湿地公园/崀山风景名胜区/湖南舜皇山国家级自然保护区/新宁产业开发区/新宁县工业集中区永安园区/新宁县工业园区/农用地优先保护区/建设用地重点管控区/其他重点管控区/一般管控区/矿区/中高风险企业用地/新宁产业开发区/农产品主产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szCs w:val="21"/>
              </w:rPr>
            </w:pPr>
            <w:r>
              <w:rPr>
                <w:b/>
                <w:color w:val="000000"/>
                <w:szCs w:val="21"/>
              </w:rPr>
              <w:t>管控维度</w:t>
            </w:r>
          </w:p>
        </w:tc>
        <w:tc>
          <w:tcPr>
            <w:tcW w:w="7166" w:type="dxa"/>
            <w:gridSpan w:val="9"/>
            <w:vAlign w:val="center"/>
          </w:tcPr>
          <w:p>
            <w:pPr>
              <w:jc w:val="center"/>
              <w:rPr>
                <w:b/>
                <w:color w:val="000000"/>
                <w:szCs w:val="21"/>
              </w:rPr>
            </w:pPr>
            <w:r>
              <w:rPr>
                <w:b/>
                <w:color w:val="000000"/>
                <w:kern w:val="0"/>
                <w:szCs w:val="21"/>
              </w:rPr>
              <w:t>管控要求</w:t>
            </w:r>
          </w:p>
        </w:tc>
        <w:tc>
          <w:tcPr>
            <w:tcW w:w="4101"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空间布局约束</w:t>
            </w:r>
          </w:p>
        </w:tc>
        <w:tc>
          <w:tcPr>
            <w:tcW w:w="7166"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color w:val="000000"/>
                <w:szCs w:val="21"/>
              </w:rPr>
            </w:pPr>
            <w:r>
              <w:rPr>
                <w:color w:val="000000"/>
                <w:szCs w:val="21"/>
              </w:rPr>
              <w:t>（1.3）生态保护红线内，自然保护地核心保护区原则上禁止人为活动，其他区域严格禁止开发性、生产性建设活动。</w:t>
            </w:r>
          </w:p>
        </w:tc>
        <w:tc>
          <w:tcPr>
            <w:tcW w:w="4101"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（2.1.1）（2.2.1）（2.2.2）（2.3.1）（2.3.2）（2.3.3）（2.3.4）（3.1）（3.2）（4.1.1）（4.1.2）《新宁县生态环境保护“十四五”规划》（新环发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污染物排放管控</w:t>
            </w:r>
          </w:p>
        </w:tc>
        <w:tc>
          <w:tcPr>
            <w:tcW w:w="7166"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strike/>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4101"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1" w:type="dxa"/>
            <w:vAlign w:val="center"/>
          </w:tcPr>
          <w:p>
            <w:pPr>
              <w:widowControl/>
              <w:jc w:val="center"/>
              <w:rPr>
                <w:color w:val="000000"/>
                <w:szCs w:val="21"/>
              </w:rPr>
            </w:pPr>
            <w:r>
              <w:rPr>
                <w:color w:val="000000"/>
                <w:szCs w:val="21"/>
              </w:rPr>
              <w:t>环境风险防控</w:t>
            </w:r>
          </w:p>
        </w:tc>
        <w:tc>
          <w:tcPr>
            <w:tcW w:w="7166"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p>
            <w:pPr>
              <w:tabs>
                <w:tab w:val="left" w:pos="1021"/>
              </w:tabs>
              <w:rPr>
                <w:strike/>
                <w:color w:val="000000"/>
                <w:szCs w:val="21"/>
              </w:rPr>
            </w:pPr>
            <w:r>
              <w:rPr>
                <w:color w:val="000000"/>
                <w:szCs w:val="21"/>
              </w:rPr>
              <w:t>（3.2）开展尾矿库环境风险评估，落实重点监管尾矿库企业环境风险管控措施；全面整治历史遗留尾矿库，完善覆膜、压土、排洪、堤坝加固等措施；对关闭矿山完成闭坑后矿山生态环境修复治理及矿井涌水整治。</w:t>
            </w:r>
          </w:p>
        </w:tc>
        <w:tc>
          <w:tcPr>
            <w:tcW w:w="4101"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资源开发效率要求</w:t>
            </w:r>
          </w:p>
        </w:tc>
        <w:tc>
          <w:tcPr>
            <w:tcW w:w="7166"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4101" w:type="dxa"/>
            <w:gridSpan w:val="2"/>
            <w:vMerge w:val="continue"/>
            <w:vAlign w:val="center"/>
          </w:tcPr>
          <w:p/>
        </w:tc>
      </w:tr>
    </w:tbl>
    <w:p>
      <w:pPr>
        <w:rPr>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182"/>
        <w:gridCol w:w="497"/>
        <w:gridCol w:w="497"/>
        <w:gridCol w:w="497"/>
        <w:gridCol w:w="741"/>
        <w:gridCol w:w="1222"/>
        <w:gridCol w:w="1240"/>
        <w:gridCol w:w="1865"/>
        <w:gridCol w:w="1747"/>
        <w:gridCol w:w="86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Merge w:val="restart"/>
            <w:vAlign w:val="center"/>
          </w:tcPr>
          <w:p>
            <w:pPr>
              <w:widowControl/>
              <w:jc w:val="center"/>
              <w:rPr>
                <w:b/>
                <w:color w:val="000000"/>
                <w:kern w:val="0"/>
                <w:szCs w:val="21"/>
              </w:rPr>
            </w:pPr>
            <w:r>
              <w:rPr>
                <w:color w:val="000000"/>
                <w:szCs w:val="21"/>
              </w:rPr>
              <w:br w:type="page"/>
            </w:r>
            <w:r>
              <w:rPr>
                <w:color w:val="000000"/>
                <w:szCs w:val="21"/>
              </w:rPr>
              <w:br w:type="page"/>
            </w:r>
            <w:r>
              <w:rPr>
                <w:b/>
                <w:color w:val="000000"/>
                <w:kern w:val="0"/>
                <w:szCs w:val="21"/>
              </w:rPr>
              <w:t>环境管控单元编码</w:t>
            </w:r>
          </w:p>
        </w:tc>
        <w:tc>
          <w:tcPr>
            <w:tcW w:w="1182" w:type="dxa"/>
            <w:vMerge w:val="restart"/>
            <w:vAlign w:val="center"/>
          </w:tcPr>
          <w:p>
            <w:pPr>
              <w:widowControl/>
              <w:jc w:val="center"/>
              <w:rPr>
                <w:b/>
                <w:color w:val="000000"/>
                <w:kern w:val="0"/>
                <w:szCs w:val="21"/>
              </w:rPr>
            </w:pPr>
            <w:r>
              <w:rPr>
                <w:b/>
                <w:color w:val="000000"/>
                <w:kern w:val="0"/>
                <w:szCs w:val="21"/>
              </w:rPr>
              <w:t>单元名称</w:t>
            </w:r>
          </w:p>
        </w:tc>
        <w:tc>
          <w:tcPr>
            <w:tcW w:w="1491" w:type="dxa"/>
            <w:gridSpan w:val="3"/>
            <w:vAlign w:val="center"/>
          </w:tcPr>
          <w:p>
            <w:pPr>
              <w:widowControl/>
              <w:jc w:val="center"/>
              <w:rPr>
                <w:b/>
                <w:color w:val="000000"/>
                <w:kern w:val="0"/>
                <w:szCs w:val="21"/>
              </w:rPr>
            </w:pPr>
            <w:r>
              <w:rPr>
                <w:b/>
                <w:color w:val="000000"/>
                <w:kern w:val="0"/>
                <w:szCs w:val="21"/>
              </w:rPr>
              <w:t>行政区划</w:t>
            </w:r>
          </w:p>
        </w:tc>
        <w:tc>
          <w:tcPr>
            <w:tcW w:w="741" w:type="dxa"/>
            <w:vMerge w:val="restart"/>
            <w:vAlign w:val="center"/>
          </w:tcPr>
          <w:p>
            <w:pPr>
              <w:widowControl/>
              <w:jc w:val="center"/>
              <w:rPr>
                <w:b/>
                <w:color w:val="000000"/>
                <w:kern w:val="0"/>
                <w:szCs w:val="21"/>
              </w:rPr>
            </w:pPr>
            <w:r>
              <w:rPr>
                <w:b/>
                <w:color w:val="000000"/>
                <w:kern w:val="0"/>
                <w:szCs w:val="21"/>
              </w:rPr>
              <w:t>单元分类</w:t>
            </w:r>
          </w:p>
        </w:tc>
        <w:tc>
          <w:tcPr>
            <w:tcW w:w="1222"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240" w:type="dxa"/>
            <w:vMerge w:val="restart"/>
            <w:vAlign w:val="center"/>
          </w:tcPr>
          <w:p>
            <w:pPr>
              <w:jc w:val="center"/>
              <w:rPr>
                <w:b/>
                <w:color w:val="000000"/>
                <w:kern w:val="0"/>
                <w:szCs w:val="21"/>
              </w:rPr>
            </w:pPr>
            <w:r>
              <w:rPr>
                <w:b/>
                <w:color w:val="000000"/>
                <w:kern w:val="0"/>
                <w:szCs w:val="21"/>
              </w:rPr>
              <w:t>涉及乡镇(街道)</w:t>
            </w:r>
          </w:p>
        </w:tc>
        <w:tc>
          <w:tcPr>
            <w:tcW w:w="1865" w:type="dxa"/>
            <w:vMerge w:val="restart"/>
            <w:vAlign w:val="center"/>
          </w:tcPr>
          <w:p>
            <w:pPr>
              <w:jc w:val="center"/>
              <w:rPr>
                <w:b/>
                <w:color w:val="000000"/>
                <w:kern w:val="0"/>
                <w:szCs w:val="21"/>
              </w:rPr>
            </w:pPr>
            <w:r>
              <w:rPr>
                <w:b/>
                <w:color w:val="000000"/>
                <w:kern w:val="0"/>
                <w:szCs w:val="21"/>
              </w:rPr>
              <w:t>主体功能定位</w:t>
            </w:r>
          </w:p>
        </w:tc>
        <w:tc>
          <w:tcPr>
            <w:tcW w:w="2613" w:type="dxa"/>
            <w:gridSpan w:val="2"/>
            <w:vMerge w:val="restart"/>
            <w:vAlign w:val="center"/>
          </w:tcPr>
          <w:p>
            <w:pPr>
              <w:jc w:val="center"/>
              <w:rPr>
                <w:b/>
                <w:color w:val="000000"/>
                <w:kern w:val="0"/>
                <w:szCs w:val="21"/>
              </w:rPr>
            </w:pPr>
            <w:r>
              <w:rPr>
                <w:b/>
                <w:color w:val="000000"/>
                <w:kern w:val="0"/>
                <w:szCs w:val="21"/>
              </w:rPr>
              <w:t>经济产业布局</w:t>
            </w:r>
          </w:p>
        </w:tc>
        <w:tc>
          <w:tcPr>
            <w:tcW w:w="2127"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3" w:type="dxa"/>
            <w:vMerge w:val="continue"/>
            <w:vAlign w:val="center"/>
          </w:tcPr>
          <w:p/>
        </w:tc>
        <w:tc>
          <w:tcPr>
            <w:tcW w:w="1182" w:type="dxa"/>
            <w:vMerge w:val="continue"/>
            <w:vAlign w:val="center"/>
          </w:tcPr>
          <w:p/>
        </w:tc>
        <w:tc>
          <w:tcPr>
            <w:tcW w:w="497" w:type="dxa"/>
            <w:vAlign w:val="center"/>
          </w:tcPr>
          <w:p>
            <w:pPr>
              <w:jc w:val="center"/>
              <w:rPr>
                <w:b/>
                <w:color w:val="000000"/>
                <w:szCs w:val="21"/>
              </w:rPr>
            </w:pPr>
            <w:r>
              <w:rPr>
                <w:b/>
                <w:color w:val="000000"/>
                <w:szCs w:val="21"/>
              </w:rPr>
              <w:t>省</w:t>
            </w:r>
          </w:p>
        </w:tc>
        <w:tc>
          <w:tcPr>
            <w:tcW w:w="497" w:type="dxa"/>
            <w:vAlign w:val="center"/>
          </w:tcPr>
          <w:p>
            <w:pPr>
              <w:jc w:val="center"/>
              <w:rPr>
                <w:b/>
                <w:color w:val="000000"/>
                <w:szCs w:val="21"/>
              </w:rPr>
            </w:pPr>
            <w:r>
              <w:rPr>
                <w:b/>
                <w:color w:val="000000"/>
                <w:szCs w:val="21"/>
              </w:rPr>
              <w:t>市</w:t>
            </w:r>
          </w:p>
        </w:tc>
        <w:tc>
          <w:tcPr>
            <w:tcW w:w="497" w:type="dxa"/>
            <w:vAlign w:val="center"/>
          </w:tcPr>
          <w:p>
            <w:pPr>
              <w:jc w:val="center"/>
              <w:rPr>
                <w:b/>
                <w:color w:val="000000"/>
                <w:szCs w:val="21"/>
              </w:rPr>
            </w:pPr>
            <w:r>
              <w:rPr>
                <w:b/>
                <w:color w:val="000000"/>
                <w:szCs w:val="21"/>
              </w:rPr>
              <w:t>县</w:t>
            </w:r>
          </w:p>
        </w:tc>
        <w:tc>
          <w:tcPr>
            <w:tcW w:w="741" w:type="dxa"/>
            <w:vMerge w:val="continue"/>
            <w:vAlign w:val="center"/>
          </w:tcPr>
          <w:p/>
        </w:tc>
        <w:tc>
          <w:tcPr>
            <w:tcW w:w="1222" w:type="dxa"/>
            <w:vMerge w:val="continue"/>
            <w:vAlign w:val="center"/>
          </w:tcPr>
          <w:p/>
        </w:tc>
        <w:tc>
          <w:tcPr>
            <w:tcW w:w="1240" w:type="dxa"/>
            <w:vMerge w:val="continue"/>
            <w:vAlign w:val="center"/>
          </w:tcPr>
          <w:p/>
        </w:tc>
        <w:tc>
          <w:tcPr>
            <w:tcW w:w="1865" w:type="dxa"/>
            <w:vMerge w:val="continue"/>
            <w:vAlign w:val="center"/>
          </w:tcPr>
          <w:p/>
        </w:tc>
        <w:tc>
          <w:tcPr>
            <w:tcW w:w="2613" w:type="dxa"/>
            <w:gridSpan w:val="2"/>
            <w:vMerge w:val="continue"/>
            <w:vAlign w:val="center"/>
          </w:tcPr>
          <w:p/>
        </w:tc>
        <w:tc>
          <w:tcPr>
            <w:tcW w:w="21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1693" w:type="dxa"/>
            <w:vAlign w:val="center"/>
          </w:tcPr>
          <w:p>
            <w:pPr>
              <w:jc w:val="center"/>
              <w:rPr>
                <w:color w:val="000000"/>
                <w:szCs w:val="21"/>
              </w:rPr>
            </w:pPr>
            <w:r>
              <w:rPr>
                <w:color w:val="000000"/>
                <w:szCs w:val="21"/>
              </w:rPr>
              <w:t>ZH43052830001</w:t>
            </w:r>
          </w:p>
        </w:tc>
        <w:tc>
          <w:tcPr>
            <w:tcW w:w="1182" w:type="dxa"/>
            <w:vAlign w:val="center"/>
          </w:tcPr>
          <w:p>
            <w:pPr>
              <w:jc w:val="center"/>
              <w:rPr>
                <w:color w:val="000000"/>
                <w:szCs w:val="21"/>
              </w:rPr>
            </w:pPr>
            <w:r>
              <w:rPr>
                <w:color w:val="000000"/>
                <w:szCs w:val="21"/>
              </w:rPr>
              <w:t>安山乡\丰田乡\马头桥镇</w:t>
            </w:r>
          </w:p>
        </w:tc>
        <w:tc>
          <w:tcPr>
            <w:tcW w:w="497" w:type="dxa"/>
            <w:vAlign w:val="center"/>
          </w:tcPr>
          <w:p>
            <w:pPr>
              <w:jc w:val="center"/>
              <w:rPr>
                <w:color w:val="000000"/>
                <w:szCs w:val="21"/>
              </w:rPr>
            </w:pPr>
            <w:r>
              <w:rPr>
                <w:color w:val="000000"/>
                <w:szCs w:val="21"/>
              </w:rPr>
              <w:t>湖南省</w:t>
            </w:r>
          </w:p>
        </w:tc>
        <w:tc>
          <w:tcPr>
            <w:tcW w:w="497" w:type="dxa"/>
            <w:vAlign w:val="center"/>
          </w:tcPr>
          <w:p>
            <w:pPr>
              <w:jc w:val="center"/>
              <w:rPr>
                <w:color w:val="000000"/>
                <w:szCs w:val="21"/>
              </w:rPr>
            </w:pPr>
            <w:r>
              <w:rPr>
                <w:color w:val="000000"/>
                <w:szCs w:val="21"/>
              </w:rPr>
              <w:t>邵阳市</w:t>
            </w:r>
          </w:p>
        </w:tc>
        <w:tc>
          <w:tcPr>
            <w:tcW w:w="497" w:type="dxa"/>
            <w:vAlign w:val="center"/>
          </w:tcPr>
          <w:p>
            <w:pPr>
              <w:jc w:val="center"/>
              <w:rPr>
                <w:color w:val="000000"/>
                <w:szCs w:val="21"/>
              </w:rPr>
            </w:pPr>
            <w:r>
              <w:rPr>
                <w:color w:val="000000"/>
                <w:szCs w:val="21"/>
              </w:rPr>
              <w:t>新宁县</w:t>
            </w:r>
          </w:p>
        </w:tc>
        <w:tc>
          <w:tcPr>
            <w:tcW w:w="741" w:type="dxa"/>
            <w:vAlign w:val="center"/>
          </w:tcPr>
          <w:p>
            <w:pPr>
              <w:jc w:val="center"/>
              <w:rPr>
                <w:color w:val="000000"/>
                <w:szCs w:val="21"/>
              </w:rPr>
            </w:pPr>
            <w:r>
              <w:rPr>
                <w:color w:val="000000"/>
                <w:szCs w:val="21"/>
              </w:rPr>
              <w:t>一般管控单元</w:t>
            </w:r>
          </w:p>
        </w:tc>
        <w:tc>
          <w:tcPr>
            <w:tcW w:w="1222" w:type="dxa"/>
            <w:vAlign w:val="center"/>
          </w:tcPr>
          <w:p>
            <w:pPr>
              <w:jc w:val="center"/>
              <w:rPr>
                <w:color w:val="000000"/>
                <w:szCs w:val="21"/>
              </w:rPr>
            </w:pPr>
            <w:r>
              <w:rPr>
                <w:color w:val="000000"/>
                <w:szCs w:val="21"/>
              </w:rPr>
              <w:t>365.12</w:t>
            </w:r>
          </w:p>
        </w:tc>
        <w:tc>
          <w:tcPr>
            <w:tcW w:w="1240" w:type="dxa"/>
            <w:vAlign w:val="center"/>
          </w:tcPr>
          <w:p>
            <w:pPr>
              <w:jc w:val="center"/>
              <w:rPr>
                <w:color w:val="000000"/>
                <w:szCs w:val="21"/>
              </w:rPr>
            </w:pPr>
            <w:r>
              <w:rPr>
                <w:color w:val="000000"/>
                <w:szCs w:val="21"/>
              </w:rPr>
              <w:t>安山乡\丰田乡\马头桥镇</w:t>
            </w:r>
          </w:p>
        </w:tc>
        <w:tc>
          <w:tcPr>
            <w:tcW w:w="1865" w:type="dxa"/>
            <w:vAlign w:val="center"/>
          </w:tcPr>
          <w:p>
            <w:pPr>
              <w:rPr>
                <w:color w:val="000000"/>
                <w:szCs w:val="21"/>
              </w:rPr>
            </w:pPr>
            <w:r>
              <w:rPr>
                <w:b/>
                <w:bCs/>
                <w:color w:val="000000"/>
                <w:szCs w:val="21"/>
              </w:rPr>
              <w:t>安山乡、丰田乡、马头桥镇:</w:t>
            </w:r>
            <w:r>
              <w:rPr>
                <w:color w:val="000000"/>
                <w:szCs w:val="21"/>
              </w:rPr>
              <w:t>农产品主产区</w:t>
            </w:r>
          </w:p>
        </w:tc>
        <w:tc>
          <w:tcPr>
            <w:tcW w:w="2613" w:type="dxa"/>
            <w:gridSpan w:val="2"/>
            <w:vAlign w:val="center"/>
          </w:tcPr>
          <w:p>
            <w:pPr>
              <w:widowControl/>
              <w:jc w:val="left"/>
              <w:rPr>
                <w:color w:val="000000"/>
                <w:kern w:val="0"/>
                <w:szCs w:val="21"/>
              </w:rPr>
            </w:pPr>
            <w:r>
              <w:rPr>
                <w:b/>
                <w:bCs/>
                <w:color w:val="000000"/>
                <w:szCs w:val="21"/>
              </w:rPr>
              <w:t>安山乡：</w:t>
            </w:r>
            <w:r>
              <w:rPr>
                <w:color w:val="000000"/>
                <w:kern w:val="0"/>
                <w:szCs w:val="21"/>
              </w:rPr>
              <w:t>农业种植、农副产品加工、食品加工；</w:t>
            </w:r>
          </w:p>
          <w:p>
            <w:pPr>
              <w:widowControl/>
              <w:jc w:val="left"/>
              <w:rPr>
                <w:color w:val="000000"/>
                <w:kern w:val="0"/>
                <w:szCs w:val="21"/>
              </w:rPr>
            </w:pPr>
            <w:r>
              <w:rPr>
                <w:b/>
                <w:bCs/>
                <w:color w:val="000000"/>
                <w:szCs w:val="21"/>
              </w:rPr>
              <w:t>丰田乡</w:t>
            </w:r>
            <w:r>
              <w:rPr>
                <w:color w:val="000000"/>
                <w:szCs w:val="21"/>
              </w:rPr>
              <w:t>：</w:t>
            </w:r>
            <w:r>
              <w:rPr>
                <w:color w:val="000000"/>
                <w:kern w:val="0"/>
                <w:szCs w:val="21"/>
              </w:rPr>
              <w:t>农业种植、旅游；</w:t>
            </w:r>
          </w:p>
          <w:p>
            <w:pPr>
              <w:widowControl/>
              <w:jc w:val="left"/>
              <w:rPr>
                <w:color w:val="000000"/>
                <w:kern w:val="0"/>
                <w:szCs w:val="21"/>
              </w:rPr>
            </w:pPr>
            <w:r>
              <w:rPr>
                <w:b/>
                <w:bCs/>
                <w:color w:val="000000"/>
                <w:szCs w:val="21"/>
              </w:rPr>
              <w:t>马头桥镇</w:t>
            </w:r>
            <w:r>
              <w:rPr>
                <w:color w:val="000000"/>
                <w:szCs w:val="21"/>
              </w:rPr>
              <w:t>：</w:t>
            </w:r>
            <w:r>
              <w:rPr>
                <w:color w:val="000000"/>
                <w:kern w:val="0"/>
                <w:szCs w:val="21"/>
              </w:rPr>
              <w:t>农业种植、旅游。</w:t>
            </w:r>
          </w:p>
        </w:tc>
        <w:tc>
          <w:tcPr>
            <w:tcW w:w="2127" w:type="dxa"/>
            <w:vAlign w:val="center"/>
          </w:tcPr>
          <w:p>
            <w:pPr>
              <w:widowControl/>
              <w:rPr>
                <w:b/>
                <w:color w:val="000000"/>
                <w:kern w:val="0"/>
                <w:szCs w:val="21"/>
              </w:rPr>
            </w:pPr>
            <w:r>
              <w:rPr>
                <w:b/>
                <w:color w:val="000000"/>
                <w:kern w:val="0"/>
                <w:szCs w:val="21"/>
              </w:rPr>
              <w:t>主要环境问题：</w:t>
            </w:r>
          </w:p>
          <w:p>
            <w:pPr>
              <w:widowControl/>
              <w:rPr>
                <w:color w:val="000000"/>
                <w:kern w:val="0"/>
                <w:szCs w:val="21"/>
              </w:rPr>
            </w:pPr>
            <w:r>
              <w:rPr>
                <w:color w:val="000000"/>
                <w:kern w:val="0"/>
                <w:szCs w:val="21"/>
              </w:rPr>
              <w:t>1.部分企业污染治理设施不到位，城镇生活污水未处理，农村面源污染未得到有效治理；</w:t>
            </w:r>
          </w:p>
          <w:p>
            <w:pPr>
              <w:widowControl/>
              <w:rPr>
                <w:color w:val="000000"/>
                <w:kern w:val="0"/>
                <w:szCs w:val="21"/>
              </w:rPr>
            </w:pPr>
            <w:r>
              <w:rPr>
                <w:color w:val="000000"/>
                <w:kern w:val="0"/>
                <w:szCs w:val="21"/>
              </w:rPr>
              <w:t>2.部分企业地块土壤污染，历史遗留废渣重金属污染。</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693" w:type="dxa"/>
            <w:vAlign w:val="center"/>
          </w:tcPr>
          <w:p>
            <w:pPr>
              <w:widowControl/>
              <w:jc w:val="center"/>
              <w:rPr>
                <w:b/>
                <w:color w:val="000000"/>
                <w:kern w:val="0"/>
                <w:szCs w:val="21"/>
              </w:rPr>
            </w:pPr>
            <w:r>
              <w:rPr>
                <w:b/>
                <w:color w:val="000000"/>
                <w:kern w:val="0"/>
                <w:szCs w:val="21"/>
              </w:rPr>
              <w:t>主要属性</w:t>
            </w:r>
          </w:p>
        </w:tc>
        <w:tc>
          <w:tcPr>
            <w:tcW w:w="12481" w:type="dxa"/>
            <w:gridSpan w:val="11"/>
            <w:vAlign w:val="center"/>
          </w:tcPr>
          <w:p>
            <w:pPr>
              <w:rPr>
                <w:b/>
                <w:bCs/>
                <w:color w:val="000000"/>
                <w:sz w:val="22"/>
              </w:rPr>
            </w:pPr>
            <w:r>
              <w:rPr>
                <w:b/>
                <w:bCs/>
                <w:color w:val="000000"/>
                <w:sz w:val="22"/>
              </w:rPr>
              <w:t>安山乡:</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红线/一般生态空间/三区三线生态红线\水源涵养重要区\水土流失敏感区\生物多样性保护功能重要区\原生态红线；</w:t>
            </w:r>
          </w:p>
          <w:p>
            <w:pPr>
              <w:ind w:firstLine="442" w:firstLineChars="200"/>
              <w:rPr>
                <w:color w:val="000000"/>
                <w:szCs w:val="21"/>
              </w:rPr>
            </w:pPr>
            <w:r>
              <w:rPr>
                <w:b/>
                <w:bCs/>
                <w:color w:val="000000"/>
                <w:sz w:val="22"/>
              </w:rPr>
              <w:t>环境质量底线：</w:t>
            </w:r>
            <w:r>
              <w:rPr>
                <w:color w:val="000000"/>
                <w:szCs w:val="21"/>
              </w:rPr>
              <w:t>水环境一般管控区/大气环境受体敏感重点管控区/农用地优先保护区/其他重点管控区/一般管控区/矿区/农产品主产区</w:t>
            </w:r>
          </w:p>
          <w:p>
            <w:pPr>
              <w:rPr>
                <w:b/>
                <w:bCs/>
                <w:color w:val="000000"/>
                <w:sz w:val="22"/>
              </w:rPr>
            </w:pPr>
            <w:r>
              <w:rPr>
                <w:b/>
                <w:bCs/>
                <w:color w:val="000000"/>
                <w:sz w:val="22"/>
              </w:rPr>
              <w:t>丰田乡：</w:t>
            </w:r>
          </w:p>
          <w:p>
            <w:pPr>
              <w:ind w:firstLine="422" w:firstLineChars="200"/>
              <w:rPr>
                <w:color w:val="000000"/>
                <w:szCs w:val="21"/>
              </w:rPr>
            </w:pPr>
            <w:r>
              <w:rPr>
                <w:b/>
                <w:bCs/>
                <w:color w:val="000000"/>
                <w:szCs w:val="21"/>
              </w:rPr>
              <w:t>生态红线：</w:t>
            </w:r>
            <w:r>
              <w:rPr>
                <w:color w:val="000000"/>
                <w:szCs w:val="21"/>
              </w:rPr>
              <w:t>红线/一般生态空间/水源涵养重要区\三区三线生态红线\生物多样性保护功能重要区\水土流失敏感区\原生态红线；</w:t>
            </w:r>
          </w:p>
          <w:p>
            <w:pPr>
              <w:ind w:firstLine="442" w:firstLineChars="200"/>
              <w:rPr>
                <w:color w:val="000000"/>
                <w:szCs w:val="21"/>
              </w:rPr>
            </w:pPr>
            <w:r>
              <w:rPr>
                <w:b/>
                <w:bCs/>
                <w:color w:val="000000"/>
                <w:sz w:val="22"/>
              </w:rPr>
              <w:t>环境质量底线：</w:t>
            </w:r>
            <w:r>
              <w:rPr>
                <w:color w:val="000000"/>
                <w:szCs w:val="21"/>
              </w:rPr>
              <w:t>水环境一般管控区/大气环境弱扩散重点管控区/农用地优先保护区/其他重点管控区/一般管控区/</w:t>
            </w:r>
          </w:p>
          <w:p>
            <w:pPr>
              <w:rPr>
                <w:color w:val="000000"/>
                <w:szCs w:val="21"/>
              </w:rPr>
            </w:pPr>
            <w:r>
              <w:rPr>
                <w:color w:val="000000"/>
                <w:szCs w:val="21"/>
              </w:rPr>
              <w:t>矿区/农产品主产区</w:t>
            </w:r>
          </w:p>
          <w:p>
            <w:pPr>
              <w:rPr>
                <w:b/>
                <w:bCs/>
                <w:color w:val="000000"/>
                <w:sz w:val="22"/>
              </w:rPr>
            </w:pPr>
            <w:r>
              <w:rPr>
                <w:b/>
                <w:bCs/>
                <w:color w:val="000000"/>
                <w:sz w:val="22"/>
              </w:rPr>
              <w:t>马头桥镇：</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红线/一般生态空间/三区三线生态红线\水源涵养重要区\原生态红线\生物多样性保护功能重要区\水土流失敏感区；</w:t>
            </w:r>
          </w:p>
          <w:p>
            <w:pPr>
              <w:ind w:firstLine="442" w:firstLineChars="200"/>
              <w:rPr>
                <w:color w:val="000000"/>
                <w:szCs w:val="21"/>
              </w:rPr>
            </w:pPr>
            <w:r>
              <w:rPr>
                <w:b/>
                <w:bCs/>
                <w:color w:val="000000"/>
                <w:sz w:val="22"/>
              </w:rPr>
              <w:t>环境质量底线：</w:t>
            </w:r>
            <w:r>
              <w:rPr>
                <w:color w:val="000000"/>
                <w:szCs w:val="21"/>
              </w:rPr>
              <w:t>水环境一般管控区/大气环境受体敏感重点管控区/大气环境弱扩散重点管控区/农用地优先保护区/建设用地重点管控区/其他重点管控区/一般管控区/矿区/中高风险企业用地/农产品主产区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szCs w:val="21"/>
              </w:rPr>
            </w:pPr>
            <w:r>
              <w:rPr>
                <w:b/>
                <w:color w:val="000000"/>
                <w:szCs w:val="21"/>
              </w:rPr>
              <w:t>管控维度</w:t>
            </w:r>
          </w:p>
        </w:tc>
        <w:tc>
          <w:tcPr>
            <w:tcW w:w="9488" w:type="dxa"/>
            <w:gridSpan w:val="9"/>
            <w:vAlign w:val="center"/>
          </w:tcPr>
          <w:p>
            <w:pPr>
              <w:jc w:val="center"/>
              <w:rPr>
                <w:b/>
                <w:color w:val="000000"/>
                <w:szCs w:val="21"/>
              </w:rPr>
            </w:pPr>
            <w:r>
              <w:rPr>
                <w:b/>
                <w:color w:val="000000"/>
                <w:kern w:val="0"/>
                <w:szCs w:val="21"/>
              </w:rPr>
              <w:t>管控要求</w:t>
            </w:r>
          </w:p>
        </w:tc>
        <w:tc>
          <w:tcPr>
            <w:tcW w:w="2993"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空间布局约束</w:t>
            </w:r>
          </w:p>
        </w:tc>
        <w:tc>
          <w:tcPr>
            <w:tcW w:w="9488"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strike/>
                <w:color w:val="000000"/>
                <w:szCs w:val="21"/>
              </w:rPr>
            </w:pPr>
            <w:r>
              <w:rPr>
                <w:color w:val="000000"/>
                <w:szCs w:val="21"/>
              </w:rPr>
              <w:t>（1.3）生态保护红线内，自然保护地核心保护区原则上禁止人为活动，其他区域严格禁止开发性、生产性建设活动。</w:t>
            </w:r>
          </w:p>
        </w:tc>
        <w:tc>
          <w:tcPr>
            <w:tcW w:w="2993"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污染物排放管控</w:t>
            </w:r>
          </w:p>
        </w:tc>
        <w:tc>
          <w:tcPr>
            <w:tcW w:w="9488"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strike/>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299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环境风险防控</w:t>
            </w:r>
          </w:p>
        </w:tc>
        <w:tc>
          <w:tcPr>
            <w:tcW w:w="9488"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tc>
        <w:tc>
          <w:tcPr>
            <w:tcW w:w="299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资源开发效率要求</w:t>
            </w:r>
          </w:p>
        </w:tc>
        <w:tc>
          <w:tcPr>
            <w:tcW w:w="9488"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2993" w:type="dxa"/>
            <w:gridSpan w:val="2"/>
            <w:vMerge w:val="continue"/>
            <w:vAlign w:val="center"/>
          </w:tcPr>
          <w:p/>
        </w:tc>
      </w:tr>
    </w:tbl>
    <w:p>
      <w:pPr>
        <w:rPr>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182"/>
        <w:gridCol w:w="497"/>
        <w:gridCol w:w="497"/>
        <w:gridCol w:w="497"/>
        <w:gridCol w:w="836"/>
        <w:gridCol w:w="1127"/>
        <w:gridCol w:w="1240"/>
        <w:gridCol w:w="2065"/>
        <w:gridCol w:w="1312"/>
        <w:gridCol w:w="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Merge w:val="restart"/>
            <w:vAlign w:val="center"/>
          </w:tcPr>
          <w:p>
            <w:pPr>
              <w:widowControl/>
              <w:jc w:val="center"/>
              <w:rPr>
                <w:b/>
                <w:color w:val="000000"/>
                <w:kern w:val="0"/>
                <w:szCs w:val="21"/>
              </w:rPr>
            </w:pPr>
            <w:r>
              <w:rPr>
                <w:color w:val="000000"/>
                <w:szCs w:val="21"/>
              </w:rPr>
              <w:br w:type="page"/>
            </w:r>
            <w:r>
              <w:rPr>
                <w:color w:val="000000"/>
                <w:szCs w:val="21"/>
              </w:rPr>
              <w:br w:type="page"/>
            </w:r>
            <w:r>
              <w:rPr>
                <w:b/>
                <w:color w:val="000000"/>
                <w:kern w:val="0"/>
                <w:szCs w:val="21"/>
              </w:rPr>
              <w:t>环境管控单元编码</w:t>
            </w:r>
          </w:p>
        </w:tc>
        <w:tc>
          <w:tcPr>
            <w:tcW w:w="1182" w:type="dxa"/>
            <w:vMerge w:val="restart"/>
            <w:vAlign w:val="center"/>
          </w:tcPr>
          <w:p>
            <w:pPr>
              <w:widowControl/>
              <w:jc w:val="center"/>
              <w:rPr>
                <w:b/>
                <w:color w:val="000000"/>
                <w:kern w:val="0"/>
                <w:szCs w:val="21"/>
              </w:rPr>
            </w:pPr>
            <w:r>
              <w:rPr>
                <w:b/>
                <w:color w:val="000000"/>
                <w:kern w:val="0"/>
                <w:szCs w:val="21"/>
              </w:rPr>
              <w:t>单元名称</w:t>
            </w:r>
          </w:p>
        </w:tc>
        <w:tc>
          <w:tcPr>
            <w:tcW w:w="1491" w:type="dxa"/>
            <w:gridSpan w:val="3"/>
            <w:vAlign w:val="center"/>
          </w:tcPr>
          <w:p>
            <w:pPr>
              <w:widowControl/>
              <w:jc w:val="center"/>
              <w:rPr>
                <w:b/>
                <w:color w:val="000000"/>
                <w:kern w:val="0"/>
                <w:szCs w:val="21"/>
              </w:rPr>
            </w:pPr>
            <w:r>
              <w:rPr>
                <w:b/>
                <w:color w:val="000000"/>
                <w:kern w:val="0"/>
                <w:szCs w:val="21"/>
              </w:rPr>
              <w:t>行政区划</w:t>
            </w:r>
          </w:p>
        </w:tc>
        <w:tc>
          <w:tcPr>
            <w:tcW w:w="836" w:type="dxa"/>
            <w:vMerge w:val="restart"/>
            <w:vAlign w:val="center"/>
          </w:tcPr>
          <w:p>
            <w:pPr>
              <w:widowControl/>
              <w:jc w:val="center"/>
              <w:rPr>
                <w:b/>
                <w:color w:val="000000"/>
                <w:kern w:val="0"/>
                <w:szCs w:val="21"/>
              </w:rPr>
            </w:pPr>
            <w:r>
              <w:rPr>
                <w:b/>
                <w:color w:val="000000"/>
                <w:kern w:val="0"/>
                <w:szCs w:val="21"/>
              </w:rPr>
              <w:t>单元分类</w:t>
            </w:r>
          </w:p>
        </w:tc>
        <w:tc>
          <w:tcPr>
            <w:tcW w:w="1127"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240" w:type="dxa"/>
            <w:vMerge w:val="restart"/>
            <w:vAlign w:val="center"/>
          </w:tcPr>
          <w:p>
            <w:pPr>
              <w:jc w:val="center"/>
              <w:rPr>
                <w:b/>
                <w:color w:val="000000"/>
                <w:kern w:val="0"/>
                <w:szCs w:val="21"/>
              </w:rPr>
            </w:pPr>
            <w:r>
              <w:rPr>
                <w:b/>
                <w:color w:val="000000"/>
                <w:kern w:val="0"/>
                <w:szCs w:val="21"/>
              </w:rPr>
              <w:t>涉及乡镇(街道)</w:t>
            </w:r>
          </w:p>
        </w:tc>
        <w:tc>
          <w:tcPr>
            <w:tcW w:w="2065" w:type="dxa"/>
            <w:vMerge w:val="restart"/>
            <w:vAlign w:val="center"/>
          </w:tcPr>
          <w:p>
            <w:pPr>
              <w:jc w:val="center"/>
              <w:rPr>
                <w:b/>
                <w:color w:val="000000"/>
                <w:kern w:val="0"/>
                <w:szCs w:val="21"/>
              </w:rPr>
            </w:pPr>
            <w:r>
              <w:rPr>
                <w:b/>
                <w:color w:val="000000"/>
                <w:kern w:val="0"/>
                <w:szCs w:val="21"/>
              </w:rPr>
              <w:t>主体功能定位</w:t>
            </w:r>
          </w:p>
        </w:tc>
        <w:tc>
          <w:tcPr>
            <w:tcW w:w="2160" w:type="dxa"/>
            <w:gridSpan w:val="2"/>
            <w:vMerge w:val="restart"/>
            <w:vAlign w:val="center"/>
          </w:tcPr>
          <w:p>
            <w:pPr>
              <w:jc w:val="center"/>
              <w:rPr>
                <w:b/>
                <w:color w:val="000000"/>
                <w:kern w:val="0"/>
                <w:szCs w:val="21"/>
              </w:rPr>
            </w:pPr>
            <w:r>
              <w:rPr>
                <w:b/>
                <w:color w:val="000000"/>
                <w:kern w:val="0"/>
                <w:szCs w:val="21"/>
              </w:rPr>
              <w:t>经济产业布局</w:t>
            </w:r>
          </w:p>
        </w:tc>
        <w:tc>
          <w:tcPr>
            <w:tcW w:w="2380"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3" w:type="dxa"/>
            <w:vMerge w:val="continue"/>
            <w:vAlign w:val="center"/>
          </w:tcPr>
          <w:p/>
        </w:tc>
        <w:tc>
          <w:tcPr>
            <w:tcW w:w="1182" w:type="dxa"/>
            <w:vMerge w:val="continue"/>
            <w:vAlign w:val="center"/>
          </w:tcPr>
          <w:p/>
        </w:tc>
        <w:tc>
          <w:tcPr>
            <w:tcW w:w="497" w:type="dxa"/>
            <w:vAlign w:val="center"/>
          </w:tcPr>
          <w:p>
            <w:pPr>
              <w:jc w:val="center"/>
              <w:rPr>
                <w:b/>
                <w:color w:val="000000"/>
                <w:szCs w:val="21"/>
              </w:rPr>
            </w:pPr>
            <w:r>
              <w:rPr>
                <w:b/>
                <w:color w:val="000000"/>
                <w:szCs w:val="21"/>
              </w:rPr>
              <w:t>省</w:t>
            </w:r>
          </w:p>
        </w:tc>
        <w:tc>
          <w:tcPr>
            <w:tcW w:w="497" w:type="dxa"/>
            <w:vAlign w:val="center"/>
          </w:tcPr>
          <w:p>
            <w:pPr>
              <w:jc w:val="center"/>
              <w:rPr>
                <w:b/>
                <w:color w:val="000000"/>
                <w:szCs w:val="21"/>
              </w:rPr>
            </w:pPr>
            <w:r>
              <w:rPr>
                <w:b/>
                <w:color w:val="000000"/>
                <w:szCs w:val="21"/>
              </w:rPr>
              <w:t>市</w:t>
            </w:r>
          </w:p>
        </w:tc>
        <w:tc>
          <w:tcPr>
            <w:tcW w:w="497" w:type="dxa"/>
            <w:vAlign w:val="center"/>
          </w:tcPr>
          <w:p>
            <w:pPr>
              <w:jc w:val="center"/>
              <w:rPr>
                <w:b/>
                <w:color w:val="000000"/>
                <w:szCs w:val="21"/>
              </w:rPr>
            </w:pPr>
            <w:r>
              <w:rPr>
                <w:b/>
                <w:color w:val="000000"/>
                <w:szCs w:val="21"/>
              </w:rPr>
              <w:t>县</w:t>
            </w:r>
          </w:p>
        </w:tc>
        <w:tc>
          <w:tcPr>
            <w:tcW w:w="836" w:type="dxa"/>
            <w:vMerge w:val="continue"/>
            <w:vAlign w:val="center"/>
          </w:tcPr>
          <w:p/>
        </w:tc>
        <w:tc>
          <w:tcPr>
            <w:tcW w:w="1127" w:type="dxa"/>
            <w:vMerge w:val="continue"/>
            <w:vAlign w:val="center"/>
          </w:tcPr>
          <w:p/>
        </w:tc>
        <w:tc>
          <w:tcPr>
            <w:tcW w:w="1240" w:type="dxa"/>
            <w:vMerge w:val="continue"/>
            <w:vAlign w:val="center"/>
          </w:tcPr>
          <w:p/>
        </w:tc>
        <w:tc>
          <w:tcPr>
            <w:tcW w:w="2065" w:type="dxa"/>
            <w:vMerge w:val="continue"/>
            <w:vAlign w:val="center"/>
          </w:tcPr>
          <w:p/>
        </w:tc>
        <w:tc>
          <w:tcPr>
            <w:tcW w:w="2160" w:type="dxa"/>
            <w:gridSpan w:val="2"/>
            <w:vMerge w:val="continue"/>
            <w:vAlign w:val="center"/>
          </w:tcPr>
          <w:p/>
        </w:tc>
        <w:tc>
          <w:tcPr>
            <w:tcW w:w="23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jc w:val="center"/>
              <w:rPr>
                <w:color w:val="000000"/>
                <w:szCs w:val="21"/>
              </w:rPr>
            </w:pPr>
            <w:r>
              <w:rPr>
                <w:color w:val="000000"/>
                <w:szCs w:val="21"/>
              </w:rPr>
              <w:t>ZH43052830002</w:t>
            </w:r>
          </w:p>
        </w:tc>
        <w:tc>
          <w:tcPr>
            <w:tcW w:w="1182" w:type="dxa"/>
            <w:vAlign w:val="center"/>
          </w:tcPr>
          <w:p>
            <w:pPr>
              <w:jc w:val="center"/>
              <w:rPr>
                <w:color w:val="000000"/>
                <w:szCs w:val="21"/>
              </w:rPr>
            </w:pPr>
            <w:r>
              <w:rPr>
                <w:color w:val="000000"/>
                <w:szCs w:val="21"/>
              </w:rPr>
              <w:t>回龙寺镇\巡田乡\一渡水镇</w:t>
            </w:r>
          </w:p>
        </w:tc>
        <w:tc>
          <w:tcPr>
            <w:tcW w:w="497" w:type="dxa"/>
            <w:vAlign w:val="center"/>
          </w:tcPr>
          <w:p>
            <w:pPr>
              <w:jc w:val="center"/>
              <w:rPr>
                <w:color w:val="000000"/>
                <w:szCs w:val="21"/>
              </w:rPr>
            </w:pPr>
            <w:r>
              <w:rPr>
                <w:color w:val="000000"/>
                <w:szCs w:val="21"/>
              </w:rPr>
              <w:t>湖南省</w:t>
            </w:r>
          </w:p>
        </w:tc>
        <w:tc>
          <w:tcPr>
            <w:tcW w:w="497" w:type="dxa"/>
            <w:vAlign w:val="center"/>
          </w:tcPr>
          <w:p>
            <w:pPr>
              <w:jc w:val="center"/>
              <w:rPr>
                <w:color w:val="000000"/>
                <w:szCs w:val="21"/>
              </w:rPr>
            </w:pPr>
            <w:r>
              <w:rPr>
                <w:color w:val="000000"/>
                <w:szCs w:val="21"/>
              </w:rPr>
              <w:t>邵阳市</w:t>
            </w:r>
          </w:p>
        </w:tc>
        <w:tc>
          <w:tcPr>
            <w:tcW w:w="497" w:type="dxa"/>
            <w:vAlign w:val="center"/>
          </w:tcPr>
          <w:p>
            <w:pPr>
              <w:jc w:val="center"/>
              <w:rPr>
                <w:color w:val="000000"/>
                <w:szCs w:val="21"/>
              </w:rPr>
            </w:pPr>
            <w:r>
              <w:rPr>
                <w:color w:val="000000"/>
                <w:szCs w:val="21"/>
              </w:rPr>
              <w:t>新宁县</w:t>
            </w:r>
          </w:p>
        </w:tc>
        <w:tc>
          <w:tcPr>
            <w:tcW w:w="836" w:type="dxa"/>
            <w:vAlign w:val="center"/>
          </w:tcPr>
          <w:p>
            <w:pPr>
              <w:jc w:val="center"/>
              <w:rPr>
                <w:color w:val="000000"/>
                <w:szCs w:val="21"/>
              </w:rPr>
            </w:pPr>
            <w:r>
              <w:rPr>
                <w:color w:val="000000"/>
                <w:szCs w:val="21"/>
              </w:rPr>
              <w:t>一般管控单元</w:t>
            </w:r>
          </w:p>
        </w:tc>
        <w:tc>
          <w:tcPr>
            <w:tcW w:w="1127" w:type="dxa"/>
            <w:vAlign w:val="center"/>
          </w:tcPr>
          <w:p>
            <w:pPr>
              <w:jc w:val="center"/>
              <w:rPr>
                <w:color w:val="000000"/>
                <w:szCs w:val="21"/>
              </w:rPr>
            </w:pPr>
            <w:r>
              <w:rPr>
                <w:color w:val="000000"/>
                <w:szCs w:val="21"/>
              </w:rPr>
              <w:t>571.82</w:t>
            </w:r>
          </w:p>
        </w:tc>
        <w:tc>
          <w:tcPr>
            <w:tcW w:w="1240" w:type="dxa"/>
            <w:vAlign w:val="center"/>
          </w:tcPr>
          <w:p>
            <w:pPr>
              <w:jc w:val="center"/>
              <w:rPr>
                <w:color w:val="000000"/>
                <w:szCs w:val="21"/>
              </w:rPr>
            </w:pPr>
            <w:r>
              <w:rPr>
                <w:color w:val="000000"/>
                <w:szCs w:val="21"/>
              </w:rPr>
              <w:t>回龙寺镇\巡田乡\一渡水镇</w:t>
            </w:r>
          </w:p>
        </w:tc>
        <w:tc>
          <w:tcPr>
            <w:tcW w:w="2065" w:type="dxa"/>
            <w:vAlign w:val="center"/>
          </w:tcPr>
          <w:p>
            <w:pPr>
              <w:jc w:val="center"/>
              <w:rPr>
                <w:color w:val="000000"/>
                <w:szCs w:val="21"/>
              </w:rPr>
            </w:pPr>
            <w:r>
              <w:rPr>
                <w:b/>
                <w:bCs/>
                <w:color w:val="000000"/>
                <w:sz w:val="22"/>
              </w:rPr>
              <w:t>回龙寺镇</w:t>
            </w:r>
            <w:r>
              <w:rPr>
                <w:color w:val="000000"/>
                <w:szCs w:val="21"/>
              </w:rPr>
              <w:t>：重点生态功能区；</w:t>
            </w:r>
            <w:r>
              <w:rPr>
                <w:b/>
                <w:bCs/>
                <w:color w:val="000000"/>
                <w:sz w:val="22"/>
              </w:rPr>
              <w:t>巡田乡：</w:t>
            </w:r>
            <w:r>
              <w:rPr>
                <w:color w:val="000000"/>
                <w:szCs w:val="21"/>
              </w:rPr>
              <w:t>自然保护生态区；</w:t>
            </w:r>
            <w:r>
              <w:rPr>
                <w:b/>
                <w:bCs/>
                <w:color w:val="000000"/>
                <w:sz w:val="22"/>
              </w:rPr>
              <w:t>一渡水镇：</w:t>
            </w:r>
            <w:r>
              <w:rPr>
                <w:color w:val="000000"/>
                <w:szCs w:val="21"/>
              </w:rPr>
              <w:t>历史文化资源富集区</w:t>
            </w:r>
          </w:p>
        </w:tc>
        <w:tc>
          <w:tcPr>
            <w:tcW w:w="2160" w:type="dxa"/>
            <w:gridSpan w:val="2"/>
            <w:vAlign w:val="center"/>
          </w:tcPr>
          <w:p>
            <w:pPr>
              <w:widowControl/>
              <w:jc w:val="left"/>
              <w:rPr>
                <w:color w:val="000000"/>
                <w:szCs w:val="21"/>
              </w:rPr>
            </w:pPr>
            <w:r>
              <w:rPr>
                <w:b/>
                <w:bCs/>
                <w:color w:val="000000"/>
                <w:sz w:val="22"/>
              </w:rPr>
              <w:t>回龙寺镇</w:t>
            </w:r>
            <w:r>
              <w:rPr>
                <w:color w:val="000000"/>
                <w:szCs w:val="21"/>
              </w:rPr>
              <w:t>：旅游开发及旅游产品加工、农业种植；</w:t>
            </w:r>
          </w:p>
          <w:p>
            <w:pPr>
              <w:widowControl/>
              <w:jc w:val="left"/>
              <w:rPr>
                <w:color w:val="000000"/>
                <w:kern w:val="0"/>
                <w:szCs w:val="21"/>
              </w:rPr>
            </w:pPr>
            <w:r>
              <w:rPr>
                <w:b/>
                <w:bCs/>
                <w:color w:val="000000"/>
                <w:sz w:val="22"/>
              </w:rPr>
              <w:t>巡田乡：</w:t>
            </w:r>
            <w:r>
              <w:rPr>
                <w:color w:val="000000"/>
                <w:szCs w:val="21"/>
              </w:rPr>
              <w:t>农副产品加工、旅游；</w:t>
            </w:r>
          </w:p>
          <w:p>
            <w:pPr>
              <w:widowControl/>
              <w:jc w:val="left"/>
              <w:rPr>
                <w:color w:val="000000"/>
                <w:kern w:val="0"/>
                <w:szCs w:val="21"/>
              </w:rPr>
            </w:pPr>
            <w:r>
              <w:rPr>
                <w:b/>
                <w:bCs/>
                <w:color w:val="000000"/>
                <w:sz w:val="22"/>
              </w:rPr>
              <w:t>一渡水镇：</w:t>
            </w:r>
            <w:r>
              <w:rPr>
                <w:color w:val="000000"/>
                <w:szCs w:val="21"/>
              </w:rPr>
              <w:t>旅游、农业种植。</w:t>
            </w:r>
          </w:p>
        </w:tc>
        <w:tc>
          <w:tcPr>
            <w:tcW w:w="2380" w:type="dxa"/>
            <w:vAlign w:val="center"/>
          </w:tcPr>
          <w:p>
            <w:pPr>
              <w:widowControl/>
              <w:rPr>
                <w:color w:val="000000"/>
                <w:kern w:val="0"/>
                <w:szCs w:val="21"/>
              </w:rPr>
            </w:pPr>
            <w:r>
              <w:rPr>
                <w:b/>
                <w:color w:val="000000"/>
                <w:kern w:val="0"/>
                <w:szCs w:val="21"/>
              </w:rPr>
              <w:t>主要环境问题：</w:t>
            </w:r>
          </w:p>
          <w:p>
            <w:pPr>
              <w:widowControl/>
              <w:rPr>
                <w:b/>
                <w:bCs/>
                <w:color w:val="000000"/>
                <w:kern w:val="0"/>
                <w:szCs w:val="21"/>
              </w:rPr>
            </w:pPr>
            <w:r>
              <w:rPr>
                <w:b/>
                <w:bCs/>
                <w:color w:val="000000"/>
                <w:szCs w:val="21"/>
              </w:rPr>
              <w:t>回龙寺镇、巡田乡、一渡水镇：</w:t>
            </w:r>
          </w:p>
          <w:p>
            <w:pPr>
              <w:widowControl/>
              <w:rPr>
                <w:color w:val="000000"/>
                <w:kern w:val="0"/>
                <w:szCs w:val="21"/>
              </w:rPr>
            </w:pPr>
            <w:r>
              <w:rPr>
                <w:color w:val="000000"/>
                <w:kern w:val="0"/>
                <w:szCs w:val="21"/>
              </w:rPr>
              <w:t>部分企业污染治理设施不到位，城镇生活污水未处理，农村面源污染未得到有效治理；部分企业地块土壤污染，历史遗留废渣重金属污染</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kern w:val="0"/>
                <w:szCs w:val="21"/>
              </w:rPr>
            </w:pPr>
            <w:r>
              <w:rPr>
                <w:b/>
                <w:color w:val="000000"/>
                <w:kern w:val="0"/>
                <w:szCs w:val="21"/>
              </w:rPr>
              <w:t>主要属性</w:t>
            </w:r>
          </w:p>
        </w:tc>
        <w:tc>
          <w:tcPr>
            <w:tcW w:w="12481" w:type="dxa"/>
            <w:gridSpan w:val="11"/>
            <w:vAlign w:val="center"/>
          </w:tcPr>
          <w:p>
            <w:pPr>
              <w:rPr>
                <w:b/>
                <w:bCs/>
                <w:color w:val="000000"/>
                <w:sz w:val="22"/>
              </w:rPr>
            </w:pPr>
            <w:r>
              <w:rPr>
                <w:b/>
                <w:bCs/>
                <w:color w:val="000000"/>
                <w:sz w:val="22"/>
              </w:rPr>
              <w:t>回龙寺镇：</w:t>
            </w:r>
          </w:p>
          <w:p>
            <w:pPr>
              <w:ind w:firstLine="422" w:firstLineChars="200"/>
              <w:rPr>
                <w:color w:val="000000"/>
                <w:szCs w:val="21"/>
              </w:rPr>
            </w:pPr>
            <w:r>
              <w:rPr>
                <w:b/>
                <w:bCs/>
                <w:color w:val="000000"/>
                <w:szCs w:val="21"/>
              </w:rPr>
              <w:t>生态红线：</w:t>
            </w:r>
            <w:r>
              <w:rPr>
                <w:color w:val="000000"/>
                <w:szCs w:val="21"/>
              </w:rPr>
              <w:t>红线/一般生态空间/三区三线生态红线\自然保护区\水源涵养重要区\生物多样性保护功能重要区\水土流失敏感区\水土保持功能重要区\原生态红线；</w:t>
            </w:r>
          </w:p>
          <w:p>
            <w:pPr>
              <w:ind w:firstLine="442" w:firstLineChars="200"/>
              <w:rPr>
                <w:color w:val="000000"/>
                <w:szCs w:val="21"/>
              </w:rPr>
            </w:pPr>
            <w:r>
              <w:rPr>
                <w:b/>
                <w:bCs/>
                <w:color w:val="000000"/>
                <w:sz w:val="22"/>
              </w:rPr>
              <w:t>环境质量底线：</w:t>
            </w:r>
            <w:r>
              <w:rPr>
                <w:color w:val="000000"/>
                <w:szCs w:val="21"/>
              </w:rPr>
              <w:t>水环境其他重点管控区/水环境一般管控区/重金属矿/新宁县龙口矿业开发有限责任公司龙口锑矿/大气环境优先保护区/大气环境受体敏感重点管控区/大气环境弱扩散重点管控区/湖南东安舜皇山国家级自然保护区/湖南舜皇山国家级自然保护区/农用地优先保护区/建设用地重点管控区/其他重点管控区/一般管控区/矿区/中高风险企业用地/重点生态功能区</w:t>
            </w:r>
          </w:p>
          <w:p>
            <w:pPr>
              <w:rPr>
                <w:b/>
                <w:bCs/>
                <w:color w:val="000000"/>
                <w:sz w:val="22"/>
              </w:rPr>
            </w:pPr>
            <w:r>
              <w:rPr>
                <w:b/>
                <w:bCs/>
                <w:color w:val="000000"/>
                <w:sz w:val="22"/>
              </w:rPr>
              <w:t>巡田乡：</w:t>
            </w:r>
          </w:p>
          <w:p>
            <w:pPr>
              <w:ind w:firstLine="422" w:firstLineChars="200"/>
              <w:rPr>
                <w:color w:val="000000"/>
                <w:szCs w:val="21"/>
              </w:rPr>
            </w:pPr>
            <w:r>
              <w:rPr>
                <w:b/>
                <w:bCs/>
                <w:color w:val="000000"/>
                <w:szCs w:val="21"/>
              </w:rPr>
              <w:t>生态红线：</w:t>
            </w:r>
            <w:r>
              <w:rPr>
                <w:color w:val="000000"/>
                <w:szCs w:val="21"/>
              </w:rPr>
              <w:t>红线/一般生态空间/三区三线生态红线\水源涵养重要区\水土保持功能重要区\森林公园\生物多样性保护功能重要区\原生态红线\水土流失敏感区；</w:t>
            </w:r>
          </w:p>
          <w:p>
            <w:pPr>
              <w:ind w:firstLine="442" w:firstLineChars="200"/>
              <w:rPr>
                <w:color w:val="000000"/>
                <w:szCs w:val="21"/>
              </w:rPr>
            </w:pPr>
            <w:r>
              <w:rPr>
                <w:b/>
                <w:bCs/>
                <w:color w:val="000000"/>
                <w:sz w:val="22"/>
              </w:rPr>
              <w:t>环境质量底线：</w:t>
            </w:r>
            <w:r>
              <w:rPr>
                <w:color w:val="000000"/>
                <w:szCs w:val="21"/>
              </w:rPr>
              <w:t>水环境其他重点管控区/水环境一般管控区/重金属矿/新宁县金易矿业有限公司/大气环境优先保护区/大气环境受体敏感重点管控区/湖南河伯岭省级森林公园/湖南东安黄金洞省级森林公园/农用地优先保护区/建设用地重点管控区/其他重点管控区/一般管控区/</w:t>
            </w:r>
          </w:p>
          <w:p>
            <w:pPr>
              <w:rPr>
                <w:color w:val="000000"/>
                <w:szCs w:val="21"/>
              </w:rPr>
            </w:pPr>
            <w:r>
              <w:rPr>
                <w:color w:val="000000"/>
                <w:szCs w:val="21"/>
              </w:rPr>
              <w:t>矿区/中高风险企业用地/重点生态功能区</w:t>
            </w:r>
          </w:p>
          <w:p>
            <w:pPr>
              <w:rPr>
                <w:b/>
                <w:bCs/>
                <w:color w:val="000000"/>
                <w:sz w:val="22"/>
              </w:rPr>
            </w:pPr>
            <w:r>
              <w:rPr>
                <w:b/>
                <w:bCs/>
                <w:color w:val="000000"/>
                <w:sz w:val="22"/>
              </w:rPr>
              <w:t>一渡水镇：</w:t>
            </w:r>
          </w:p>
          <w:p>
            <w:pPr>
              <w:ind w:firstLine="422" w:firstLineChars="200"/>
              <w:rPr>
                <w:color w:val="000000"/>
                <w:szCs w:val="21"/>
              </w:rPr>
            </w:pPr>
            <w:r>
              <w:rPr>
                <w:b/>
                <w:bCs/>
                <w:color w:val="000000"/>
                <w:szCs w:val="21"/>
              </w:rPr>
              <w:t>生态红线：</w:t>
            </w:r>
            <w:r>
              <w:rPr>
                <w:color w:val="000000"/>
                <w:szCs w:val="21"/>
              </w:rPr>
              <w:t>红线/一般生态空间/水源涵养重要区\三区三线生态红线\自然保护区\森林公园\生物多样性保护功能重要区\水土保持功能重要区\水土流失敏感区\原生态红线\石漠化敏感区；</w:t>
            </w:r>
          </w:p>
          <w:p>
            <w:pPr>
              <w:ind w:firstLine="442" w:firstLineChars="200"/>
              <w:rPr>
                <w:color w:val="000000"/>
                <w:szCs w:val="21"/>
              </w:rPr>
            </w:pPr>
            <w:r>
              <w:rPr>
                <w:b/>
                <w:bCs/>
                <w:color w:val="000000"/>
                <w:sz w:val="22"/>
              </w:rPr>
              <w:t>环境质量底线：</w:t>
            </w:r>
            <w:r>
              <w:rPr>
                <w:color w:val="000000"/>
                <w:szCs w:val="21"/>
              </w:rPr>
              <w:t>水环境其他重点管控区/水环境一般管控区/重金属矿/新宁县一渡水镇天宝锑矿有限责任公司天宝锑矿/新宁县一渡水镇天宝锑矿有限责任公司天宝锑矿/大气环境优先保护区/大气环境受体敏感重点管控区/湖南东安舜皇山国家级自然保护区/湖南舜皇山国家级自然保护区/湖南东安黄金洞省级森林公园/农用地优先保护区/建设用地重点管控区/其他重点管控区/一般管控区/矿区/中高风险企业用地/重点生态功能区/自然保护生态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b/>
                <w:color w:val="000000"/>
                <w:szCs w:val="21"/>
              </w:rPr>
            </w:pPr>
            <w:r>
              <w:rPr>
                <w:b/>
                <w:color w:val="000000"/>
                <w:szCs w:val="21"/>
              </w:rPr>
              <w:t>管控维度</w:t>
            </w:r>
          </w:p>
        </w:tc>
        <w:tc>
          <w:tcPr>
            <w:tcW w:w="9253" w:type="dxa"/>
            <w:gridSpan w:val="9"/>
            <w:vAlign w:val="center"/>
          </w:tcPr>
          <w:p>
            <w:pPr>
              <w:jc w:val="center"/>
              <w:rPr>
                <w:b/>
                <w:color w:val="000000"/>
                <w:szCs w:val="21"/>
              </w:rPr>
            </w:pPr>
            <w:r>
              <w:rPr>
                <w:b/>
                <w:color w:val="000000"/>
                <w:kern w:val="0"/>
                <w:szCs w:val="21"/>
              </w:rPr>
              <w:t>管控要求</w:t>
            </w:r>
          </w:p>
        </w:tc>
        <w:tc>
          <w:tcPr>
            <w:tcW w:w="3228"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空间布局约束</w:t>
            </w:r>
          </w:p>
        </w:tc>
        <w:tc>
          <w:tcPr>
            <w:tcW w:w="9253"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strike/>
                <w:color w:val="000000"/>
                <w:szCs w:val="21"/>
              </w:rPr>
            </w:pPr>
            <w:r>
              <w:rPr>
                <w:color w:val="000000"/>
                <w:szCs w:val="21"/>
              </w:rPr>
              <w:t>（1.3）生态保护红线内，自然保护地核心保护区原则上禁止人为活动，其他区域严格禁止开发性、生产性建设活动。</w:t>
            </w:r>
          </w:p>
        </w:tc>
        <w:tc>
          <w:tcPr>
            <w:tcW w:w="3228"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（2.1.1）（2.2.1）（2.2.2）（2.3.1）（2.3.2）（2.3.3）（2.3.4）（3.1）（3.2）（4.1.1）（4.1.2）《新宁县生态环境保护“十四五”规划》（新环发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污染物排放管控</w:t>
            </w:r>
          </w:p>
        </w:tc>
        <w:tc>
          <w:tcPr>
            <w:tcW w:w="9253"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strike/>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322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环境风险防控</w:t>
            </w:r>
          </w:p>
        </w:tc>
        <w:tc>
          <w:tcPr>
            <w:tcW w:w="9253"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p>
            <w:pPr>
              <w:tabs>
                <w:tab w:val="left" w:pos="1021"/>
              </w:tabs>
              <w:rPr>
                <w:color w:val="000000"/>
                <w:szCs w:val="21"/>
              </w:rPr>
            </w:pPr>
            <w:r>
              <w:rPr>
                <w:color w:val="000000"/>
                <w:szCs w:val="21"/>
              </w:rPr>
              <w:t>（3.2）开展尾矿库环境风险评估，落实重点监管尾矿库企业环境风险管控措施；全面整治历史遗留尾矿库，完善覆膜、压土、排洪、堤坝加固等措施；对关闭矿山完成闭坑后矿山生态环境修复治理及矿井涌水整治。</w:t>
            </w:r>
          </w:p>
        </w:tc>
        <w:tc>
          <w:tcPr>
            <w:tcW w:w="322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widowControl/>
              <w:jc w:val="center"/>
              <w:rPr>
                <w:color w:val="000000"/>
                <w:szCs w:val="21"/>
              </w:rPr>
            </w:pPr>
            <w:r>
              <w:rPr>
                <w:color w:val="000000"/>
                <w:szCs w:val="21"/>
              </w:rPr>
              <w:t>资源开发效率要求</w:t>
            </w:r>
          </w:p>
        </w:tc>
        <w:tc>
          <w:tcPr>
            <w:tcW w:w="9253"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3228" w:type="dxa"/>
            <w:gridSpan w:val="2"/>
            <w:vMerge w:val="continue"/>
            <w:vAlign w:val="center"/>
          </w:tcPr>
          <w:p/>
        </w:tc>
      </w:tr>
    </w:tbl>
    <w:p>
      <w:r>
        <w:br w:type="page"/>
      </w:r>
    </w:p>
    <w:tbl>
      <w:tblPr>
        <w:tblStyle w:val="10"/>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425"/>
        <w:gridCol w:w="425"/>
        <w:gridCol w:w="426"/>
        <w:gridCol w:w="708"/>
        <w:gridCol w:w="993"/>
        <w:gridCol w:w="1559"/>
        <w:gridCol w:w="1134"/>
        <w:gridCol w:w="2968"/>
        <w:gridCol w:w="150"/>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jc w:val="center"/>
              <w:rPr>
                <w:b/>
                <w:color w:val="000000"/>
                <w:kern w:val="0"/>
                <w:szCs w:val="21"/>
              </w:rPr>
            </w:pPr>
            <w:r>
              <w:rPr>
                <w:color w:val="000000"/>
                <w:szCs w:val="21"/>
              </w:rPr>
              <w:br w:type="page"/>
            </w:r>
            <w:r>
              <w:rPr>
                <w:color w:val="000000"/>
                <w:szCs w:val="21"/>
              </w:rPr>
              <w:br w:type="page"/>
            </w:r>
            <w:r>
              <w:rPr>
                <w:b/>
                <w:color w:val="000000"/>
                <w:kern w:val="0"/>
                <w:szCs w:val="21"/>
              </w:rPr>
              <w:t>环境管控单元编码</w:t>
            </w:r>
          </w:p>
        </w:tc>
        <w:tc>
          <w:tcPr>
            <w:tcW w:w="851" w:type="dxa"/>
            <w:vMerge w:val="restart"/>
            <w:vAlign w:val="center"/>
          </w:tcPr>
          <w:p>
            <w:pPr>
              <w:widowControl/>
              <w:jc w:val="center"/>
              <w:rPr>
                <w:b/>
                <w:color w:val="000000"/>
                <w:kern w:val="0"/>
                <w:szCs w:val="21"/>
              </w:rPr>
            </w:pPr>
            <w:r>
              <w:rPr>
                <w:b/>
                <w:color w:val="000000"/>
                <w:kern w:val="0"/>
                <w:szCs w:val="21"/>
              </w:rPr>
              <w:t>单元名称</w:t>
            </w:r>
          </w:p>
        </w:tc>
        <w:tc>
          <w:tcPr>
            <w:tcW w:w="1276" w:type="dxa"/>
            <w:gridSpan w:val="3"/>
            <w:vAlign w:val="center"/>
          </w:tcPr>
          <w:p>
            <w:pPr>
              <w:widowControl/>
              <w:jc w:val="center"/>
              <w:rPr>
                <w:b/>
                <w:color w:val="000000"/>
                <w:kern w:val="0"/>
                <w:szCs w:val="21"/>
              </w:rPr>
            </w:pPr>
            <w:r>
              <w:rPr>
                <w:b/>
                <w:color w:val="000000"/>
                <w:kern w:val="0"/>
                <w:szCs w:val="21"/>
              </w:rPr>
              <w:t>行政区划</w:t>
            </w:r>
          </w:p>
        </w:tc>
        <w:tc>
          <w:tcPr>
            <w:tcW w:w="708" w:type="dxa"/>
            <w:vMerge w:val="restart"/>
            <w:vAlign w:val="center"/>
          </w:tcPr>
          <w:p>
            <w:pPr>
              <w:widowControl/>
              <w:jc w:val="center"/>
              <w:rPr>
                <w:b/>
                <w:color w:val="000000"/>
                <w:kern w:val="0"/>
                <w:szCs w:val="21"/>
              </w:rPr>
            </w:pPr>
            <w:r>
              <w:rPr>
                <w:b/>
                <w:color w:val="000000"/>
                <w:kern w:val="0"/>
                <w:szCs w:val="21"/>
              </w:rPr>
              <w:t>单元分类</w:t>
            </w:r>
          </w:p>
        </w:tc>
        <w:tc>
          <w:tcPr>
            <w:tcW w:w="993"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559" w:type="dxa"/>
            <w:vMerge w:val="restart"/>
            <w:vAlign w:val="center"/>
          </w:tcPr>
          <w:p>
            <w:pPr>
              <w:jc w:val="center"/>
              <w:rPr>
                <w:b/>
                <w:color w:val="000000"/>
                <w:kern w:val="0"/>
                <w:szCs w:val="21"/>
              </w:rPr>
            </w:pPr>
            <w:r>
              <w:rPr>
                <w:b/>
                <w:color w:val="000000"/>
                <w:kern w:val="0"/>
                <w:szCs w:val="21"/>
              </w:rPr>
              <w:t>涉及乡镇(街道)</w:t>
            </w:r>
          </w:p>
        </w:tc>
        <w:tc>
          <w:tcPr>
            <w:tcW w:w="1134" w:type="dxa"/>
            <w:vMerge w:val="restart"/>
            <w:vAlign w:val="center"/>
          </w:tcPr>
          <w:p>
            <w:pPr>
              <w:jc w:val="center"/>
              <w:rPr>
                <w:b/>
                <w:color w:val="000000"/>
                <w:kern w:val="0"/>
                <w:szCs w:val="21"/>
              </w:rPr>
            </w:pPr>
            <w:r>
              <w:rPr>
                <w:b/>
                <w:color w:val="000000"/>
                <w:kern w:val="0"/>
                <w:szCs w:val="21"/>
              </w:rPr>
              <w:t>主体功能定位</w:t>
            </w:r>
          </w:p>
        </w:tc>
        <w:tc>
          <w:tcPr>
            <w:tcW w:w="3118" w:type="dxa"/>
            <w:gridSpan w:val="2"/>
            <w:vMerge w:val="restart"/>
            <w:vAlign w:val="center"/>
          </w:tcPr>
          <w:p>
            <w:pPr>
              <w:jc w:val="center"/>
              <w:rPr>
                <w:b/>
                <w:color w:val="000000"/>
                <w:kern w:val="0"/>
                <w:szCs w:val="21"/>
              </w:rPr>
            </w:pPr>
            <w:r>
              <w:rPr>
                <w:b/>
                <w:color w:val="000000"/>
                <w:kern w:val="0"/>
                <w:szCs w:val="21"/>
              </w:rPr>
              <w:t>经济产业布局</w:t>
            </w:r>
          </w:p>
        </w:tc>
        <w:tc>
          <w:tcPr>
            <w:tcW w:w="3184" w:type="dxa"/>
            <w:vMerge w:val="restart"/>
            <w:vAlign w:val="center"/>
          </w:tcPr>
          <w:p>
            <w:pPr>
              <w:jc w:val="center"/>
              <w:rPr>
                <w:b/>
                <w:color w:val="000000"/>
                <w:kern w:val="0"/>
                <w:szCs w:val="21"/>
              </w:rPr>
            </w:pPr>
            <w:r>
              <w:rPr>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vAlign w:val="center"/>
          </w:tcPr>
          <w:p/>
        </w:tc>
        <w:tc>
          <w:tcPr>
            <w:tcW w:w="851" w:type="dxa"/>
            <w:vMerge w:val="continue"/>
            <w:vAlign w:val="center"/>
          </w:tcPr>
          <w:p/>
        </w:tc>
        <w:tc>
          <w:tcPr>
            <w:tcW w:w="425" w:type="dxa"/>
            <w:vAlign w:val="center"/>
          </w:tcPr>
          <w:p>
            <w:pPr>
              <w:jc w:val="center"/>
              <w:rPr>
                <w:b/>
                <w:color w:val="000000"/>
                <w:szCs w:val="21"/>
              </w:rPr>
            </w:pPr>
            <w:r>
              <w:rPr>
                <w:b/>
                <w:color w:val="000000"/>
                <w:szCs w:val="21"/>
              </w:rPr>
              <w:t>省</w:t>
            </w:r>
          </w:p>
        </w:tc>
        <w:tc>
          <w:tcPr>
            <w:tcW w:w="425" w:type="dxa"/>
            <w:vAlign w:val="center"/>
          </w:tcPr>
          <w:p>
            <w:pPr>
              <w:jc w:val="center"/>
              <w:rPr>
                <w:b/>
                <w:color w:val="000000"/>
                <w:szCs w:val="21"/>
              </w:rPr>
            </w:pPr>
            <w:r>
              <w:rPr>
                <w:b/>
                <w:color w:val="000000"/>
                <w:szCs w:val="21"/>
              </w:rPr>
              <w:t>市</w:t>
            </w:r>
          </w:p>
        </w:tc>
        <w:tc>
          <w:tcPr>
            <w:tcW w:w="426" w:type="dxa"/>
            <w:vAlign w:val="center"/>
          </w:tcPr>
          <w:p>
            <w:pPr>
              <w:jc w:val="center"/>
              <w:rPr>
                <w:b/>
                <w:color w:val="000000"/>
                <w:szCs w:val="21"/>
              </w:rPr>
            </w:pPr>
            <w:r>
              <w:rPr>
                <w:b/>
                <w:color w:val="000000"/>
                <w:szCs w:val="21"/>
              </w:rPr>
              <w:t>县</w:t>
            </w:r>
          </w:p>
        </w:tc>
        <w:tc>
          <w:tcPr>
            <w:tcW w:w="708" w:type="dxa"/>
            <w:vMerge w:val="continue"/>
            <w:vAlign w:val="center"/>
          </w:tcPr>
          <w:p/>
        </w:tc>
        <w:tc>
          <w:tcPr>
            <w:tcW w:w="993" w:type="dxa"/>
            <w:vMerge w:val="continue"/>
            <w:vAlign w:val="center"/>
          </w:tcPr>
          <w:p/>
        </w:tc>
        <w:tc>
          <w:tcPr>
            <w:tcW w:w="1559" w:type="dxa"/>
            <w:vMerge w:val="continue"/>
            <w:vAlign w:val="center"/>
          </w:tcPr>
          <w:p/>
        </w:tc>
        <w:tc>
          <w:tcPr>
            <w:tcW w:w="1134" w:type="dxa"/>
            <w:vMerge w:val="continue"/>
            <w:vAlign w:val="center"/>
          </w:tcPr>
          <w:p/>
        </w:tc>
        <w:tc>
          <w:tcPr>
            <w:tcW w:w="3118" w:type="dxa"/>
            <w:gridSpan w:val="2"/>
            <w:vMerge w:val="continue"/>
            <w:vAlign w:val="center"/>
          </w:tcPr>
          <w:p/>
        </w:tc>
        <w:tc>
          <w:tcPr>
            <w:tcW w:w="31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jc w:val="center"/>
              <w:rPr>
                <w:color w:val="000000"/>
                <w:szCs w:val="21"/>
              </w:rPr>
            </w:pPr>
            <w:r>
              <w:rPr>
                <w:color w:val="000000"/>
                <w:szCs w:val="21"/>
              </w:rPr>
              <w:t>ZH43052830003</w:t>
            </w:r>
          </w:p>
        </w:tc>
        <w:tc>
          <w:tcPr>
            <w:tcW w:w="851" w:type="dxa"/>
            <w:vAlign w:val="center"/>
          </w:tcPr>
          <w:p>
            <w:pPr>
              <w:jc w:val="center"/>
              <w:rPr>
                <w:color w:val="000000"/>
                <w:szCs w:val="21"/>
              </w:rPr>
            </w:pPr>
            <w:r>
              <w:rPr>
                <w:color w:val="000000"/>
                <w:szCs w:val="21"/>
              </w:rPr>
              <w:t>万塘乡</w:t>
            </w:r>
          </w:p>
        </w:tc>
        <w:tc>
          <w:tcPr>
            <w:tcW w:w="425" w:type="dxa"/>
            <w:vAlign w:val="center"/>
          </w:tcPr>
          <w:p>
            <w:pPr>
              <w:jc w:val="center"/>
              <w:rPr>
                <w:color w:val="000000"/>
                <w:szCs w:val="21"/>
              </w:rPr>
            </w:pPr>
            <w:r>
              <w:rPr>
                <w:color w:val="000000"/>
                <w:szCs w:val="21"/>
              </w:rPr>
              <w:t>湖南省</w:t>
            </w:r>
          </w:p>
        </w:tc>
        <w:tc>
          <w:tcPr>
            <w:tcW w:w="425" w:type="dxa"/>
            <w:vAlign w:val="center"/>
          </w:tcPr>
          <w:p>
            <w:pPr>
              <w:jc w:val="center"/>
              <w:rPr>
                <w:color w:val="000000"/>
                <w:szCs w:val="21"/>
              </w:rPr>
            </w:pPr>
            <w:r>
              <w:rPr>
                <w:color w:val="000000"/>
                <w:szCs w:val="21"/>
              </w:rPr>
              <w:t>邵阳市</w:t>
            </w:r>
          </w:p>
        </w:tc>
        <w:tc>
          <w:tcPr>
            <w:tcW w:w="426" w:type="dxa"/>
            <w:vAlign w:val="center"/>
          </w:tcPr>
          <w:p>
            <w:pPr>
              <w:jc w:val="center"/>
              <w:rPr>
                <w:color w:val="000000"/>
                <w:szCs w:val="21"/>
              </w:rPr>
            </w:pPr>
            <w:r>
              <w:rPr>
                <w:color w:val="000000"/>
                <w:szCs w:val="21"/>
              </w:rPr>
              <w:t>新宁县</w:t>
            </w:r>
          </w:p>
        </w:tc>
        <w:tc>
          <w:tcPr>
            <w:tcW w:w="708" w:type="dxa"/>
            <w:vAlign w:val="center"/>
          </w:tcPr>
          <w:p>
            <w:pPr>
              <w:jc w:val="center"/>
              <w:rPr>
                <w:color w:val="000000"/>
                <w:szCs w:val="21"/>
              </w:rPr>
            </w:pPr>
            <w:r>
              <w:rPr>
                <w:color w:val="000000"/>
                <w:szCs w:val="21"/>
              </w:rPr>
              <w:t>一般管控单元</w:t>
            </w:r>
          </w:p>
        </w:tc>
        <w:tc>
          <w:tcPr>
            <w:tcW w:w="993" w:type="dxa"/>
            <w:vAlign w:val="center"/>
          </w:tcPr>
          <w:p>
            <w:pPr>
              <w:jc w:val="center"/>
              <w:rPr>
                <w:color w:val="000000"/>
                <w:szCs w:val="21"/>
              </w:rPr>
            </w:pPr>
            <w:r>
              <w:rPr>
                <w:color w:val="000000"/>
                <w:szCs w:val="21"/>
              </w:rPr>
              <w:t>106.72</w:t>
            </w:r>
          </w:p>
        </w:tc>
        <w:tc>
          <w:tcPr>
            <w:tcW w:w="1559" w:type="dxa"/>
            <w:vAlign w:val="center"/>
          </w:tcPr>
          <w:p>
            <w:pPr>
              <w:jc w:val="center"/>
              <w:rPr>
                <w:color w:val="000000"/>
                <w:szCs w:val="21"/>
              </w:rPr>
            </w:pPr>
            <w:r>
              <w:rPr>
                <w:color w:val="000000"/>
                <w:szCs w:val="21"/>
              </w:rPr>
              <w:t>万塘乡</w:t>
            </w:r>
          </w:p>
        </w:tc>
        <w:tc>
          <w:tcPr>
            <w:tcW w:w="1134" w:type="dxa"/>
            <w:vAlign w:val="center"/>
          </w:tcPr>
          <w:p>
            <w:pPr>
              <w:jc w:val="center"/>
              <w:rPr>
                <w:color w:val="000000"/>
                <w:szCs w:val="21"/>
              </w:rPr>
            </w:pPr>
            <w:r>
              <w:rPr>
                <w:color w:val="000000"/>
                <w:sz w:val="22"/>
              </w:rPr>
              <w:t>重点生态功能区</w:t>
            </w:r>
          </w:p>
        </w:tc>
        <w:tc>
          <w:tcPr>
            <w:tcW w:w="3118" w:type="dxa"/>
            <w:gridSpan w:val="2"/>
            <w:vAlign w:val="center"/>
          </w:tcPr>
          <w:p>
            <w:pPr>
              <w:widowControl/>
              <w:jc w:val="center"/>
              <w:rPr>
                <w:color w:val="000000"/>
                <w:kern w:val="0"/>
                <w:szCs w:val="21"/>
              </w:rPr>
            </w:pPr>
            <w:r>
              <w:rPr>
                <w:color w:val="000000"/>
                <w:kern w:val="0"/>
                <w:szCs w:val="21"/>
              </w:rPr>
              <w:t>农业种植、畜禽养殖、农副产品加工、食品加工、电子设备制造、制鞋、旅游开发及旅游产品加工、社会事业、建筑材料及砖瓦制造、矿泉水、竹木加工、</w:t>
            </w:r>
            <w:r>
              <w:rPr>
                <w:rFonts w:hint="eastAsia"/>
                <w:color w:val="000000"/>
                <w:kern w:val="0"/>
                <w:szCs w:val="21"/>
              </w:rPr>
              <w:t>水力发电</w:t>
            </w:r>
            <w:r>
              <w:rPr>
                <w:color w:val="000000"/>
                <w:kern w:val="0"/>
                <w:szCs w:val="21"/>
              </w:rPr>
              <w:t>、矿山开采等。</w:t>
            </w:r>
          </w:p>
        </w:tc>
        <w:tc>
          <w:tcPr>
            <w:tcW w:w="3184" w:type="dxa"/>
            <w:vAlign w:val="center"/>
          </w:tcPr>
          <w:p>
            <w:pPr>
              <w:widowControl/>
              <w:rPr>
                <w:b/>
                <w:color w:val="000000"/>
                <w:kern w:val="0"/>
                <w:szCs w:val="21"/>
              </w:rPr>
            </w:pPr>
            <w:r>
              <w:rPr>
                <w:b/>
                <w:color w:val="000000"/>
                <w:kern w:val="0"/>
                <w:szCs w:val="21"/>
              </w:rPr>
              <w:t>主要环境问题：</w:t>
            </w:r>
          </w:p>
          <w:p>
            <w:pPr>
              <w:widowControl/>
              <w:rPr>
                <w:color w:val="000000"/>
                <w:kern w:val="0"/>
                <w:szCs w:val="21"/>
              </w:rPr>
            </w:pPr>
            <w:r>
              <w:rPr>
                <w:color w:val="000000"/>
                <w:kern w:val="0"/>
                <w:szCs w:val="21"/>
              </w:rPr>
              <w:t>1.部分企业污染治理设施不到位，城镇生活污水未处理，农村面源污染未得到有效治理；</w:t>
            </w:r>
          </w:p>
          <w:p>
            <w:pPr>
              <w:widowControl/>
              <w:rPr>
                <w:color w:val="000000"/>
                <w:kern w:val="0"/>
                <w:szCs w:val="21"/>
              </w:rPr>
            </w:pPr>
            <w:r>
              <w:rPr>
                <w:color w:val="000000"/>
                <w:kern w:val="0"/>
                <w:szCs w:val="21"/>
              </w:rPr>
              <w:t>2.部分企业地块土壤污染，历史遗留废渣重金属污染。</w:t>
            </w:r>
          </w:p>
          <w:p>
            <w:pPr>
              <w:widowControl/>
              <w:rPr>
                <w:color w:val="000000"/>
                <w:kern w:val="0"/>
                <w:szCs w:val="21"/>
              </w:rPr>
            </w:pPr>
            <w:r>
              <w:rPr>
                <w:b/>
                <w:color w:val="000000"/>
                <w:kern w:val="0"/>
                <w:szCs w:val="21"/>
              </w:rPr>
              <w:t>重要敏感目标：</w:t>
            </w:r>
            <w:r>
              <w:rPr>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kern w:val="0"/>
                <w:szCs w:val="21"/>
              </w:rPr>
            </w:pPr>
            <w:r>
              <w:rPr>
                <w:b/>
                <w:color w:val="000000"/>
                <w:kern w:val="0"/>
                <w:szCs w:val="21"/>
              </w:rPr>
              <w:t>主要属性</w:t>
            </w:r>
          </w:p>
        </w:tc>
        <w:tc>
          <w:tcPr>
            <w:tcW w:w="12823" w:type="dxa"/>
            <w:gridSpan w:val="11"/>
            <w:vAlign w:val="center"/>
          </w:tcPr>
          <w:p>
            <w:pPr>
              <w:rPr>
                <w:b/>
                <w:bCs/>
                <w:color w:val="000000"/>
                <w:sz w:val="22"/>
              </w:rPr>
            </w:pPr>
            <w:r>
              <w:rPr>
                <w:b/>
                <w:bCs/>
                <w:color w:val="000000"/>
                <w:sz w:val="22"/>
              </w:rPr>
              <w:t>万塘乡：</w:t>
            </w:r>
          </w:p>
          <w:p>
            <w:pPr>
              <w:ind w:firstLine="422" w:firstLineChars="200"/>
              <w:rPr>
                <w:color w:val="000000"/>
                <w:sz w:val="22"/>
              </w:rPr>
            </w:pPr>
            <w:r>
              <w:rPr>
                <w:b/>
                <w:bCs/>
                <w:color w:val="000000"/>
                <w:szCs w:val="21"/>
              </w:rPr>
              <w:t>生态红线：</w:t>
            </w:r>
            <w:r>
              <w:rPr>
                <w:color w:val="000000"/>
                <w:sz w:val="22"/>
              </w:rPr>
              <w:t>红线/一般生态空间/三区三线生态红线\水源涵养重要区\石漠公园\水土流失敏感区\生物多样性保护功能重要区\原生态红线</w:t>
            </w:r>
          </w:p>
          <w:p>
            <w:pPr>
              <w:ind w:firstLine="442" w:firstLineChars="200"/>
              <w:rPr>
                <w:color w:val="000000"/>
                <w:szCs w:val="21"/>
              </w:rPr>
            </w:pPr>
            <w:r>
              <w:rPr>
                <w:b/>
                <w:bCs/>
                <w:color w:val="000000"/>
                <w:sz w:val="22"/>
              </w:rPr>
              <w:t>环境质量底线：</w:t>
            </w:r>
            <w:r>
              <w:rPr>
                <w:color w:val="000000"/>
                <w:sz w:val="22"/>
              </w:rPr>
              <w:t>水环境一般管控区/大气环境优先保护区/大气环境受体敏感重点管控区/湖南新宁国家石漠公园/农用地优先保护区/建设用地重点管控区/一般管控区/中高风险企业用地/重点生态功能区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szCs w:val="21"/>
              </w:rPr>
            </w:pPr>
            <w:r>
              <w:rPr>
                <w:b/>
                <w:color w:val="000000"/>
                <w:szCs w:val="21"/>
              </w:rPr>
              <w:t>管控维度</w:t>
            </w:r>
          </w:p>
        </w:tc>
        <w:tc>
          <w:tcPr>
            <w:tcW w:w="9489" w:type="dxa"/>
            <w:gridSpan w:val="9"/>
            <w:vAlign w:val="center"/>
          </w:tcPr>
          <w:p>
            <w:pPr>
              <w:jc w:val="center"/>
              <w:rPr>
                <w:b/>
                <w:color w:val="000000"/>
                <w:szCs w:val="21"/>
              </w:rPr>
            </w:pPr>
            <w:r>
              <w:rPr>
                <w:b/>
                <w:color w:val="000000"/>
                <w:kern w:val="0"/>
                <w:szCs w:val="21"/>
              </w:rPr>
              <w:t>管控要求</w:t>
            </w:r>
          </w:p>
        </w:tc>
        <w:tc>
          <w:tcPr>
            <w:tcW w:w="3334"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空间布局约束</w:t>
            </w:r>
          </w:p>
        </w:tc>
        <w:tc>
          <w:tcPr>
            <w:tcW w:w="9489" w:type="dxa"/>
            <w:gridSpan w:val="9"/>
            <w:vAlign w:val="center"/>
          </w:tcPr>
          <w:p>
            <w:pPr>
              <w:tabs>
                <w:tab w:val="left" w:pos="1021"/>
              </w:tabs>
              <w:rPr>
                <w:color w:val="000000"/>
                <w:szCs w:val="21"/>
              </w:rPr>
            </w:pPr>
            <w:r>
              <w:rPr>
                <w:color w:val="000000"/>
                <w:szCs w:val="21"/>
              </w:rPr>
              <w:t>（1.1）加快取缔饮用水源地周边网箱养殖、农家乐等产业。严禁破坏水源林、护岸林等与水源保护相关植被的活动，河床滩地实施全面禁种，禁止倾倒工业废渣、城市垃圾</w:t>
            </w:r>
            <w:r>
              <w:rPr>
                <w:rFonts w:hint="eastAsia"/>
                <w:color w:val="000000"/>
                <w:szCs w:val="21"/>
              </w:rPr>
              <w:t>及其他</w:t>
            </w:r>
            <w:r>
              <w:rPr>
                <w:color w:val="000000"/>
                <w:szCs w:val="21"/>
              </w:rPr>
              <w:t>废弃物。</w:t>
            </w:r>
          </w:p>
          <w:p>
            <w:pPr>
              <w:tabs>
                <w:tab w:val="left" w:pos="1021"/>
              </w:tabs>
              <w:rPr>
                <w:color w:val="000000"/>
                <w:szCs w:val="21"/>
              </w:rPr>
            </w:pPr>
            <w:r>
              <w:rPr>
                <w:color w:val="000000"/>
                <w:szCs w:val="21"/>
              </w:rPr>
              <w:t>（1.2）禁止在居住、商业、学校、医疗、养老机构、人口密集区和公共服务设施等周边新建有色金属冶炼、化工等行业企业；鼓励工业企业集聚发展，结合推进新型城镇化、调整产业结构和化解过剩产能等工作，有序搬迁或依法关闭对土壤造成严重污染的企业。</w:t>
            </w:r>
          </w:p>
          <w:p>
            <w:pPr>
              <w:tabs>
                <w:tab w:val="left" w:pos="1021"/>
              </w:tabs>
              <w:rPr>
                <w:strike/>
                <w:color w:val="000000"/>
                <w:szCs w:val="21"/>
              </w:rPr>
            </w:pPr>
            <w:r>
              <w:rPr>
                <w:color w:val="000000"/>
                <w:szCs w:val="21"/>
              </w:rPr>
              <w:t>（1.3）生态保护红线内，自然保护地核心保护区原则上禁止人为活动，其他区域严格禁止开发性、生产性建设活动。</w:t>
            </w:r>
          </w:p>
        </w:tc>
        <w:tc>
          <w:tcPr>
            <w:tcW w:w="3334" w:type="dxa"/>
            <w:gridSpan w:val="2"/>
            <w:vMerge w:val="restart"/>
          </w:tcPr>
          <w:p>
            <w:pPr>
              <w:tabs>
                <w:tab w:val="left" w:pos="1021"/>
              </w:tabs>
              <w:rPr>
                <w:color w:val="000000"/>
                <w:szCs w:val="21"/>
              </w:rPr>
            </w:pPr>
            <w:r>
              <w:rPr>
                <w:color w:val="000000"/>
                <w:szCs w:val="21"/>
              </w:rPr>
              <w:t>（1.1）（1.2）（2.1.2）《新宁县生态环境保护“十四五”规划》</w:t>
            </w:r>
          </w:p>
          <w:p>
            <w:pPr>
              <w:tabs>
                <w:tab w:val="left" w:pos="1021"/>
              </w:tabs>
              <w:rPr>
                <w:color w:val="000000"/>
                <w:szCs w:val="21"/>
              </w:rPr>
            </w:pPr>
            <w:r>
              <w:rPr>
                <w:color w:val="000000"/>
                <w:szCs w:val="21"/>
              </w:rPr>
              <w:t>（1.3）(4.3)《新宁县国土空间总体规划(2021</w:t>
            </w:r>
            <w:r>
              <w:rPr>
                <w:rFonts w:hint="eastAsia"/>
                <w:color w:val="000000"/>
                <w:szCs w:val="21"/>
              </w:rPr>
              <w:t>—</w:t>
            </w:r>
            <w:r>
              <w:rPr>
                <w:color w:val="000000"/>
                <w:szCs w:val="21"/>
              </w:rPr>
              <w:t>2035年)》</w:t>
            </w:r>
          </w:p>
          <w:p>
            <w:pPr>
              <w:tabs>
                <w:tab w:val="left" w:pos="1021"/>
              </w:tabs>
              <w:rPr>
                <w:color w:val="000000"/>
                <w:szCs w:val="21"/>
              </w:rPr>
            </w:pPr>
            <w:r>
              <w:rPr>
                <w:color w:val="000000"/>
                <w:szCs w:val="21"/>
              </w:rPr>
              <w:t>（2.1.1）（2.2.1）（2.2.2）（2.3.1）（2.3.2）（2.3.3）（2.3.4）（3.1）（3.2）（4.1.1）（4.1.2）《新宁县生态环境保护“十四五”规划》（新环发</w:t>
            </w:r>
            <w:r>
              <w:rPr>
                <w:rFonts w:hint="eastAsia"/>
                <w:color w:val="000000"/>
                <w:szCs w:val="21"/>
              </w:rPr>
              <w:t>〔2021〕11号</w:t>
            </w:r>
            <w:r>
              <w:rPr>
                <w:color w:val="000000"/>
                <w:szCs w:val="21"/>
              </w:rPr>
              <w:t>）</w:t>
            </w:r>
          </w:p>
          <w:p>
            <w:pPr>
              <w:tabs>
                <w:tab w:val="left" w:pos="1021"/>
              </w:tabs>
              <w:jc w:val="left"/>
              <w:rPr>
                <w:color w:val="000000"/>
                <w:szCs w:val="21"/>
              </w:rPr>
            </w:pPr>
            <w:r>
              <w:rPr>
                <w:color w:val="000000"/>
                <w:szCs w:val="21"/>
              </w:rPr>
              <w:t>(4.2)《邵阳市“十四五”用水总量和强度双控目标》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污染物排放管控</w:t>
            </w:r>
          </w:p>
        </w:tc>
        <w:tc>
          <w:tcPr>
            <w:tcW w:w="9489" w:type="dxa"/>
            <w:gridSpan w:val="9"/>
            <w:vAlign w:val="center"/>
          </w:tcPr>
          <w:p>
            <w:pPr>
              <w:tabs>
                <w:tab w:val="left" w:pos="1021"/>
              </w:tabs>
              <w:rPr>
                <w:color w:val="000000"/>
                <w:szCs w:val="21"/>
              </w:rPr>
            </w:pPr>
            <w:r>
              <w:rPr>
                <w:color w:val="000000"/>
                <w:szCs w:val="21"/>
              </w:rPr>
              <w:t>（2.1）废气：</w:t>
            </w:r>
          </w:p>
          <w:p>
            <w:pPr>
              <w:tabs>
                <w:tab w:val="left" w:pos="1021"/>
              </w:tabs>
              <w:ind w:firstLine="420" w:firstLineChars="200"/>
              <w:rPr>
                <w:color w:val="000000"/>
                <w:szCs w:val="21"/>
              </w:rPr>
            </w:pPr>
            <w:r>
              <w:rPr>
                <w:color w:val="000000"/>
                <w:szCs w:val="21"/>
              </w:rPr>
              <w:t>（2.1.1）全面推进餐饮油烟达标排放，建成区所有餐饮服务单位全部安装高效油烟净化设施和油烟废气在线监控设施。</w:t>
            </w:r>
          </w:p>
          <w:p>
            <w:pPr>
              <w:tabs>
                <w:tab w:val="left" w:pos="1021"/>
              </w:tabs>
              <w:ind w:firstLine="420" w:firstLineChars="200"/>
              <w:rPr>
                <w:color w:val="000000"/>
                <w:szCs w:val="21"/>
              </w:rPr>
            </w:pPr>
            <w:r>
              <w:rPr>
                <w:color w:val="000000"/>
                <w:szCs w:val="21"/>
              </w:rPr>
              <w:t>（2.1.2）严格控制烟花爆竹燃放，任何单位和个人不得违反时段、区域规定燃放烟花爆竹。</w:t>
            </w:r>
          </w:p>
          <w:p>
            <w:pPr>
              <w:tabs>
                <w:tab w:val="left" w:pos="1021"/>
              </w:tabs>
              <w:rPr>
                <w:color w:val="000000"/>
                <w:szCs w:val="21"/>
              </w:rPr>
            </w:pPr>
            <w:r>
              <w:rPr>
                <w:color w:val="000000"/>
                <w:szCs w:val="21"/>
              </w:rPr>
              <w:t>（2.2）废水：</w:t>
            </w:r>
          </w:p>
          <w:p>
            <w:pPr>
              <w:tabs>
                <w:tab w:val="left" w:pos="1021"/>
              </w:tabs>
              <w:rPr>
                <w:color w:val="000000"/>
                <w:szCs w:val="21"/>
              </w:rPr>
            </w:pPr>
            <w:r>
              <w:rPr>
                <w:color w:val="000000"/>
                <w:szCs w:val="21"/>
              </w:rPr>
              <w:t>（2.2.1）加快城镇污水处理设施及配套污水收集管网建设与改造，实施城区道路排水系统雨污分流改造，强化城中村、老旧城区和城乡结合部污水截流、收集，提高污水收集率和雨污分流的比例，减缓径流等污染对乡镇污水处理厂的冲击，并逐步实现雨污分流。</w:t>
            </w:r>
          </w:p>
          <w:p>
            <w:pPr>
              <w:tabs>
                <w:tab w:val="left" w:pos="1021"/>
              </w:tabs>
              <w:rPr>
                <w:color w:val="000000"/>
                <w:szCs w:val="21"/>
              </w:rPr>
            </w:pPr>
            <w:r>
              <w:rPr>
                <w:color w:val="000000"/>
                <w:szCs w:val="21"/>
              </w:rPr>
              <w:t>（2.2.2）禁止已完成整治的黑臭水体水面有大面积漂浮物、河岸堆放垃圾和淤泥、新增排污口，实现长治久清。</w:t>
            </w:r>
          </w:p>
          <w:p>
            <w:pPr>
              <w:tabs>
                <w:tab w:val="left" w:pos="1021"/>
              </w:tabs>
              <w:rPr>
                <w:color w:val="000000"/>
                <w:szCs w:val="21"/>
              </w:rPr>
            </w:pPr>
            <w:r>
              <w:rPr>
                <w:color w:val="000000"/>
                <w:szCs w:val="21"/>
              </w:rPr>
              <w:t>（2.3）固体废物：</w:t>
            </w:r>
          </w:p>
          <w:p>
            <w:pPr>
              <w:tabs>
                <w:tab w:val="left" w:pos="1021"/>
              </w:tabs>
              <w:ind w:firstLine="420" w:firstLineChars="200"/>
              <w:rPr>
                <w:color w:val="000000"/>
                <w:szCs w:val="21"/>
              </w:rPr>
            </w:pPr>
            <w:r>
              <w:rPr>
                <w:color w:val="000000"/>
                <w:szCs w:val="21"/>
              </w:rPr>
              <w:t>（2.3.1）积极推进城乡生活垃圾分类，建设覆盖城乡的垃圾收运体系和垃圾分类收集系统，促进垃圾资源化和无害化。</w:t>
            </w:r>
          </w:p>
          <w:p>
            <w:pPr>
              <w:tabs>
                <w:tab w:val="left" w:pos="1021"/>
              </w:tabs>
              <w:ind w:firstLine="420" w:firstLineChars="200"/>
            </w:pPr>
            <w:r>
              <w:rPr>
                <w:color w:val="000000"/>
                <w:szCs w:val="21"/>
              </w:rPr>
              <w:t>（2.3.2）</w:t>
            </w:r>
            <w:r>
              <w:t>制定建筑垃圾规范化处置办法，开展建筑垃圾综合利用，优先实施修路、土地平整等循环利用，减少建筑垃圾乱堆乱放、随意倾倒的问题。</w:t>
            </w:r>
          </w:p>
          <w:p>
            <w:pPr>
              <w:tabs>
                <w:tab w:val="left" w:pos="1021"/>
              </w:tabs>
              <w:ind w:firstLine="420" w:firstLineChars="200"/>
              <w:rPr>
                <w:color w:val="000000"/>
                <w:szCs w:val="21"/>
              </w:rPr>
            </w:pPr>
            <w:r>
              <w:rPr>
                <w:color w:val="000000"/>
                <w:szCs w:val="21"/>
              </w:rPr>
              <w:t>（2.3.3）加强农药包装废弃物回收处理试点与推广应用；开展稻秆回收利用试点；加强废弃农膜回收利用，严厉打击违法生产和销售不合格农膜行为。</w:t>
            </w:r>
          </w:p>
          <w:p>
            <w:pPr>
              <w:tabs>
                <w:tab w:val="left" w:pos="1021"/>
              </w:tabs>
              <w:ind w:firstLine="420" w:firstLineChars="200"/>
              <w:rPr>
                <w:strike/>
                <w:color w:val="000000"/>
                <w:szCs w:val="21"/>
              </w:rPr>
            </w:pPr>
            <w:r>
              <w:rPr>
                <w:color w:val="000000"/>
                <w:szCs w:val="21"/>
              </w:rPr>
              <w:t>（2.3.4）严格规范兽药、饲料及饲料添加剂生产和使用，减少畜禽养殖废弃物中重金属对土壤造成的污染。加强规模化养殖场(小区)养殖设施标准化改造、污染防治处理设施建设和粪便综合利用。</w:t>
            </w:r>
          </w:p>
        </w:tc>
        <w:tc>
          <w:tcPr>
            <w:tcW w:w="3334"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环境风险防控</w:t>
            </w:r>
          </w:p>
        </w:tc>
        <w:tc>
          <w:tcPr>
            <w:tcW w:w="9489" w:type="dxa"/>
            <w:gridSpan w:val="9"/>
            <w:vAlign w:val="center"/>
          </w:tcPr>
          <w:p>
            <w:pPr>
              <w:tabs>
                <w:tab w:val="left" w:pos="1021"/>
              </w:tabs>
              <w:rPr>
                <w:color w:val="000000"/>
                <w:szCs w:val="21"/>
              </w:rPr>
            </w:pPr>
            <w:r>
              <w:rPr>
                <w:color w:val="000000"/>
                <w:szCs w:val="21"/>
              </w:rPr>
              <w:t>（3.1）加强饮用水源地风险防范。建立健全饮用水安全保障体系，完善集中式饮用水水源地应急预案，组织应急预案演习。加快推进饮用水水源地监控预警系统建设，提高饮用水源监控能力，实施集中式饮用水源地在线监控建设，开展集中式饮用水源地水质全指标监测分析和生物毒性、重金属、POPs等危害人体健康的污染物监测示范，逐步实现水质监测预警从源水到出厂水、管网水的全过程覆盖。</w:t>
            </w:r>
          </w:p>
          <w:p>
            <w:pPr>
              <w:tabs>
                <w:tab w:val="left" w:pos="1021"/>
              </w:tabs>
              <w:rPr>
                <w:color w:val="000000"/>
                <w:szCs w:val="21"/>
              </w:rPr>
            </w:pPr>
            <w:r>
              <w:rPr>
                <w:color w:val="000000"/>
                <w:szCs w:val="21"/>
              </w:rPr>
              <w:t>（3.2）开展尾矿库环境风险评估，落实重点监管尾矿库企业环境风险管控措施；全面整治历史遗留尾矿库，完善覆膜、压土、排洪、堤坝加固等措施；对关闭矿山完成闭坑后矿山生态环境修复治理及矿井涌水整治。</w:t>
            </w:r>
          </w:p>
        </w:tc>
        <w:tc>
          <w:tcPr>
            <w:tcW w:w="3334"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资源开发效率要求</w:t>
            </w:r>
          </w:p>
        </w:tc>
        <w:tc>
          <w:tcPr>
            <w:tcW w:w="9489" w:type="dxa"/>
            <w:gridSpan w:val="9"/>
            <w:vAlign w:val="center"/>
          </w:tcPr>
          <w:p>
            <w:pPr>
              <w:tabs>
                <w:tab w:val="left" w:pos="1021"/>
              </w:tabs>
              <w:rPr>
                <w:color w:val="000000"/>
                <w:szCs w:val="21"/>
              </w:rPr>
            </w:pPr>
            <w:r>
              <w:rPr>
                <w:color w:val="000000"/>
                <w:szCs w:val="21"/>
              </w:rPr>
              <w:t>（4.1）能源：</w:t>
            </w:r>
            <w:r>
              <w:rPr>
                <w:color w:val="000000"/>
                <w:szCs w:val="21"/>
              </w:rPr>
              <w:br w:type="textWrapping"/>
            </w:r>
            <w:r>
              <w:rPr>
                <w:color w:val="000000"/>
                <w:szCs w:val="21"/>
              </w:rPr>
              <w:t>（4.1.1）严格开展能源消费总量和强度双控，降低单位GDP能耗，2025年新宁县单位GDP能耗较2020年下降15%。</w:t>
            </w:r>
          </w:p>
          <w:p>
            <w:pPr>
              <w:tabs>
                <w:tab w:val="left" w:pos="1021"/>
              </w:tabs>
              <w:rPr>
                <w:color w:val="000000"/>
                <w:szCs w:val="21"/>
              </w:rPr>
            </w:pPr>
            <w:r>
              <w:rPr>
                <w:color w:val="000000"/>
                <w:szCs w:val="21"/>
              </w:rPr>
              <w:t>（4.1.2）积极开发利用太阳能、风能、沼气、秸秆燃气等清洁能源，提高全县清洁能源利用率。</w:t>
            </w:r>
          </w:p>
          <w:p>
            <w:pPr>
              <w:tabs>
                <w:tab w:val="left" w:pos="1021"/>
              </w:tabs>
              <w:rPr>
                <w:color w:val="000000"/>
                <w:szCs w:val="21"/>
              </w:rPr>
            </w:pPr>
            <w:r>
              <w:rPr>
                <w:color w:val="000000"/>
                <w:szCs w:val="21"/>
              </w:rPr>
              <w:t>（4.2）水资源：到2025年，新宁县用水总量控制在1.844亿立方米，万元地区生产总值用水量比2020年下降21.69%，万元工业增加值用水量比2020年下降12.96%，农田灌溉用水有效利用系数为0.555。</w:t>
            </w:r>
          </w:p>
          <w:p>
            <w:pPr>
              <w:tabs>
                <w:tab w:val="left" w:pos="1021"/>
              </w:tabs>
              <w:rPr>
                <w:color w:val="000000"/>
                <w:szCs w:val="21"/>
              </w:rPr>
            </w:pPr>
            <w:r>
              <w:rPr>
                <w:color w:val="000000"/>
                <w:szCs w:val="21"/>
              </w:rPr>
              <w:t>（4.3）土地资源：至2025年，新宁县耕地保有量不低于37780.00公顷，永久基本农田保护面积不低于34206.67公顷；至2035年，耕地保有量不低于37477.68公顷，永久基本农田保护面积不低于34133.38公顷，永久基本农田储备区规模不低于340.00公顷。</w:t>
            </w:r>
          </w:p>
        </w:tc>
        <w:tc>
          <w:tcPr>
            <w:tcW w:w="3334" w:type="dxa"/>
            <w:gridSpan w:val="2"/>
            <w:vMerge w:val="continue"/>
            <w:vAlign w:val="center"/>
          </w:tcPr>
          <w:p/>
        </w:tc>
      </w:tr>
    </w:tbl>
    <w:p>
      <w:r>
        <w:br w:type="page"/>
      </w:r>
    </w:p>
    <w:p>
      <w:pPr>
        <w:pStyle w:val="2"/>
        <w:rPr>
          <w:rFonts w:ascii="Times New Roman" w:hAnsi="Times New Roman" w:cs="Times New Roman"/>
        </w:rPr>
      </w:pPr>
      <w:bookmarkStart w:id="50" w:name="_Toc57836526"/>
      <w:bookmarkStart w:id="51" w:name="_Toc32348"/>
      <w:r>
        <w:rPr>
          <w:rFonts w:ascii="Times New Roman" w:hAnsi="Times New Roman" w:cs="Times New Roman"/>
        </w:rPr>
        <w:t>2-11城步苗族自治县</w:t>
      </w:r>
      <w:bookmarkEnd w:id="50"/>
      <w:bookmarkEnd w:id="51"/>
    </w:p>
    <w:tbl>
      <w:tblPr>
        <w:tblStyle w:val="10"/>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47"/>
        <w:gridCol w:w="512"/>
        <w:gridCol w:w="415"/>
        <w:gridCol w:w="712"/>
        <w:gridCol w:w="713"/>
        <w:gridCol w:w="795"/>
        <w:gridCol w:w="915"/>
        <w:gridCol w:w="2212"/>
        <w:gridCol w:w="3404"/>
        <w:gridCol w:w="17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jc w:val="center"/>
              <w:rPr>
                <w:b/>
                <w:color w:val="000000"/>
                <w:kern w:val="0"/>
                <w:szCs w:val="21"/>
              </w:rPr>
            </w:pPr>
            <w:r>
              <w:rPr>
                <w:b/>
                <w:color w:val="000000"/>
                <w:kern w:val="0"/>
                <w:szCs w:val="21"/>
              </w:rPr>
              <w:t>环境管控单元编码</w:t>
            </w:r>
          </w:p>
        </w:tc>
        <w:tc>
          <w:tcPr>
            <w:tcW w:w="647" w:type="dxa"/>
            <w:vMerge w:val="restart"/>
            <w:vAlign w:val="center"/>
          </w:tcPr>
          <w:p>
            <w:pPr>
              <w:widowControl/>
              <w:jc w:val="center"/>
              <w:rPr>
                <w:b/>
                <w:color w:val="000000"/>
                <w:kern w:val="0"/>
                <w:szCs w:val="21"/>
              </w:rPr>
            </w:pPr>
            <w:r>
              <w:rPr>
                <w:b/>
                <w:color w:val="000000"/>
                <w:kern w:val="0"/>
                <w:szCs w:val="21"/>
              </w:rPr>
              <w:t>单元名称</w:t>
            </w:r>
          </w:p>
        </w:tc>
        <w:tc>
          <w:tcPr>
            <w:tcW w:w="1639" w:type="dxa"/>
            <w:gridSpan w:val="3"/>
            <w:vAlign w:val="center"/>
          </w:tcPr>
          <w:p>
            <w:pPr>
              <w:widowControl/>
              <w:jc w:val="center"/>
              <w:rPr>
                <w:b/>
                <w:color w:val="000000"/>
                <w:kern w:val="0"/>
                <w:szCs w:val="21"/>
              </w:rPr>
            </w:pPr>
            <w:r>
              <w:rPr>
                <w:b/>
                <w:color w:val="000000"/>
                <w:kern w:val="0"/>
                <w:szCs w:val="21"/>
              </w:rPr>
              <w:t>行政区划</w:t>
            </w:r>
          </w:p>
        </w:tc>
        <w:tc>
          <w:tcPr>
            <w:tcW w:w="713" w:type="dxa"/>
            <w:vMerge w:val="restart"/>
            <w:vAlign w:val="center"/>
          </w:tcPr>
          <w:p>
            <w:pPr>
              <w:widowControl/>
              <w:jc w:val="center"/>
              <w:rPr>
                <w:b/>
                <w:color w:val="000000"/>
                <w:kern w:val="0"/>
                <w:szCs w:val="21"/>
              </w:rPr>
            </w:pPr>
            <w:r>
              <w:rPr>
                <w:b/>
                <w:color w:val="000000"/>
                <w:kern w:val="0"/>
                <w:szCs w:val="21"/>
              </w:rPr>
              <w:t>单元分类</w:t>
            </w:r>
          </w:p>
        </w:tc>
        <w:tc>
          <w:tcPr>
            <w:tcW w:w="795"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915" w:type="dxa"/>
            <w:vMerge w:val="restart"/>
            <w:vAlign w:val="center"/>
          </w:tcPr>
          <w:p>
            <w:pPr>
              <w:jc w:val="center"/>
              <w:rPr>
                <w:b/>
                <w:color w:val="000000"/>
                <w:kern w:val="0"/>
                <w:szCs w:val="21"/>
              </w:rPr>
            </w:pPr>
            <w:r>
              <w:rPr>
                <w:b/>
                <w:color w:val="000000"/>
                <w:kern w:val="0"/>
                <w:szCs w:val="21"/>
              </w:rPr>
              <w:t>涉及乡镇（街道）</w:t>
            </w:r>
          </w:p>
        </w:tc>
        <w:tc>
          <w:tcPr>
            <w:tcW w:w="2212" w:type="dxa"/>
            <w:vMerge w:val="restart"/>
            <w:vAlign w:val="center"/>
          </w:tcPr>
          <w:p>
            <w:pPr>
              <w:jc w:val="center"/>
              <w:rPr>
                <w:b/>
                <w:color w:val="000000"/>
                <w:kern w:val="0"/>
                <w:szCs w:val="21"/>
              </w:rPr>
            </w:pPr>
            <w:r>
              <w:rPr>
                <w:b/>
                <w:color w:val="000000"/>
                <w:kern w:val="0"/>
                <w:szCs w:val="21"/>
              </w:rPr>
              <w:t>主体功能定位</w:t>
            </w:r>
          </w:p>
        </w:tc>
        <w:tc>
          <w:tcPr>
            <w:tcW w:w="3578" w:type="dxa"/>
            <w:gridSpan w:val="2"/>
            <w:vMerge w:val="restart"/>
            <w:vAlign w:val="center"/>
          </w:tcPr>
          <w:p>
            <w:pPr>
              <w:jc w:val="center"/>
              <w:rPr>
                <w:b/>
                <w:color w:val="000000"/>
                <w:kern w:val="0"/>
                <w:szCs w:val="21"/>
              </w:rPr>
            </w:pPr>
            <w:r>
              <w:rPr>
                <w:b/>
                <w:color w:val="000000"/>
                <w:kern w:val="0"/>
                <w:szCs w:val="21"/>
              </w:rPr>
              <w:t>经济产业布局</w:t>
            </w:r>
          </w:p>
        </w:tc>
        <w:tc>
          <w:tcPr>
            <w:tcW w:w="2324" w:type="dxa"/>
            <w:vMerge w:val="restart"/>
            <w:vAlign w:val="center"/>
          </w:tcPr>
          <w:p>
            <w:pPr>
              <w:jc w:val="center"/>
              <w:rPr>
                <w:b/>
                <w:color w:val="000000"/>
                <w:kern w:val="0"/>
                <w:szCs w:val="21"/>
              </w:rPr>
            </w:pPr>
            <w:r>
              <w:rPr>
                <w:b/>
                <w:color w:val="000000"/>
                <w:kern w:val="0"/>
                <w:szCs w:val="21"/>
              </w:rPr>
              <w:t>主要环境问题</w:t>
            </w:r>
            <w:r>
              <w:rPr>
                <w:b/>
                <w:kern w:val="0"/>
                <w:szCs w:val="21"/>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vAlign w:val="center"/>
          </w:tcPr>
          <w:p/>
        </w:tc>
        <w:tc>
          <w:tcPr>
            <w:tcW w:w="647" w:type="dxa"/>
            <w:vMerge w:val="continue"/>
            <w:vAlign w:val="center"/>
          </w:tcPr>
          <w:p/>
        </w:tc>
        <w:tc>
          <w:tcPr>
            <w:tcW w:w="512" w:type="dxa"/>
            <w:vAlign w:val="center"/>
          </w:tcPr>
          <w:p>
            <w:pPr>
              <w:jc w:val="center"/>
              <w:rPr>
                <w:b/>
                <w:color w:val="000000"/>
                <w:szCs w:val="21"/>
              </w:rPr>
            </w:pPr>
            <w:r>
              <w:rPr>
                <w:b/>
                <w:color w:val="000000"/>
                <w:szCs w:val="21"/>
              </w:rPr>
              <w:t>省</w:t>
            </w:r>
          </w:p>
        </w:tc>
        <w:tc>
          <w:tcPr>
            <w:tcW w:w="415" w:type="dxa"/>
            <w:vAlign w:val="center"/>
          </w:tcPr>
          <w:p>
            <w:pPr>
              <w:jc w:val="center"/>
              <w:rPr>
                <w:b/>
                <w:color w:val="000000"/>
                <w:szCs w:val="21"/>
              </w:rPr>
            </w:pPr>
            <w:r>
              <w:rPr>
                <w:b/>
                <w:color w:val="000000"/>
                <w:szCs w:val="21"/>
              </w:rPr>
              <w:t>市</w:t>
            </w:r>
          </w:p>
        </w:tc>
        <w:tc>
          <w:tcPr>
            <w:tcW w:w="712" w:type="dxa"/>
            <w:vAlign w:val="center"/>
          </w:tcPr>
          <w:p>
            <w:pPr>
              <w:jc w:val="center"/>
              <w:rPr>
                <w:b/>
                <w:color w:val="000000"/>
                <w:szCs w:val="21"/>
              </w:rPr>
            </w:pPr>
            <w:r>
              <w:rPr>
                <w:b/>
                <w:color w:val="000000"/>
                <w:szCs w:val="21"/>
              </w:rPr>
              <w:t>县</w:t>
            </w:r>
          </w:p>
        </w:tc>
        <w:tc>
          <w:tcPr>
            <w:tcW w:w="713" w:type="dxa"/>
            <w:vMerge w:val="continue"/>
            <w:vAlign w:val="center"/>
          </w:tcPr>
          <w:p/>
        </w:tc>
        <w:tc>
          <w:tcPr>
            <w:tcW w:w="795" w:type="dxa"/>
            <w:vMerge w:val="continue"/>
            <w:vAlign w:val="center"/>
          </w:tcPr>
          <w:p/>
        </w:tc>
        <w:tc>
          <w:tcPr>
            <w:tcW w:w="915" w:type="dxa"/>
            <w:vMerge w:val="continue"/>
            <w:vAlign w:val="center"/>
          </w:tcPr>
          <w:p/>
        </w:tc>
        <w:tc>
          <w:tcPr>
            <w:tcW w:w="2212" w:type="dxa"/>
            <w:vMerge w:val="continue"/>
            <w:vAlign w:val="center"/>
          </w:tcPr>
          <w:p/>
        </w:tc>
        <w:tc>
          <w:tcPr>
            <w:tcW w:w="3578" w:type="dxa"/>
            <w:gridSpan w:val="2"/>
            <w:vMerge w:val="continue"/>
            <w:vAlign w:val="center"/>
          </w:tcPr>
          <w:p/>
        </w:tc>
        <w:tc>
          <w:tcPr>
            <w:tcW w:w="23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134" w:type="dxa"/>
            <w:vAlign w:val="center"/>
          </w:tcPr>
          <w:p>
            <w:pPr>
              <w:jc w:val="center"/>
              <w:rPr>
                <w:color w:val="000000"/>
                <w:szCs w:val="21"/>
              </w:rPr>
            </w:pPr>
            <w:r>
              <w:rPr>
                <w:color w:val="000000"/>
                <w:szCs w:val="21"/>
              </w:rPr>
              <w:t>ZH43052910001</w:t>
            </w:r>
          </w:p>
        </w:tc>
        <w:tc>
          <w:tcPr>
            <w:tcW w:w="647" w:type="dxa"/>
            <w:vAlign w:val="center"/>
          </w:tcPr>
          <w:p>
            <w:pPr>
              <w:jc w:val="center"/>
              <w:rPr>
                <w:color w:val="000000"/>
                <w:szCs w:val="21"/>
              </w:rPr>
            </w:pPr>
            <w:r>
              <w:rPr>
                <w:color w:val="000000"/>
                <w:szCs w:val="21"/>
              </w:rPr>
              <w:t>茅坪镇\儒林镇\汀坪乡</w:t>
            </w:r>
          </w:p>
        </w:tc>
        <w:tc>
          <w:tcPr>
            <w:tcW w:w="512" w:type="dxa"/>
            <w:vAlign w:val="center"/>
          </w:tcPr>
          <w:p>
            <w:pPr>
              <w:jc w:val="center"/>
              <w:rPr>
                <w:color w:val="000000"/>
                <w:szCs w:val="21"/>
              </w:rPr>
            </w:pPr>
            <w:r>
              <w:rPr>
                <w:color w:val="000000"/>
                <w:szCs w:val="21"/>
              </w:rPr>
              <w:t>湖南省</w:t>
            </w:r>
          </w:p>
        </w:tc>
        <w:tc>
          <w:tcPr>
            <w:tcW w:w="415" w:type="dxa"/>
            <w:vAlign w:val="center"/>
          </w:tcPr>
          <w:p>
            <w:pPr>
              <w:jc w:val="center"/>
              <w:rPr>
                <w:color w:val="000000"/>
                <w:szCs w:val="21"/>
              </w:rPr>
            </w:pPr>
            <w:r>
              <w:rPr>
                <w:color w:val="000000"/>
                <w:szCs w:val="21"/>
              </w:rPr>
              <w:t>邵阳市</w:t>
            </w:r>
          </w:p>
        </w:tc>
        <w:tc>
          <w:tcPr>
            <w:tcW w:w="712" w:type="dxa"/>
            <w:vAlign w:val="center"/>
          </w:tcPr>
          <w:p>
            <w:pPr>
              <w:jc w:val="center"/>
              <w:rPr>
                <w:color w:val="000000"/>
                <w:szCs w:val="21"/>
              </w:rPr>
            </w:pPr>
            <w:r>
              <w:rPr>
                <w:color w:val="000000"/>
                <w:szCs w:val="21"/>
              </w:rPr>
              <w:t>城步苗族自治县</w:t>
            </w:r>
          </w:p>
        </w:tc>
        <w:tc>
          <w:tcPr>
            <w:tcW w:w="713" w:type="dxa"/>
            <w:vAlign w:val="center"/>
          </w:tcPr>
          <w:p>
            <w:pPr>
              <w:jc w:val="center"/>
              <w:rPr>
                <w:color w:val="000000"/>
                <w:szCs w:val="21"/>
              </w:rPr>
            </w:pPr>
            <w:r>
              <w:rPr>
                <w:color w:val="000000"/>
                <w:szCs w:val="21"/>
              </w:rPr>
              <w:t>优先保护单元</w:t>
            </w:r>
          </w:p>
        </w:tc>
        <w:tc>
          <w:tcPr>
            <w:tcW w:w="795" w:type="dxa"/>
            <w:vAlign w:val="center"/>
          </w:tcPr>
          <w:p>
            <w:pPr>
              <w:jc w:val="center"/>
              <w:rPr>
                <w:color w:val="000000"/>
                <w:szCs w:val="21"/>
              </w:rPr>
            </w:pPr>
            <w:r>
              <w:rPr>
                <w:color w:val="000000"/>
                <w:szCs w:val="21"/>
              </w:rPr>
              <w:t>667.61</w:t>
            </w:r>
          </w:p>
        </w:tc>
        <w:tc>
          <w:tcPr>
            <w:tcW w:w="915" w:type="dxa"/>
            <w:vAlign w:val="center"/>
          </w:tcPr>
          <w:p>
            <w:pPr>
              <w:jc w:val="center"/>
              <w:rPr>
                <w:color w:val="000000"/>
                <w:szCs w:val="21"/>
              </w:rPr>
            </w:pPr>
            <w:r>
              <w:rPr>
                <w:color w:val="000000"/>
                <w:szCs w:val="21"/>
              </w:rPr>
              <w:t>茅坪镇\儒林镇\汀坪乡</w:t>
            </w:r>
          </w:p>
        </w:tc>
        <w:tc>
          <w:tcPr>
            <w:tcW w:w="2212" w:type="dxa"/>
            <w:vAlign w:val="center"/>
          </w:tcPr>
          <w:p>
            <w:pPr>
              <w:jc w:val="left"/>
              <w:rPr>
                <w:color w:val="000000"/>
                <w:szCs w:val="21"/>
              </w:rPr>
            </w:pPr>
            <w:r>
              <w:rPr>
                <w:b/>
                <w:bCs/>
                <w:color w:val="000000"/>
                <w:sz w:val="22"/>
              </w:rPr>
              <w:t>茅坪镇</w:t>
            </w:r>
            <w:r>
              <w:rPr>
                <w:color w:val="000000"/>
                <w:szCs w:val="21"/>
              </w:rPr>
              <w:t>：城市化地区；</w:t>
            </w:r>
            <w:r>
              <w:rPr>
                <w:color w:val="000000"/>
                <w:szCs w:val="21"/>
              </w:rPr>
              <w:br w:type="textWrapping"/>
            </w:r>
            <w:r>
              <w:rPr>
                <w:b/>
                <w:bCs/>
                <w:color w:val="000000"/>
                <w:sz w:val="22"/>
              </w:rPr>
              <w:t>儒林镇：</w:t>
            </w:r>
            <w:r>
              <w:rPr>
                <w:color w:val="000000"/>
                <w:szCs w:val="21"/>
              </w:rPr>
              <w:t>城市化地区；</w:t>
            </w:r>
          </w:p>
          <w:p>
            <w:pPr>
              <w:jc w:val="left"/>
              <w:rPr>
                <w:color w:val="000000"/>
                <w:szCs w:val="21"/>
              </w:rPr>
            </w:pPr>
            <w:r>
              <w:rPr>
                <w:b/>
                <w:bCs/>
                <w:color w:val="000000"/>
                <w:sz w:val="22"/>
              </w:rPr>
              <w:t>汀坪乡：</w:t>
            </w:r>
            <w:r>
              <w:rPr>
                <w:color w:val="000000"/>
                <w:szCs w:val="21"/>
              </w:rPr>
              <w:t>重点生态功能区/历史文化资源富集区</w:t>
            </w:r>
          </w:p>
        </w:tc>
        <w:tc>
          <w:tcPr>
            <w:tcW w:w="3578" w:type="dxa"/>
            <w:gridSpan w:val="2"/>
            <w:vAlign w:val="center"/>
          </w:tcPr>
          <w:p>
            <w:pPr>
              <w:widowControl/>
              <w:jc w:val="left"/>
              <w:rPr>
                <w:color w:val="000000"/>
                <w:szCs w:val="21"/>
              </w:rPr>
            </w:pPr>
            <w:r>
              <w:rPr>
                <w:b/>
                <w:bCs/>
                <w:color w:val="000000"/>
                <w:sz w:val="22"/>
              </w:rPr>
              <w:t>茅坪镇</w:t>
            </w:r>
            <w:r>
              <w:rPr>
                <w:color w:val="000000"/>
                <w:szCs w:val="21"/>
              </w:rPr>
              <w:t>：食品工业、造纸业、竹木加工业、水电开发、生物制药、仓储物流、服务业等。</w:t>
            </w:r>
          </w:p>
          <w:p>
            <w:pPr>
              <w:widowControl/>
              <w:jc w:val="left"/>
              <w:rPr>
                <w:color w:val="000000"/>
                <w:szCs w:val="21"/>
              </w:rPr>
            </w:pPr>
            <w:r>
              <w:rPr>
                <w:b/>
                <w:bCs/>
                <w:color w:val="000000"/>
                <w:szCs w:val="21"/>
              </w:rPr>
              <w:t>儒林</w:t>
            </w:r>
            <w:r>
              <w:rPr>
                <w:b/>
                <w:bCs/>
                <w:color w:val="000000"/>
                <w:sz w:val="22"/>
              </w:rPr>
              <w:t>镇：</w:t>
            </w:r>
            <w:r>
              <w:rPr>
                <w:color w:val="000000"/>
                <w:szCs w:val="21"/>
              </w:rPr>
              <w:t>食品工业、竹木加工、水电开发、旅游业、康养业、仓储物流、市场贸易、文化产业、服务业等。</w:t>
            </w:r>
          </w:p>
          <w:p>
            <w:pPr>
              <w:widowControl/>
              <w:jc w:val="left"/>
              <w:rPr>
                <w:color w:val="000000"/>
                <w:kern w:val="0"/>
                <w:szCs w:val="21"/>
              </w:rPr>
            </w:pPr>
            <w:r>
              <w:rPr>
                <w:b/>
                <w:bCs/>
                <w:color w:val="000000"/>
                <w:sz w:val="22"/>
              </w:rPr>
              <w:t>汀坪乡：</w:t>
            </w:r>
            <w:r>
              <w:rPr>
                <w:color w:val="000000"/>
                <w:szCs w:val="21"/>
              </w:rPr>
              <w:t>旅游业、农业种植业、中药材、茶业、边贸市场等。</w:t>
            </w:r>
          </w:p>
        </w:tc>
        <w:tc>
          <w:tcPr>
            <w:tcW w:w="2324" w:type="dxa"/>
            <w:vAlign w:val="center"/>
          </w:tcPr>
          <w:p>
            <w:pPr>
              <w:widowControl/>
              <w:jc w:val="left"/>
              <w:rPr>
                <w:b/>
                <w:bCs/>
                <w:color w:val="000000"/>
                <w:kern w:val="0"/>
                <w:szCs w:val="21"/>
              </w:rPr>
            </w:pPr>
            <w:r>
              <w:rPr>
                <w:b/>
                <w:bCs/>
                <w:color w:val="000000"/>
                <w:kern w:val="0"/>
                <w:szCs w:val="21"/>
              </w:rPr>
              <w:t>主要环境问题：</w:t>
            </w:r>
          </w:p>
          <w:p>
            <w:pPr>
              <w:widowControl/>
              <w:numPr>
                <w:ilvl w:val="0"/>
                <w:numId w:val="43"/>
              </w:numPr>
              <w:jc w:val="left"/>
              <w:rPr>
                <w:color w:val="000000"/>
                <w:kern w:val="0"/>
                <w:szCs w:val="21"/>
              </w:rPr>
            </w:pPr>
            <w:r>
              <w:rPr>
                <w:color w:val="000000"/>
                <w:kern w:val="0"/>
                <w:szCs w:val="21"/>
              </w:rPr>
              <w:t>城镇污水管网等基础设施不完善；</w:t>
            </w:r>
          </w:p>
          <w:p>
            <w:pPr>
              <w:widowControl/>
              <w:numPr>
                <w:ilvl w:val="0"/>
                <w:numId w:val="43"/>
              </w:numPr>
              <w:jc w:val="left"/>
              <w:rPr>
                <w:color w:val="000000"/>
                <w:kern w:val="0"/>
                <w:szCs w:val="21"/>
              </w:rPr>
            </w:pPr>
            <w:r>
              <w:rPr>
                <w:color w:val="000000"/>
                <w:kern w:val="0"/>
                <w:szCs w:val="21"/>
              </w:rPr>
              <w:t>部分企业废气、废水污染防治设施不完善。</w:t>
            </w:r>
          </w:p>
          <w:p>
            <w:pPr>
              <w:widowControl/>
              <w:jc w:val="left"/>
              <w:rPr>
                <w:b/>
                <w:bCs/>
                <w:color w:val="000000"/>
                <w:kern w:val="0"/>
                <w:szCs w:val="21"/>
              </w:rPr>
            </w:pPr>
            <w:r>
              <w:rPr>
                <w:b/>
                <w:bCs/>
                <w:color w:val="000000"/>
                <w:kern w:val="0"/>
                <w:szCs w:val="21"/>
              </w:rPr>
              <w:t>重要敏感目标：</w:t>
            </w:r>
          </w:p>
          <w:p>
            <w:pPr>
              <w:widowControl/>
              <w:tabs>
                <w:tab w:val="left" w:pos="1021"/>
              </w:tabs>
              <w:jc w:val="left"/>
              <w:rPr>
                <w:color w:val="000000"/>
                <w:kern w:val="0"/>
                <w:szCs w:val="21"/>
              </w:rPr>
            </w:pPr>
            <w:r>
              <w:rPr>
                <w:b/>
                <w:bCs/>
                <w:color w:val="000000"/>
                <w:szCs w:val="21"/>
              </w:rPr>
              <w:t>儒林镇、汀坪乡：</w:t>
            </w:r>
            <w:r>
              <w:rPr>
                <w:color w:val="000000"/>
                <w:kern w:val="0"/>
                <w:szCs w:val="21"/>
              </w:rPr>
              <w:t>南山国家公园。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kern w:val="0"/>
                <w:szCs w:val="21"/>
              </w:rPr>
            </w:pPr>
            <w:r>
              <w:rPr>
                <w:b/>
                <w:color w:val="000000"/>
                <w:kern w:val="0"/>
                <w:szCs w:val="21"/>
              </w:rPr>
              <w:t>主要属性</w:t>
            </w:r>
          </w:p>
        </w:tc>
        <w:tc>
          <w:tcPr>
            <w:tcW w:w="12823" w:type="dxa"/>
            <w:gridSpan w:val="11"/>
            <w:vAlign w:val="center"/>
          </w:tcPr>
          <w:p>
            <w:pPr>
              <w:rPr>
                <w:color w:val="000000"/>
                <w:szCs w:val="21"/>
              </w:rPr>
            </w:pPr>
            <w:r>
              <w:rPr>
                <w:b/>
                <w:bCs/>
                <w:color w:val="000000"/>
                <w:sz w:val="22"/>
              </w:rPr>
              <w:t>茅坪镇</w:t>
            </w:r>
            <w:r>
              <w:rPr>
                <w:color w:val="000000"/>
                <w:szCs w:val="21"/>
              </w:rPr>
              <w:t>：</w:t>
            </w:r>
          </w:p>
          <w:p>
            <w:pPr>
              <w:numPr>
                <w:ilvl w:val="0"/>
                <w:numId w:val="44"/>
              </w:numPr>
              <w:rPr>
                <w:color w:val="000000"/>
                <w:szCs w:val="21"/>
              </w:rPr>
            </w:pPr>
            <w:r>
              <w:rPr>
                <w:color w:val="000000"/>
                <w:szCs w:val="21"/>
              </w:rPr>
              <w:t>红线/一般生态空间/水源涵养重要区\三区三线生态红线\水土流失敏感区\生物多样性保护功能重要区\原生态红线\石漠化敏感区；</w:t>
            </w:r>
          </w:p>
          <w:p>
            <w:pPr>
              <w:numPr>
                <w:ilvl w:val="0"/>
                <w:numId w:val="44"/>
              </w:numPr>
              <w:rPr>
                <w:color w:val="000000"/>
                <w:szCs w:val="21"/>
              </w:rPr>
            </w:pPr>
            <w:r>
              <w:rPr>
                <w:color w:val="000000"/>
                <w:szCs w:val="21"/>
              </w:rPr>
              <w:t>水环境工业园区重点管控区/水环境一般管控区/工业园区/城步产业开发区；</w:t>
            </w:r>
          </w:p>
          <w:p>
            <w:pPr>
              <w:numPr>
                <w:ilvl w:val="0"/>
                <w:numId w:val="44"/>
              </w:numPr>
              <w:rPr>
                <w:color w:val="000000"/>
                <w:szCs w:val="21"/>
              </w:rPr>
            </w:pPr>
            <w:r>
              <w:rPr>
                <w:color w:val="000000"/>
                <w:szCs w:val="21"/>
              </w:rPr>
              <w:t>大气环境高排放重点管控区/大气环境受体敏感重点管控区；城步产业开发区；</w:t>
            </w:r>
          </w:p>
          <w:p>
            <w:pPr>
              <w:numPr>
                <w:ilvl w:val="0"/>
                <w:numId w:val="44"/>
              </w:numPr>
              <w:rPr>
                <w:color w:val="000000"/>
                <w:szCs w:val="21"/>
              </w:rPr>
            </w:pPr>
            <w:r>
              <w:rPr>
                <w:color w:val="000000"/>
                <w:szCs w:val="21"/>
              </w:rPr>
              <w:t>农用地优先保护区/其他重点管控区/一般管控区；城步产业开发区/矿区/</w:t>
            </w:r>
          </w:p>
          <w:p>
            <w:pPr>
              <w:numPr>
                <w:ilvl w:val="0"/>
                <w:numId w:val="44"/>
              </w:numPr>
              <w:rPr>
                <w:color w:val="000000"/>
                <w:szCs w:val="21"/>
              </w:rPr>
            </w:pPr>
            <w:r>
              <w:rPr>
                <w:color w:val="000000"/>
                <w:szCs w:val="21"/>
              </w:rPr>
              <w:t>城市化地区</w:t>
            </w:r>
          </w:p>
          <w:p>
            <w:pPr>
              <w:rPr>
                <w:b/>
                <w:bCs/>
                <w:color w:val="000000"/>
                <w:sz w:val="22"/>
              </w:rPr>
            </w:pPr>
            <w:r>
              <w:rPr>
                <w:b/>
                <w:bCs/>
                <w:color w:val="000000"/>
                <w:sz w:val="22"/>
              </w:rPr>
              <w:t>儒林镇：</w:t>
            </w:r>
          </w:p>
          <w:p>
            <w:pPr>
              <w:numPr>
                <w:ilvl w:val="0"/>
                <w:numId w:val="44"/>
              </w:numPr>
              <w:rPr>
                <w:color w:val="000000"/>
                <w:szCs w:val="21"/>
              </w:rPr>
            </w:pPr>
            <w:r>
              <w:rPr>
                <w:color w:val="000000"/>
                <w:szCs w:val="21"/>
              </w:rPr>
              <w:t>红线/一般生态空间/水源涵养重要区\三区三线生态红线\南山国家公园\生物多样性保护功能重要区\水土保持功能重要区\水土流失敏感区\原生态红线\石漠化敏感区；</w:t>
            </w:r>
          </w:p>
          <w:p>
            <w:pPr>
              <w:numPr>
                <w:ilvl w:val="0"/>
                <w:numId w:val="44"/>
              </w:numPr>
              <w:rPr>
                <w:color w:val="000000"/>
                <w:szCs w:val="21"/>
              </w:rPr>
            </w:pPr>
            <w:r>
              <w:rPr>
                <w:color w:val="000000"/>
                <w:szCs w:val="21"/>
              </w:rPr>
              <w:t>水环境优先保护区/水环境工业园重点管控区/水环境城镇生活污染重点管控区/水环境其他重点管控区/水环境一般管控区；水源地（县级及以上）/工业园区/污水处理厂/重金属矿；邵阳市城步苗族自治县白云水库饮用水水源保护区/城步产业开发区/城南污水处理有限责任公司/城步苗族自治县金石矿业有限公司金石铜矿、城步苗族自治县富鑫矿业贸易有限公司儒林镇马屁股铜矿；</w:t>
            </w:r>
          </w:p>
          <w:p>
            <w:pPr>
              <w:numPr>
                <w:ilvl w:val="0"/>
                <w:numId w:val="44"/>
              </w:numPr>
              <w:rPr>
                <w:color w:val="000000"/>
                <w:szCs w:val="21"/>
              </w:rPr>
            </w:pPr>
            <w:r>
              <w:rPr>
                <w:color w:val="000000"/>
                <w:szCs w:val="21"/>
              </w:rPr>
              <w:t>大气环境优先保护区/大气环境高排放重点管控区/大气环境受体敏感重点管控区；南山国家公园/城步产业开发区/湖南城步苗族自治县工业集中区；</w:t>
            </w:r>
          </w:p>
          <w:p>
            <w:pPr>
              <w:numPr>
                <w:ilvl w:val="0"/>
                <w:numId w:val="44"/>
              </w:numPr>
              <w:rPr>
                <w:color w:val="000000"/>
                <w:szCs w:val="21"/>
              </w:rPr>
            </w:pPr>
            <w:r>
              <w:rPr>
                <w:color w:val="000000"/>
                <w:szCs w:val="21"/>
              </w:rPr>
              <w:t>农用地优先保护区/建设用地重点管控区/其他重点管控区/一般管控区；矿区/中高风险企业用地；城步产业开发区；</w:t>
            </w:r>
          </w:p>
          <w:p>
            <w:pPr>
              <w:numPr>
                <w:ilvl w:val="0"/>
                <w:numId w:val="44"/>
              </w:numPr>
              <w:rPr>
                <w:color w:val="000000"/>
                <w:szCs w:val="21"/>
              </w:rPr>
            </w:pPr>
            <w:r>
              <w:rPr>
                <w:color w:val="000000"/>
                <w:szCs w:val="21"/>
              </w:rPr>
              <w:t>城市化地区；高污染燃料禁燃区</w:t>
            </w:r>
          </w:p>
          <w:p>
            <w:pPr>
              <w:ind w:left="442" w:hanging="442" w:hangingChars="200"/>
              <w:jc w:val="left"/>
              <w:rPr>
                <w:b/>
                <w:bCs/>
                <w:color w:val="000000"/>
                <w:sz w:val="22"/>
              </w:rPr>
            </w:pPr>
            <w:r>
              <w:rPr>
                <w:b/>
                <w:bCs/>
                <w:color w:val="000000"/>
                <w:sz w:val="22"/>
              </w:rPr>
              <w:t>汀坪乡：</w:t>
            </w:r>
          </w:p>
          <w:p>
            <w:pPr>
              <w:numPr>
                <w:ilvl w:val="0"/>
                <w:numId w:val="44"/>
              </w:numPr>
              <w:jc w:val="left"/>
              <w:rPr>
                <w:color w:val="000000"/>
                <w:szCs w:val="21"/>
              </w:rPr>
            </w:pPr>
            <w:r>
              <w:rPr>
                <w:color w:val="000000"/>
                <w:szCs w:val="21"/>
              </w:rPr>
              <w:t>红线/一般生态空间；水源涵养重要区\南山国家公园\三区三线生态红线\生物多样性保护功能重要区\原生态红线\水土保持功能重要区\水土流失敏感区；</w:t>
            </w:r>
          </w:p>
          <w:p>
            <w:pPr>
              <w:numPr>
                <w:ilvl w:val="0"/>
                <w:numId w:val="44"/>
              </w:numPr>
              <w:jc w:val="left"/>
              <w:rPr>
                <w:color w:val="000000"/>
                <w:szCs w:val="21"/>
              </w:rPr>
            </w:pPr>
            <w:r>
              <w:rPr>
                <w:color w:val="000000"/>
                <w:szCs w:val="21"/>
              </w:rPr>
              <w:t>水环境一般管控区；</w:t>
            </w:r>
          </w:p>
          <w:p>
            <w:pPr>
              <w:numPr>
                <w:ilvl w:val="0"/>
                <w:numId w:val="44"/>
              </w:numPr>
              <w:jc w:val="left"/>
              <w:rPr>
                <w:color w:val="000000"/>
                <w:szCs w:val="21"/>
              </w:rPr>
            </w:pPr>
            <w:r>
              <w:rPr>
                <w:color w:val="000000"/>
                <w:szCs w:val="21"/>
              </w:rPr>
              <w:t>大气环境优先保护区/南山国家公园；</w:t>
            </w:r>
          </w:p>
          <w:p>
            <w:pPr>
              <w:numPr>
                <w:ilvl w:val="0"/>
                <w:numId w:val="44"/>
              </w:numPr>
              <w:jc w:val="left"/>
              <w:rPr>
                <w:color w:val="000000"/>
                <w:szCs w:val="21"/>
              </w:rPr>
            </w:pPr>
            <w:r>
              <w:rPr>
                <w:color w:val="000000"/>
                <w:szCs w:val="21"/>
              </w:rPr>
              <w:t>农用地优先保护区/一般管控区/</w:t>
            </w:r>
          </w:p>
          <w:p>
            <w:pPr>
              <w:numPr>
                <w:ilvl w:val="0"/>
                <w:numId w:val="44"/>
              </w:numPr>
              <w:jc w:val="left"/>
              <w:rPr>
                <w:color w:val="000000"/>
                <w:szCs w:val="21"/>
              </w:rPr>
            </w:pPr>
            <w:r>
              <w:rPr>
                <w:color w:val="000000"/>
                <w:szCs w:val="21"/>
              </w:rPr>
              <w:t>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szCs w:val="21"/>
              </w:rPr>
            </w:pPr>
            <w:r>
              <w:rPr>
                <w:b/>
                <w:color w:val="000000"/>
                <w:szCs w:val="21"/>
              </w:rPr>
              <w:t>管控维度</w:t>
            </w:r>
          </w:p>
        </w:tc>
        <w:tc>
          <w:tcPr>
            <w:tcW w:w="10325" w:type="dxa"/>
            <w:gridSpan w:val="9"/>
            <w:vAlign w:val="center"/>
          </w:tcPr>
          <w:p>
            <w:pPr>
              <w:jc w:val="center"/>
              <w:rPr>
                <w:b/>
                <w:color w:val="000000"/>
                <w:szCs w:val="21"/>
              </w:rPr>
            </w:pPr>
            <w:r>
              <w:rPr>
                <w:b/>
                <w:color w:val="000000"/>
                <w:kern w:val="0"/>
                <w:szCs w:val="21"/>
              </w:rPr>
              <w:t>管控要求</w:t>
            </w:r>
          </w:p>
        </w:tc>
        <w:tc>
          <w:tcPr>
            <w:tcW w:w="2498"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空间布局约束</w:t>
            </w:r>
          </w:p>
        </w:tc>
        <w:tc>
          <w:tcPr>
            <w:tcW w:w="10325" w:type="dxa"/>
            <w:gridSpan w:val="9"/>
            <w:vAlign w:val="center"/>
          </w:tcPr>
          <w:p>
            <w:pPr>
              <w:widowControl/>
              <w:tabs>
                <w:tab w:val="left" w:pos="1021"/>
              </w:tabs>
              <w:jc w:val="left"/>
              <w:rPr>
                <w:color w:val="000000"/>
                <w:szCs w:val="21"/>
              </w:rPr>
            </w:pPr>
            <w:r>
              <w:rPr>
                <w:color w:val="000000"/>
                <w:szCs w:val="21"/>
              </w:rPr>
              <w:t>（1.1）优化县域产业布局，调整产业结构，提高环境准入门槛，严控两高项目，推行重点排气企业的清洁生产，实施排污权总量消减替代，完成减排目标。</w:t>
            </w:r>
          </w:p>
          <w:p>
            <w:pPr>
              <w:widowControl/>
              <w:tabs>
                <w:tab w:val="left" w:pos="1021"/>
              </w:tabs>
              <w:jc w:val="left"/>
              <w:rPr>
                <w:color w:val="000000"/>
                <w:szCs w:val="21"/>
              </w:rPr>
            </w:pPr>
            <w:r>
              <w:rPr>
                <w:color w:val="000000"/>
                <w:szCs w:val="21"/>
              </w:rPr>
              <w:t>（1.2）在生态红线区域内，禁止城镇化、工业化活动和矿产资源开发，确保生态功能不降低。</w:t>
            </w:r>
          </w:p>
          <w:p>
            <w:pPr>
              <w:widowControl/>
              <w:tabs>
                <w:tab w:val="left" w:pos="1021"/>
              </w:tabs>
              <w:jc w:val="left"/>
              <w:rPr>
                <w:color w:val="000000"/>
                <w:szCs w:val="21"/>
              </w:rPr>
            </w:pPr>
            <w:r>
              <w:rPr>
                <w:color w:val="000000"/>
                <w:szCs w:val="21"/>
              </w:rPr>
              <w:t>（1.3）湿地公园、饮用水源地等各类保护区划定为普通建筑材料用砂石土矿禁止开采区。</w:t>
            </w:r>
          </w:p>
          <w:p>
            <w:pPr>
              <w:widowControl/>
              <w:tabs>
                <w:tab w:val="left" w:pos="1021"/>
              </w:tabs>
              <w:jc w:val="left"/>
              <w:rPr>
                <w:color w:val="000000"/>
                <w:szCs w:val="21"/>
              </w:rPr>
            </w:pPr>
            <w:r>
              <w:rPr>
                <w:color w:val="000000"/>
                <w:szCs w:val="21"/>
              </w:rPr>
              <w:t>（1.4）严防矿产资源开发污染土壤，加强涉重金属行业污染防控，规范工业废物处理处置活动，新建建筑垃圾、渣土消纳场。</w:t>
            </w:r>
          </w:p>
          <w:p>
            <w:pPr>
              <w:widowControl/>
              <w:tabs>
                <w:tab w:val="left" w:pos="1021"/>
              </w:tabs>
              <w:jc w:val="left"/>
              <w:rPr>
                <w:color w:val="000000"/>
                <w:szCs w:val="21"/>
              </w:rPr>
            </w:pPr>
            <w:r>
              <w:rPr>
                <w:color w:val="000000"/>
                <w:szCs w:val="21"/>
              </w:rPr>
              <w:t>（1.5）在科学规划利用土地的基础上，合理地布设梯田、坝库、林草以及其他防护工程等治理措施，有效地控制水土流失。推动工程、林草、治坡、治沟等各项措施紧密结合、协调发展。</w:t>
            </w:r>
          </w:p>
          <w:p>
            <w:pPr>
              <w:widowControl/>
              <w:tabs>
                <w:tab w:val="left" w:pos="1021"/>
              </w:tabs>
              <w:jc w:val="left"/>
              <w:rPr>
                <w:b/>
                <w:bCs/>
                <w:color w:val="000000"/>
                <w:szCs w:val="21"/>
              </w:rPr>
            </w:pPr>
            <w:r>
              <w:rPr>
                <w:b/>
                <w:bCs/>
                <w:color w:val="000000"/>
                <w:szCs w:val="21"/>
              </w:rPr>
              <w:t>儒林镇、汀坪乡：</w:t>
            </w:r>
          </w:p>
          <w:p>
            <w:pPr>
              <w:pStyle w:val="3"/>
              <w:rPr>
                <w:color w:val="000000"/>
                <w:szCs w:val="21"/>
              </w:rPr>
            </w:pPr>
            <w:r>
              <w:rPr>
                <w:color w:val="000000"/>
                <w:szCs w:val="21"/>
              </w:rPr>
              <w:t>（1.6）南山国家公园保护区：在核心保护区严格落实禁牧措施，在一般控制区严格实行以草定畜；推进南山国家公园生态修复、草山修复及基础设施建设，扩大南山国家公园范围。</w:t>
            </w:r>
          </w:p>
        </w:tc>
        <w:tc>
          <w:tcPr>
            <w:tcW w:w="2498" w:type="dxa"/>
            <w:gridSpan w:val="2"/>
            <w:vMerge w:val="restart"/>
          </w:tcPr>
          <w:p>
            <w:pPr>
              <w:widowControl/>
              <w:tabs>
                <w:tab w:val="left" w:pos="1021"/>
              </w:tabs>
              <w:jc w:val="left"/>
              <w:rPr>
                <w:color w:val="000000"/>
                <w:szCs w:val="21"/>
              </w:rPr>
            </w:pPr>
            <w:r>
              <w:rPr>
                <w:color w:val="000000"/>
                <w:szCs w:val="21"/>
              </w:rPr>
              <w:t>（1.1）（1.2）（1.4）（1.5）（1.6）（2.1.1）（2.1.2）（2.1.3）（2.3.2）（2.3.3）（4.1）（4.2.2）（4.3.2）《城步苗族自治县国民经济和社会发展第十四个五年规划和二O三五年远景目标纲要》</w:t>
            </w:r>
          </w:p>
          <w:p>
            <w:pPr>
              <w:widowControl/>
              <w:numPr>
                <w:ilvl w:val="1"/>
                <w:numId w:val="0"/>
              </w:numPr>
              <w:jc w:val="left"/>
              <w:rPr>
                <w:color w:val="000000"/>
                <w:szCs w:val="21"/>
              </w:rPr>
            </w:pPr>
            <w:r>
              <w:rPr>
                <w:color w:val="000000"/>
                <w:szCs w:val="21"/>
              </w:rPr>
              <w:t>（1.3）（4.3.1）《城步苗族自治县国土空间总体规划（2021</w:t>
            </w:r>
            <w:r>
              <w:rPr>
                <w:rFonts w:hint="eastAsia"/>
                <w:color w:val="000000"/>
                <w:szCs w:val="21"/>
              </w:rPr>
              <w:t>—</w:t>
            </w:r>
            <w:r>
              <w:rPr>
                <w:color w:val="000000"/>
                <w:szCs w:val="21"/>
              </w:rPr>
              <w:t>2035年）》</w:t>
            </w:r>
          </w:p>
          <w:p>
            <w:pPr>
              <w:widowControl/>
              <w:jc w:val="left"/>
              <w:rPr>
                <w:color w:val="000000"/>
                <w:szCs w:val="21"/>
              </w:rPr>
            </w:pPr>
            <w:r>
              <w:rPr>
                <w:color w:val="000000"/>
                <w:szCs w:val="21"/>
              </w:rPr>
              <w:t>（2.2）（2.3.1）（3.1）（3.2）（3.3）《2023年城步苗族自治县深入打好污染防治攻坚战工作方案》</w:t>
            </w:r>
          </w:p>
          <w:p>
            <w:pPr>
              <w:widowControl/>
              <w:tabs>
                <w:tab w:val="left" w:pos="1021"/>
              </w:tabs>
              <w:jc w:val="left"/>
              <w:rPr>
                <w:color w:val="000000"/>
                <w:szCs w:val="21"/>
              </w:rPr>
            </w:pPr>
            <w:r>
              <w:rPr>
                <w:color w:val="000000"/>
                <w:szCs w:val="21"/>
              </w:rPr>
              <w:t>（4.2.1）《邵阳市“十四五”用水总量和强度双控目标》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污染物排放管控</w:t>
            </w:r>
          </w:p>
        </w:tc>
        <w:tc>
          <w:tcPr>
            <w:tcW w:w="10325" w:type="dxa"/>
            <w:gridSpan w:val="9"/>
            <w:vAlign w:val="center"/>
          </w:tcPr>
          <w:p>
            <w:pPr>
              <w:widowControl/>
              <w:tabs>
                <w:tab w:val="left" w:pos="1021"/>
              </w:tabs>
              <w:jc w:val="left"/>
              <w:rPr>
                <w:color w:val="000000"/>
                <w:szCs w:val="21"/>
              </w:rPr>
            </w:pPr>
            <w:r>
              <w:rPr>
                <w:color w:val="000000"/>
                <w:szCs w:val="21"/>
              </w:rPr>
              <w:t>（2.1）废水：</w:t>
            </w:r>
          </w:p>
          <w:p>
            <w:pPr>
              <w:widowControl/>
              <w:tabs>
                <w:tab w:val="left" w:pos="1021"/>
              </w:tabs>
              <w:ind w:firstLine="420" w:firstLineChars="200"/>
              <w:jc w:val="left"/>
              <w:rPr>
                <w:color w:val="000000"/>
                <w:szCs w:val="21"/>
              </w:rPr>
            </w:pPr>
            <w:r>
              <w:rPr>
                <w:color w:val="000000"/>
                <w:szCs w:val="21"/>
              </w:rPr>
              <w:t>（2.1.1）完善县城和重点乡镇污水管网等基础设施，完成乡镇污水处理厂。</w:t>
            </w:r>
          </w:p>
          <w:p>
            <w:pPr>
              <w:widowControl/>
              <w:tabs>
                <w:tab w:val="left" w:pos="1021"/>
              </w:tabs>
              <w:ind w:firstLine="420" w:firstLineChars="200"/>
              <w:jc w:val="left"/>
              <w:rPr>
                <w:color w:val="000000"/>
                <w:szCs w:val="21"/>
              </w:rPr>
            </w:pPr>
            <w:r>
              <w:rPr>
                <w:color w:val="000000"/>
                <w:szCs w:val="21"/>
              </w:rPr>
              <w:t>（2.1.2）强化涉水工业企业监管，降低水耗，减少废水排放量，确保企业水污染防治设施规范运行。</w:t>
            </w:r>
          </w:p>
          <w:p>
            <w:pPr>
              <w:widowControl/>
              <w:tabs>
                <w:tab w:val="left" w:pos="1021"/>
              </w:tabs>
              <w:ind w:firstLine="420" w:firstLineChars="200"/>
              <w:jc w:val="left"/>
              <w:rPr>
                <w:color w:val="000000"/>
                <w:szCs w:val="21"/>
              </w:rPr>
            </w:pPr>
            <w:r>
              <w:rPr>
                <w:color w:val="000000"/>
                <w:szCs w:val="21"/>
              </w:rPr>
              <w:t>（2.1.3）加快补齐农村环境短板，推进生活污水治理，探索推行城镇污水管网向周边村庄延伸覆盖，消除黑臭水体，加强农村水源地保护。</w:t>
            </w:r>
          </w:p>
          <w:p>
            <w:pPr>
              <w:widowControl/>
              <w:tabs>
                <w:tab w:val="left" w:pos="1021"/>
              </w:tabs>
              <w:jc w:val="left"/>
              <w:rPr>
                <w:color w:val="000000"/>
                <w:szCs w:val="21"/>
              </w:rPr>
            </w:pPr>
            <w:r>
              <w:rPr>
                <w:color w:val="000000"/>
                <w:szCs w:val="21"/>
              </w:rPr>
              <w:t>（2.2）废气：落实《湖南省大气污染防治攻坚行动工作方案》，坚持源头防控、系统治理，在水泥、砖瓦、工业涂装等重点行业，柴油货车、露天焚烧秸秆、餐饮油烟、城市扬尘等重点领域，开展“守护蓝天”行动，</w:t>
            </w:r>
            <w:r>
              <w:rPr>
                <w:color w:val="000000"/>
                <w:szCs w:val="21"/>
                <w:lang w:val="zh-CN"/>
              </w:rPr>
              <w:t>严格落实各项攻坚措施</w:t>
            </w:r>
            <w:r>
              <w:rPr>
                <w:color w:val="000000"/>
                <w:szCs w:val="21"/>
              </w:rPr>
              <w:t>。</w:t>
            </w:r>
          </w:p>
          <w:p>
            <w:pPr>
              <w:widowControl/>
              <w:tabs>
                <w:tab w:val="left" w:pos="1021"/>
              </w:tabs>
              <w:jc w:val="left"/>
              <w:rPr>
                <w:color w:val="000000"/>
                <w:szCs w:val="21"/>
              </w:rPr>
            </w:pPr>
            <w:r>
              <w:rPr>
                <w:color w:val="000000"/>
                <w:szCs w:val="21"/>
              </w:rPr>
              <w:t>（2.3）固体废物：</w:t>
            </w:r>
          </w:p>
          <w:p>
            <w:pPr>
              <w:widowControl/>
              <w:tabs>
                <w:tab w:val="left" w:pos="1021"/>
              </w:tabs>
              <w:ind w:firstLine="420" w:firstLineChars="200"/>
              <w:jc w:val="left"/>
              <w:rPr>
                <w:color w:val="000000"/>
                <w:szCs w:val="21"/>
              </w:rPr>
            </w:pPr>
            <w:r>
              <w:rPr>
                <w:color w:val="000000"/>
                <w:szCs w:val="21"/>
              </w:rPr>
              <w:t>（2.3.1）全面排查整治涉镉等重金属矿区历史遗留固体废物。</w:t>
            </w:r>
          </w:p>
          <w:p>
            <w:pPr>
              <w:widowControl/>
              <w:tabs>
                <w:tab w:val="left" w:pos="1021"/>
              </w:tabs>
              <w:ind w:firstLine="420" w:firstLineChars="200"/>
              <w:jc w:val="left"/>
              <w:rPr>
                <w:color w:val="000000"/>
                <w:szCs w:val="21"/>
              </w:rPr>
            </w:pPr>
            <w:r>
              <w:rPr>
                <w:color w:val="000000"/>
                <w:szCs w:val="21"/>
              </w:rPr>
              <w:t>（2.3.2）推进生活垃圾治理，建立生活垃圾收运处理体系，探索推行垃圾就地分类和资源化利用，开展非正规垃圾堆放点排查整治</w:t>
            </w:r>
          </w:p>
          <w:p>
            <w:pPr>
              <w:widowControl/>
              <w:tabs>
                <w:tab w:val="left" w:pos="1021"/>
              </w:tabs>
              <w:ind w:firstLine="420" w:firstLineChars="200"/>
              <w:jc w:val="left"/>
              <w:rPr>
                <w:color w:val="000000"/>
                <w:szCs w:val="21"/>
              </w:rPr>
            </w:pPr>
            <w:r>
              <w:rPr>
                <w:color w:val="000000"/>
                <w:szCs w:val="21"/>
              </w:rPr>
              <w:t>（2.3.3）推进“厕所革命”和畜禽养殖粪污资源化利用，探索厕所、畜禽粪污无害化处理和资源利用</w:t>
            </w:r>
          </w:p>
        </w:tc>
        <w:tc>
          <w:tcPr>
            <w:tcW w:w="249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环境风险防控</w:t>
            </w:r>
          </w:p>
        </w:tc>
        <w:tc>
          <w:tcPr>
            <w:tcW w:w="10325" w:type="dxa"/>
            <w:gridSpan w:val="9"/>
            <w:vAlign w:val="center"/>
          </w:tcPr>
          <w:p>
            <w:pPr>
              <w:tabs>
                <w:tab w:val="left" w:pos="1021"/>
              </w:tabs>
              <w:rPr>
                <w:color w:val="000000"/>
                <w:szCs w:val="21"/>
              </w:rPr>
            </w:pPr>
            <w:r>
              <w:rPr>
                <w:color w:val="000000"/>
                <w:szCs w:val="21"/>
              </w:rPr>
              <w:t>（3.1）持续开展危险废物规范化环境管理评估。</w:t>
            </w:r>
          </w:p>
          <w:p>
            <w:pPr>
              <w:tabs>
                <w:tab w:val="left" w:pos="1021"/>
              </w:tabs>
              <w:rPr>
                <w:color w:val="000000"/>
                <w:szCs w:val="21"/>
              </w:rPr>
            </w:pPr>
            <w:r>
              <w:rPr>
                <w:color w:val="000000"/>
                <w:szCs w:val="21"/>
              </w:rPr>
              <w:t>（3.2）扎实开展尾矿库污染治理“回头看”和历史遗留渣堆污染问题整治，逐步完善尾矿库预警监测体系。</w:t>
            </w:r>
          </w:p>
          <w:p>
            <w:pPr>
              <w:tabs>
                <w:tab w:val="left" w:pos="1021"/>
              </w:tabs>
              <w:rPr>
                <w:color w:val="000000"/>
                <w:szCs w:val="21"/>
              </w:rPr>
            </w:pPr>
            <w:r>
              <w:rPr>
                <w:color w:val="000000"/>
                <w:szCs w:val="21"/>
              </w:rPr>
              <w:t>（3.3）有效管控建设用地土壤污染风险；持续开展重点行业企业用地调查和典型行业周边土壤环境调查，进一步摸清污染地块底数和污染成因。严格土壤污染重点监管单位搬迁腾退用地土壤污染风险管控。</w:t>
            </w:r>
          </w:p>
        </w:tc>
        <w:tc>
          <w:tcPr>
            <w:tcW w:w="249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资源开发效率要求</w:t>
            </w:r>
          </w:p>
        </w:tc>
        <w:tc>
          <w:tcPr>
            <w:tcW w:w="10325" w:type="dxa"/>
            <w:gridSpan w:val="9"/>
            <w:vAlign w:val="center"/>
          </w:tcPr>
          <w:p>
            <w:pPr>
              <w:pStyle w:val="8"/>
              <w:widowControl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（4.1）能源：大力发展节能环保、清洁生产、清洁能源产业。全面推进清洁生产改造或清洁化改造。</w:t>
            </w:r>
          </w:p>
          <w:p>
            <w:pPr>
              <w:widowControl/>
              <w:tabs>
                <w:tab w:val="left" w:pos="1021"/>
              </w:tabs>
              <w:jc w:val="left"/>
              <w:rPr>
                <w:color w:val="000000"/>
                <w:szCs w:val="21"/>
              </w:rPr>
            </w:pPr>
            <w:r>
              <w:rPr>
                <w:color w:val="000000"/>
                <w:szCs w:val="21"/>
              </w:rPr>
              <w:t>（4.2）水资源：</w:t>
            </w:r>
          </w:p>
          <w:p>
            <w:pPr>
              <w:widowControl/>
              <w:tabs>
                <w:tab w:val="left" w:pos="1021"/>
              </w:tabs>
              <w:ind w:firstLine="420" w:firstLineChars="200"/>
              <w:jc w:val="left"/>
              <w:rPr>
                <w:color w:val="000000"/>
                <w:szCs w:val="21"/>
              </w:rPr>
            </w:pPr>
            <w:r>
              <w:rPr>
                <w:color w:val="000000"/>
                <w:szCs w:val="21"/>
              </w:rPr>
              <w:t>（4.2.1）到2025年城步苗族自治县用水总量为1.065亿m³；万元地区生产总值用水量比2020年下降20.98%；万元工业增加值用水量比2020年下降12.54%；农田灌溉用水有效利用系数为0.53。</w:t>
            </w:r>
          </w:p>
          <w:p>
            <w:pPr>
              <w:widowControl/>
              <w:tabs>
                <w:tab w:val="left" w:pos="1021"/>
              </w:tabs>
              <w:ind w:firstLine="420" w:firstLineChars="200"/>
              <w:jc w:val="left"/>
              <w:rPr>
                <w:color w:val="000000"/>
                <w:szCs w:val="21"/>
              </w:rPr>
            </w:pPr>
            <w:r>
              <w:rPr>
                <w:color w:val="000000"/>
                <w:szCs w:val="21"/>
              </w:rPr>
              <w:t>（4.2.2）推进城镇污水处理厂出水深度净化和资源化利用。</w:t>
            </w:r>
          </w:p>
          <w:p>
            <w:pPr>
              <w:widowControl/>
              <w:tabs>
                <w:tab w:val="left" w:pos="1021"/>
              </w:tabs>
              <w:jc w:val="left"/>
              <w:rPr>
                <w:color w:val="000000"/>
                <w:szCs w:val="21"/>
              </w:rPr>
            </w:pPr>
            <w:r>
              <w:rPr>
                <w:color w:val="000000"/>
                <w:szCs w:val="21"/>
              </w:rPr>
              <w:t>（4.3）土地资源：</w:t>
            </w:r>
          </w:p>
          <w:p>
            <w:pPr>
              <w:widowControl/>
              <w:tabs>
                <w:tab w:val="left" w:pos="1021"/>
              </w:tabs>
              <w:ind w:firstLine="420" w:firstLineChars="200"/>
              <w:jc w:val="left"/>
              <w:rPr>
                <w:color w:val="000000"/>
                <w:szCs w:val="21"/>
              </w:rPr>
            </w:pPr>
            <w:r>
              <w:rPr>
                <w:color w:val="000000"/>
                <w:szCs w:val="21"/>
              </w:rPr>
              <w:t>（4.3.1）至2035年，划定生态保护红线面积105711.07公顷，落实林地保有量217805.00公顷，湿地面积164.08公顷。确保耕地保有量不低于17201.70公顷，永久基本农田保护面积13931.69公顷，控制建设用地总面积不高于7127.68公顷，城乡建设用地不高于6095.99公顷</w:t>
            </w:r>
          </w:p>
          <w:p>
            <w:pPr>
              <w:tabs>
                <w:tab w:val="left" w:pos="1021"/>
              </w:tabs>
              <w:ind w:firstLine="420" w:firstLineChars="200"/>
              <w:rPr>
                <w:color w:val="000000"/>
                <w:szCs w:val="21"/>
              </w:rPr>
            </w:pPr>
            <w:r>
              <w:rPr>
                <w:color w:val="000000"/>
                <w:szCs w:val="21"/>
              </w:rPr>
              <w:t>（4.3.2）在科学规划利用土地的基础上，合理地布设以及其他防护工程等治理措施，有效地控制水土流失。推动工程、林草、治坡、治沟等各项措施紧密结合、协调发展。</w:t>
            </w:r>
          </w:p>
        </w:tc>
        <w:tc>
          <w:tcPr>
            <w:tcW w:w="2498" w:type="dxa"/>
            <w:gridSpan w:val="2"/>
            <w:vMerge w:val="continue"/>
            <w:vAlign w:val="center"/>
          </w:tcPr>
          <w:p/>
        </w:tc>
      </w:tr>
    </w:tbl>
    <w:p>
      <w:pPr>
        <w:rPr>
          <w:b/>
          <w:color w:val="000000"/>
          <w:sz w:val="28"/>
          <w:szCs w:val="32"/>
        </w:rPr>
      </w:pPr>
      <w:r>
        <w:rPr>
          <w:b/>
          <w:color w:val="000000"/>
          <w:sz w:val="28"/>
          <w:szCs w:val="32"/>
        </w:rPr>
        <w:br w:type="page"/>
      </w:r>
    </w:p>
    <w:tbl>
      <w:tblPr>
        <w:tblStyle w:val="10"/>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425"/>
        <w:gridCol w:w="425"/>
        <w:gridCol w:w="709"/>
        <w:gridCol w:w="851"/>
        <w:gridCol w:w="992"/>
        <w:gridCol w:w="1276"/>
        <w:gridCol w:w="2517"/>
        <w:gridCol w:w="1100"/>
        <w:gridCol w:w="154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jc w:val="center"/>
              <w:rPr>
                <w:b/>
                <w:color w:val="000000"/>
                <w:kern w:val="0"/>
                <w:szCs w:val="21"/>
              </w:rPr>
            </w:pPr>
            <w:r>
              <w:rPr>
                <w:b/>
                <w:color w:val="000000"/>
                <w:kern w:val="0"/>
                <w:szCs w:val="21"/>
              </w:rPr>
              <w:t>环境管控单元编码</w:t>
            </w:r>
          </w:p>
        </w:tc>
        <w:tc>
          <w:tcPr>
            <w:tcW w:w="851" w:type="dxa"/>
            <w:vMerge w:val="restart"/>
            <w:vAlign w:val="center"/>
          </w:tcPr>
          <w:p>
            <w:pPr>
              <w:widowControl/>
              <w:jc w:val="center"/>
              <w:rPr>
                <w:b/>
                <w:color w:val="000000"/>
                <w:kern w:val="0"/>
                <w:szCs w:val="21"/>
              </w:rPr>
            </w:pPr>
            <w:r>
              <w:rPr>
                <w:b/>
                <w:color w:val="000000"/>
                <w:kern w:val="0"/>
                <w:szCs w:val="21"/>
              </w:rPr>
              <w:t>单元名称</w:t>
            </w:r>
          </w:p>
        </w:tc>
        <w:tc>
          <w:tcPr>
            <w:tcW w:w="1559" w:type="dxa"/>
            <w:gridSpan w:val="3"/>
            <w:vAlign w:val="center"/>
          </w:tcPr>
          <w:p>
            <w:pPr>
              <w:widowControl/>
              <w:jc w:val="center"/>
              <w:rPr>
                <w:b/>
                <w:color w:val="000000"/>
                <w:kern w:val="0"/>
                <w:szCs w:val="21"/>
              </w:rPr>
            </w:pPr>
            <w:r>
              <w:rPr>
                <w:b/>
                <w:color w:val="000000"/>
                <w:kern w:val="0"/>
                <w:szCs w:val="21"/>
              </w:rPr>
              <w:t>行政区划</w:t>
            </w:r>
          </w:p>
        </w:tc>
        <w:tc>
          <w:tcPr>
            <w:tcW w:w="851" w:type="dxa"/>
            <w:vMerge w:val="restart"/>
            <w:vAlign w:val="center"/>
          </w:tcPr>
          <w:p>
            <w:pPr>
              <w:widowControl/>
              <w:jc w:val="center"/>
              <w:rPr>
                <w:b/>
                <w:color w:val="000000"/>
                <w:kern w:val="0"/>
                <w:szCs w:val="21"/>
              </w:rPr>
            </w:pPr>
            <w:r>
              <w:rPr>
                <w:b/>
                <w:color w:val="000000"/>
                <w:kern w:val="0"/>
                <w:szCs w:val="21"/>
              </w:rPr>
              <w:t>单元分类</w:t>
            </w:r>
          </w:p>
        </w:tc>
        <w:tc>
          <w:tcPr>
            <w:tcW w:w="992"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276" w:type="dxa"/>
            <w:vMerge w:val="restart"/>
            <w:vAlign w:val="center"/>
          </w:tcPr>
          <w:p>
            <w:pPr>
              <w:jc w:val="center"/>
              <w:rPr>
                <w:b/>
                <w:color w:val="000000"/>
                <w:kern w:val="0"/>
                <w:szCs w:val="21"/>
              </w:rPr>
            </w:pPr>
            <w:r>
              <w:rPr>
                <w:b/>
                <w:color w:val="000000"/>
                <w:kern w:val="0"/>
                <w:szCs w:val="21"/>
              </w:rPr>
              <w:t>涉及乡镇（街道）</w:t>
            </w:r>
          </w:p>
        </w:tc>
        <w:tc>
          <w:tcPr>
            <w:tcW w:w="2517" w:type="dxa"/>
            <w:vMerge w:val="restart"/>
            <w:vAlign w:val="center"/>
          </w:tcPr>
          <w:p>
            <w:pPr>
              <w:jc w:val="center"/>
              <w:rPr>
                <w:b/>
                <w:color w:val="000000"/>
                <w:kern w:val="0"/>
                <w:szCs w:val="21"/>
              </w:rPr>
            </w:pPr>
            <w:r>
              <w:rPr>
                <w:b/>
                <w:color w:val="000000"/>
                <w:kern w:val="0"/>
                <w:szCs w:val="21"/>
              </w:rPr>
              <w:t>主体功能定位</w:t>
            </w:r>
          </w:p>
        </w:tc>
        <w:tc>
          <w:tcPr>
            <w:tcW w:w="2646" w:type="dxa"/>
            <w:gridSpan w:val="2"/>
            <w:vMerge w:val="restart"/>
            <w:vAlign w:val="center"/>
          </w:tcPr>
          <w:p>
            <w:pPr>
              <w:jc w:val="center"/>
              <w:rPr>
                <w:b/>
                <w:color w:val="000000"/>
                <w:kern w:val="0"/>
                <w:szCs w:val="21"/>
              </w:rPr>
            </w:pPr>
            <w:r>
              <w:rPr>
                <w:b/>
                <w:color w:val="000000"/>
                <w:kern w:val="0"/>
                <w:szCs w:val="21"/>
              </w:rPr>
              <w:t>经济产业布局</w:t>
            </w:r>
          </w:p>
        </w:tc>
        <w:tc>
          <w:tcPr>
            <w:tcW w:w="2131" w:type="dxa"/>
            <w:vMerge w:val="restart"/>
            <w:vAlign w:val="center"/>
          </w:tcPr>
          <w:p>
            <w:pPr>
              <w:jc w:val="center"/>
              <w:rPr>
                <w:b/>
                <w:color w:val="000000"/>
                <w:kern w:val="0"/>
                <w:szCs w:val="21"/>
              </w:rPr>
            </w:pPr>
            <w:r>
              <w:rPr>
                <w:b/>
                <w:color w:val="000000"/>
                <w:kern w:val="0"/>
                <w:szCs w:val="21"/>
              </w:rPr>
              <w:t>主要环境问题</w:t>
            </w:r>
            <w:r>
              <w:rPr>
                <w:b/>
                <w:kern w:val="0"/>
                <w:szCs w:val="21"/>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vAlign w:val="center"/>
          </w:tcPr>
          <w:p/>
        </w:tc>
        <w:tc>
          <w:tcPr>
            <w:tcW w:w="851" w:type="dxa"/>
            <w:vMerge w:val="continue"/>
            <w:vAlign w:val="center"/>
          </w:tcPr>
          <w:p/>
        </w:tc>
        <w:tc>
          <w:tcPr>
            <w:tcW w:w="425" w:type="dxa"/>
            <w:vAlign w:val="center"/>
          </w:tcPr>
          <w:p>
            <w:pPr>
              <w:jc w:val="center"/>
              <w:rPr>
                <w:b/>
                <w:color w:val="000000"/>
                <w:szCs w:val="21"/>
              </w:rPr>
            </w:pPr>
            <w:r>
              <w:rPr>
                <w:b/>
                <w:color w:val="000000"/>
                <w:szCs w:val="21"/>
              </w:rPr>
              <w:t>省</w:t>
            </w:r>
          </w:p>
        </w:tc>
        <w:tc>
          <w:tcPr>
            <w:tcW w:w="425" w:type="dxa"/>
            <w:vAlign w:val="center"/>
          </w:tcPr>
          <w:p>
            <w:pPr>
              <w:jc w:val="center"/>
              <w:rPr>
                <w:b/>
                <w:color w:val="000000"/>
                <w:szCs w:val="21"/>
              </w:rPr>
            </w:pPr>
            <w:r>
              <w:rPr>
                <w:b/>
                <w:color w:val="000000"/>
                <w:szCs w:val="21"/>
              </w:rPr>
              <w:t>市</w:t>
            </w:r>
          </w:p>
        </w:tc>
        <w:tc>
          <w:tcPr>
            <w:tcW w:w="709" w:type="dxa"/>
            <w:vAlign w:val="center"/>
          </w:tcPr>
          <w:p>
            <w:pPr>
              <w:jc w:val="center"/>
              <w:rPr>
                <w:b/>
                <w:color w:val="000000"/>
                <w:szCs w:val="21"/>
              </w:rPr>
            </w:pPr>
            <w:r>
              <w:rPr>
                <w:b/>
                <w:color w:val="000000"/>
                <w:szCs w:val="21"/>
              </w:rPr>
              <w:t>县</w:t>
            </w:r>
          </w:p>
        </w:tc>
        <w:tc>
          <w:tcPr>
            <w:tcW w:w="851" w:type="dxa"/>
            <w:vMerge w:val="continue"/>
            <w:vAlign w:val="center"/>
          </w:tcPr>
          <w:p/>
        </w:tc>
        <w:tc>
          <w:tcPr>
            <w:tcW w:w="992" w:type="dxa"/>
            <w:vMerge w:val="continue"/>
            <w:vAlign w:val="center"/>
          </w:tcPr>
          <w:p/>
        </w:tc>
        <w:tc>
          <w:tcPr>
            <w:tcW w:w="1276" w:type="dxa"/>
            <w:vMerge w:val="continue"/>
            <w:vAlign w:val="center"/>
          </w:tcPr>
          <w:p/>
        </w:tc>
        <w:tc>
          <w:tcPr>
            <w:tcW w:w="2517" w:type="dxa"/>
            <w:vMerge w:val="continue"/>
            <w:vAlign w:val="center"/>
          </w:tcPr>
          <w:p/>
        </w:tc>
        <w:tc>
          <w:tcPr>
            <w:tcW w:w="2646" w:type="dxa"/>
            <w:gridSpan w:val="2"/>
            <w:vMerge w:val="continue"/>
            <w:vAlign w:val="center"/>
          </w:tcPr>
          <w:p/>
        </w:tc>
        <w:tc>
          <w:tcPr>
            <w:tcW w:w="21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134" w:type="dxa"/>
            <w:vAlign w:val="center"/>
          </w:tcPr>
          <w:p>
            <w:pPr>
              <w:jc w:val="center"/>
              <w:rPr>
                <w:color w:val="000000"/>
                <w:szCs w:val="21"/>
              </w:rPr>
            </w:pPr>
            <w:r>
              <w:rPr>
                <w:color w:val="000000"/>
                <w:szCs w:val="21"/>
              </w:rPr>
              <w:t>ZH43052910002</w:t>
            </w:r>
          </w:p>
        </w:tc>
        <w:tc>
          <w:tcPr>
            <w:tcW w:w="851" w:type="dxa"/>
            <w:vAlign w:val="center"/>
          </w:tcPr>
          <w:p>
            <w:pPr>
              <w:jc w:val="center"/>
              <w:rPr>
                <w:color w:val="000000"/>
                <w:szCs w:val="21"/>
              </w:rPr>
            </w:pPr>
            <w:r>
              <w:rPr>
                <w:color w:val="000000"/>
                <w:szCs w:val="21"/>
              </w:rPr>
              <w:t>丹口镇/长安营镇</w:t>
            </w:r>
          </w:p>
        </w:tc>
        <w:tc>
          <w:tcPr>
            <w:tcW w:w="425" w:type="dxa"/>
            <w:vAlign w:val="center"/>
          </w:tcPr>
          <w:p>
            <w:pPr>
              <w:jc w:val="center"/>
              <w:rPr>
                <w:color w:val="000000"/>
                <w:szCs w:val="21"/>
              </w:rPr>
            </w:pPr>
            <w:r>
              <w:rPr>
                <w:color w:val="000000"/>
                <w:szCs w:val="21"/>
              </w:rPr>
              <w:t>湖南省</w:t>
            </w:r>
          </w:p>
        </w:tc>
        <w:tc>
          <w:tcPr>
            <w:tcW w:w="425" w:type="dxa"/>
            <w:vAlign w:val="center"/>
          </w:tcPr>
          <w:p>
            <w:pPr>
              <w:jc w:val="center"/>
              <w:rPr>
                <w:color w:val="000000"/>
                <w:szCs w:val="21"/>
              </w:rPr>
            </w:pPr>
            <w:r>
              <w:rPr>
                <w:color w:val="000000"/>
                <w:szCs w:val="21"/>
              </w:rPr>
              <w:t>邵阳市</w:t>
            </w:r>
          </w:p>
        </w:tc>
        <w:tc>
          <w:tcPr>
            <w:tcW w:w="709" w:type="dxa"/>
            <w:vAlign w:val="center"/>
          </w:tcPr>
          <w:p>
            <w:pPr>
              <w:jc w:val="center"/>
              <w:rPr>
                <w:color w:val="000000"/>
                <w:szCs w:val="21"/>
              </w:rPr>
            </w:pPr>
            <w:r>
              <w:rPr>
                <w:color w:val="000000"/>
                <w:szCs w:val="21"/>
              </w:rPr>
              <w:t>城步苗族自治县</w:t>
            </w:r>
          </w:p>
        </w:tc>
        <w:tc>
          <w:tcPr>
            <w:tcW w:w="851" w:type="dxa"/>
            <w:vAlign w:val="center"/>
          </w:tcPr>
          <w:p>
            <w:pPr>
              <w:jc w:val="center"/>
              <w:rPr>
                <w:color w:val="000000"/>
                <w:szCs w:val="21"/>
              </w:rPr>
            </w:pPr>
            <w:r>
              <w:rPr>
                <w:color w:val="000000"/>
                <w:szCs w:val="21"/>
              </w:rPr>
              <w:t>优先保护单元</w:t>
            </w:r>
          </w:p>
        </w:tc>
        <w:tc>
          <w:tcPr>
            <w:tcW w:w="992" w:type="dxa"/>
            <w:vAlign w:val="center"/>
          </w:tcPr>
          <w:p>
            <w:pPr>
              <w:jc w:val="center"/>
              <w:rPr>
                <w:color w:val="000000"/>
                <w:szCs w:val="21"/>
              </w:rPr>
            </w:pPr>
            <w:r>
              <w:rPr>
                <w:color w:val="000000"/>
                <w:szCs w:val="21"/>
              </w:rPr>
              <w:t>713.41</w:t>
            </w:r>
          </w:p>
        </w:tc>
        <w:tc>
          <w:tcPr>
            <w:tcW w:w="1276" w:type="dxa"/>
            <w:vAlign w:val="center"/>
          </w:tcPr>
          <w:p>
            <w:pPr>
              <w:jc w:val="center"/>
              <w:rPr>
                <w:color w:val="000000"/>
                <w:szCs w:val="21"/>
              </w:rPr>
            </w:pPr>
            <w:r>
              <w:rPr>
                <w:color w:val="000000"/>
                <w:szCs w:val="21"/>
              </w:rPr>
              <w:t>丹口镇/长安营镇</w:t>
            </w:r>
          </w:p>
        </w:tc>
        <w:tc>
          <w:tcPr>
            <w:tcW w:w="2517" w:type="dxa"/>
            <w:vAlign w:val="center"/>
          </w:tcPr>
          <w:p>
            <w:pPr>
              <w:jc w:val="left"/>
              <w:rPr>
                <w:color w:val="000000"/>
                <w:szCs w:val="21"/>
              </w:rPr>
            </w:pPr>
            <w:r>
              <w:rPr>
                <w:b/>
                <w:bCs/>
                <w:color w:val="000000"/>
                <w:sz w:val="22"/>
              </w:rPr>
              <w:t>丹口镇：</w:t>
            </w:r>
            <w:r>
              <w:rPr>
                <w:color w:val="000000"/>
                <w:szCs w:val="21"/>
              </w:rPr>
              <w:t>重点生态功能区/历史文化资源富集区</w:t>
            </w:r>
          </w:p>
          <w:p>
            <w:pPr>
              <w:pStyle w:val="3"/>
            </w:pPr>
            <w:r>
              <w:rPr>
                <w:b/>
                <w:bCs/>
                <w:color w:val="000000"/>
                <w:sz w:val="22"/>
                <w:szCs w:val="22"/>
              </w:rPr>
              <w:t>长安营镇：</w:t>
            </w:r>
            <w:r>
              <w:rPr>
                <w:color w:val="000000"/>
                <w:szCs w:val="21"/>
              </w:rPr>
              <w:t>重点生态功能区/历史文化资源富集区</w:t>
            </w:r>
          </w:p>
        </w:tc>
        <w:tc>
          <w:tcPr>
            <w:tcW w:w="2646" w:type="dxa"/>
            <w:gridSpan w:val="2"/>
            <w:vAlign w:val="center"/>
          </w:tcPr>
          <w:p>
            <w:pPr>
              <w:widowControl/>
              <w:jc w:val="left"/>
              <w:rPr>
                <w:color w:val="000000"/>
                <w:szCs w:val="21"/>
              </w:rPr>
            </w:pPr>
            <w:r>
              <w:rPr>
                <w:b/>
                <w:bCs/>
                <w:color w:val="000000"/>
                <w:sz w:val="22"/>
              </w:rPr>
              <w:t>丹口镇：</w:t>
            </w:r>
            <w:r>
              <w:rPr>
                <w:color w:val="000000"/>
                <w:szCs w:val="21"/>
              </w:rPr>
              <w:t>民族特色文化开发、旅游业、农业种植业、茶业等</w:t>
            </w:r>
          </w:p>
          <w:p>
            <w:pPr>
              <w:widowControl/>
              <w:jc w:val="left"/>
              <w:rPr>
                <w:color w:val="000000"/>
                <w:kern w:val="0"/>
                <w:szCs w:val="21"/>
              </w:rPr>
            </w:pPr>
            <w:r>
              <w:rPr>
                <w:b/>
                <w:bCs/>
                <w:color w:val="000000"/>
                <w:sz w:val="22"/>
              </w:rPr>
              <w:t>长安营镇：</w:t>
            </w:r>
            <w:r>
              <w:rPr>
                <w:color w:val="000000"/>
                <w:szCs w:val="21"/>
              </w:rPr>
              <w:t>畜禽养殖业、农业种植业、民族特色文化开发、旅游业、边贸市场等</w:t>
            </w:r>
          </w:p>
        </w:tc>
        <w:tc>
          <w:tcPr>
            <w:tcW w:w="2131" w:type="dxa"/>
            <w:vAlign w:val="center"/>
          </w:tcPr>
          <w:p>
            <w:pPr>
              <w:widowControl/>
              <w:jc w:val="left"/>
              <w:rPr>
                <w:b/>
                <w:bCs/>
                <w:color w:val="000000"/>
                <w:kern w:val="0"/>
                <w:szCs w:val="21"/>
              </w:rPr>
            </w:pPr>
            <w:r>
              <w:rPr>
                <w:b/>
                <w:bCs/>
                <w:color w:val="000000"/>
                <w:kern w:val="0"/>
                <w:szCs w:val="21"/>
              </w:rPr>
              <w:t>主要环境问题：</w:t>
            </w:r>
          </w:p>
          <w:p>
            <w:pPr>
              <w:widowControl/>
              <w:numPr>
                <w:ilvl w:val="0"/>
                <w:numId w:val="45"/>
              </w:numPr>
              <w:jc w:val="left"/>
              <w:rPr>
                <w:color w:val="000000"/>
                <w:kern w:val="0"/>
                <w:szCs w:val="21"/>
              </w:rPr>
            </w:pPr>
            <w:r>
              <w:rPr>
                <w:color w:val="000000"/>
                <w:kern w:val="0"/>
                <w:szCs w:val="21"/>
              </w:rPr>
              <w:t>城镇污水管网等基础设施不完善；</w:t>
            </w:r>
          </w:p>
          <w:p>
            <w:pPr>
              <w:widowControl/>
              <w:numPr>
                <w:ilvl w:val="0"/>
                <w:numId w:val="45"/>
              </w:numPr>
              <w:jc w:val="left"/>
              <w:rPr>
                <w:color w:val="000000"/>
                <w:kern w:val="0"/>
                <w:szCs w:val="21"/>
              </w:rPr>
            </w:pPr>
            <w:r>
              <w:rPr>
                <w:color w:val="000000"/>
                <w:kern w:val="0"/>
                <w:szCs w:val="21"/>
              </w:rPr>
              <w:t>部分企业废气、废水污染防治设施不完善。</w:t>
            </w:r>
          </w:p>
          <w:p>
            <w:pPr>
              <w:widowControl/>
              <w:jc w:val="left"/>
              <w:rPr>
                <w:b/>
                <w:bCs/>
                <w:color w:val="000000"/>
                <w:kern w:val="0"/>
                <w:szCs w:val="21"/>
              </w:rPr>
            </w:pPr>
            <w:r>
              <w:rPr>
                <w:b/>
                <w:bCs/>
                <w:color w:val="000000"/>
                <w:kern w:val="0"/>
                <w:szCs w:val="21"/>
              </w:rPr>
              <w:t>重要敏感目标：</w:t>
            </w:r>
          </w:p>
          <w:p>
            <w:pPr>
              <w:widowControl/>
              <w:jc w:val="left"/>
              <w:rPr>
                <w:color w:val="000000"/>
                <w:kern w:val="0"/>
                <w:szCs w:val="21"/>
              </w:rPr>
            </w:pPr>
            <w:r>
              <w:rPr>
                <w:color w:val="000000"/>
                <w:kern w:val="0"/>
                <w:szCs w:val="21"/>
              </w:rPr>
              <w:t>湖南黄桑国家级自然保护区。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kern w:val="0"/>
                <w:szCs w:val="21"/>
              </w:rPr>
            </w:pPr>
            <w:r>
              <w:rPr>
                <w:b/>
                <w:color w:val="000000"/>
                <w:kern w:val="0"/>
                <w:szCs w:val="21"/>
              </w:rPr>
              <w:t>主要属性</w:t>
            </w:r>
          </w:p>
        </w:tc>
        <w:tc>
          <w:tcPr>
            <w:tcW w:w="12823" w:type="dxa"/>
            <w:gridSpan w:val="11"/>
            <w:vAlign w:val="center"/>
          </w:tcPr>
          <w:p>
            <w:pPr>
              <w:rPr>
                <w:b/>
                <w:bCs/>
                <w:color w:val="000000"/>
                <w:sz w:val="22"/>
              </w:rPr>
            </w:pPr>
            <w:r>
              <w:rPr>
                <w:b/>
                <w:bCs/>
                <w:color w:val="000000"/>
                <w:sz w:val="22"/>
              </w:rPr>
              <w:t>丹口镇：</w:t>
            </w:r>
          </w:p>
          <w:p>
            <w:pPr>
              <w:numPr>
                <w:ilvl w:val="0"/>
                <w:numId w:val="46"/>
              </w:numPr>
              <w:rPr>
                <w:color w:val="000000"/>
                <w:szCs w:val="21"/>
              </w:rPr>
            </w:pPr>
            <w:r>
              <w:rPr>
                <w:color w:val="000000"/>
                <w:szCs w:val="21"/>
              </w:rPr>
              <w:t>红线/一般生态空间/水源涵养重要区\三区三线生态红线\南山国家公园\生物多样性保护功能重要区\水土保持功能重要区\原生态红线\自然保护区\水土流失敏感区；</w:t>
            </w:r>
          </w:p>
          <w:p>
            <w:pPr>
              <w:numPr>
                <w:ilvl w:val="0"/>
                <w:numId w:val="46"/>
              </w:numPr>
              <w:rPr>
                <w:color w:val="000000"/>
                <w:szCs w:val="21"/>
              </w:rPr>
            </w:pPr>
            <w:r>
              <w:rPr>
                <w:color w:val="000000"/>
                <w:szCs w:val="21"/>
              </w:rPr>
              <w:t>水环境一般管控区；</w:t>
            </w:r>
          </w:p>
          <w:p>
            <w:pPr>
              <w:numPr>
                <w:ilvl w:val="0"/>
                <w:numId w:val="46"/>
              </w:numPr>
              <w:rPr>
                <w:color w:val="000000"/>
                <w:szCs w:val="21"/>
              </w:rPr>
            </w:pPr>
            <w:r>
              <w:rPr>
                <w:color w:val="000000"/>
                <w:szCs w:val="21"/>
              </w:rPr>
              <w:t>大气环境优先保护区/大气环境受体敏感重点管控区；湖南黄桑国家级自然保护区/南山国家公园；</w:t>
            </w:r>
          </w:p>
          <w:p>
            <w:pPr>
              <w:numPr>
                <w:ilvl w:val="0"/>
                <w:numId w:val="46"/>
              </w:numPr>
              <w:rPr>
                <w:color w:val="000000"/>
                <w:szCs w:val="21"/>
              </w:rPr>
            </w:pPr>
            <w:r>
              <w:rPr>
                <w:color w:val="000000"/>
                <w:szCs w:val="21"/>
              </w:rPr>
              <w:t>农用地优先保护区/一般管控区；</w:t>
            </w:r>
          </w:p>
          <w:p>
            <w:pPr>
              <w:numPr>
                <w:ilvl w:val="0"/>
                <w:numId w:val="46"/>
              </w:numPr>
              <w:rPr>
                <w:color w:val="000000"/>
                <w:szCs w:val="21"/>
              </w:rPr>
            </w:pPr>
            <w:r>
              <w:rPr>
                <w:color w:val="000000"/>
                <w:szCs w:val="21"/>
              </w:rPr>
              <w:t>重点生态功能区/历史文化资源富集区</w:t>
            </w:r>
          </w:p>
          <w:p>
            <w:pPr>
              <w:rPr>
                <w:b/>
                <w:bCs/>
                <w:color w:val="000000"/>
                <w:sz w:val="22"/>
              </w:rPr>
            </w:pPr>
            <w:r>
              <w:rPr>
                <w:b/>
                <w:bCs/>
                <w:color w:val="000000"/>
                <w:sz w:val="22"/>
              </w:rPr>
              <w:t>长安营镇：</w:t>
            </w:r>
          </w:p>
          <w:p>
            <w:pPr>
              <w:numPr>
                <w:ilvl w:val="0"/>
                <w:numId w:val="46"/>
              </w:numPr>
              <w:rPr>
                <w:color w:val="000000"/>
                <w:szCs w:val="21"/>
              </w:rPr>
            </w:pPr>
            <w:r>
              <w:rPr>
                <w:color w:val="000000"/>
                <w:szCs w:val="21"/>
              </w:rPr>
              <w:t>红线/一般生态空间/南山国家公园\三区三线生态红线\水源涵养重要区\自然保护区\生物多样性保护功能重要区\水土保持功能重要区\原生态红线\水土流失敏感区；</w:t>
            </w:r>
          </w:p>
          <w:p>
            <w:pPr>
              <w:numPr>
                <w:ilvl w:val="0"/>
                <w:numId w:val="46"/>
              </w:numPr>
              <w:rPr>
                <w:color w:val="000000"/>
                <w:szCs w:val="21"/>
              </w:rPr>
            </w:pPr>
            <w:r>
              <w:rPr>
                <w:color w:val="000000"/>
                <w:szCs w:val="21"/>
              </w:rPr>
              <w:t>水环境一般管控区；</w:t>
            </w:r>
          </w:p>
          <w:p>
            <w:pPr>
              <w:numPr>
                <w:ilvl w:val="0"/>
                <w:numId w:val="46"/>
              </w:numPr>
              <w:rPr>
                <w:color w:val="000000"/>
                <w:szCs w:val="21"/>
              </w:rPr>
            </w:pPr>
            <w:r>
              <w:rPr>
                <w:color w:val="000000"/>
                <w:szCs w:val="21"/>
              </w:rPr>
              <w:t>大气环境优先保护区/大气环境受体敏感重点管控区；湖南黄桑国家级自然保护区；</w:t>
            </w:r>
          </w:p>
          <w:p>
            <w:pPr>
              <w:numPr>
                <w:ilvl w:val="0"/>
                <w:numId w:val="46"/>
              </w:numPr>
              <w:rPr>
                <w:color w:val="000000"/>
                <w:szCs w:val="21"/>
              </w:rPr>
            </w:pPr>
            <w:r>
              <w:rPr>
                <w:color w:val="000000"/>
                <w:szCs w:val="21"/>
              </w:rPr>
              <w:t>农用地优先保护区/其他重点管控区/一般管控区/矿区；</w:t>
            </w:r>
          </w:p>
          <w:p>
            <w:pPr>
              <w:numPr>
                <w:ilvl w:val="0"/>
                <w:numId w:val="46"/>
              </w:numPr>
              <w:rPr>
                <w:color w:val="000000"/>
                <w:szCs w:val="21"/>
              </w:rPr>
            </w:pPr>
            <w:r>
              <w:rPr>
                <w:color w:val="000000"/>
                <w:szCs w:val="21"/>
              </w:rPr>
              <w:t>重点生态功能区/历史文化资源富集区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szCs w:val="21"/>
              </w:rPr>
            </w:pPr>
            <w:r>
              <w:rPr>
                <w:b/>
                <w:color w:val="000000"/>
                <w:szCs w:val="21"/>
              </w:rPr>
              <w:t>管控维度</w:t>
            </w:r>
          </w:p>
        </w:tc>
        <w:tc>
          <w:tcPr>
            <w:tcW w:w="9146" w:type="dxa"/>
            <w:gridSpan w:val="9"/>
            <w:vAlign w:val="center"/>
          </w:tcPr>
          <w:p>
            <w:pPr>
              <w:jc w:val="center"/>
              <w:rPr>
                <w:b/>
                <w:color w:val="000000"/>
                <w:szCs w:val="21"/>
              </w:rPr>
            </w:pPr>
            <w:r>
              <w:rPr>
                <w:b/>
                <w:color w:val="000000"/>
                <w:kern w:val="0"/>
                <w:szCs w:val="21"/>
              </w:rPr>
              <w:t>管控要求</w:t>
            </w:r>
          </w:p>
        </w:tc>
        <w:tc>
          <w:tcPr>
            <w:tcW w:w="3677"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空间布局约束</w:t>
            </w:r>
          </w:p>
        </w:tc>
        <w:tc>
          <w:tcPr>
            <w:tcW w:w="9146" w:type="dxa"/>
            <w:gridSpan w:val="9"/>
            <w:vAlign w:val="center"/>
          </w:tcPr>
          <w:p>
            <w:pPr>
              <w:widowControl/>
              <w:tabs>
                <w:tab w:val="left" w:pos="1021"/>
              </w:tabs>
              <w:jc w:val="left"/>
              <w:rPr>
                <w:color w:val="000000"/>
                <w:szCs w:val="21"/>
              </w:rPr>
            </w:pPr>
            <w:r>
              <w:rPr>
                <w:color w:val="000000"/>
                <w:szCs w:val="21"/>
              </w:rPr>
              <w:t>（1.1）优化县域产业布局，调整产业结构，提高环境准入门槛，严控两高项目，推行重点排气企业的清洁生产，实施排污权总量消减替代，完成减排目标。</w:t>
            </w:r>
          </w:p>
          <w:p>
            <w:pPr>
              <w:widowControl/>
              <w:tabs>
                <w:tab w:val="left" w:pos="1021"/>
              </w:tabs>
              <w:jc w:val="left"/>
              <w:rPr>
                <w:color w:val="000000"/>
                <w:szCs w:val="21"/>
              </w:rPr>
            </w:pPr>
            <w:r>
              <w:rPr>
                <w:color w:val="000000"/>
                <w:szCs w:val="21"/>
              </w:rPr>
              <w:t>（1.2）在生态红线区域内，禁止城镇化、工业化活动和矿产资源开发，确保生态功能不降低。</w:t>
            </w:r>
          </w:p>
          <w:p>
            <w:pPr>
              <w:widowControl/>
              <w:tabs>
                <w:tab w:val="left" w:pos="1021"/>
              </w:tabs>
              <w:jc w:val="left"/>
              <w:rPr>
                <w:color w:val="000000"/>
                <w:szCs w:val="21"/>
              </w:rPr>
            </w:pPr>
            <w:r>
              <w:rPr>
                <w:color w:val="000000"/>
                <w:szCs w:val="21"/>
              </w:rPr>
              <w:t>（1.3）湿地公园、饮用水源地等各类保护区划定为普通建筑材料用砂石土矿禁止开采区。</w:t>
            </w:r>
          </w:p>
          <w:p>
            <w:pPr>
              <w:widowControl/>
              <w:tabs>
                <w:tab w:val="left" w:pos="1021"/>
              </w:tabs>
              <w:jc w:val="left"/>
              <w:rPr>
                <w:color w:val="000000"/>
                <w:szCs w:val="21"/>
              </w:rPr>
            </w:pPr>
            <w:r>
              <w:rPr>
                <w:color w:val="000000"/>
                <w:szCs w:val="21"/>
              </w:rPr>
              <w:t>（1.4）严防矿产资源开发污染土壤，加强涉重金属行业污染防控，规范工业废物处理处置活动，新建建筑垃圾、渣土消纳场。</w:t>
            </w:r>
          </w:p>
          <w:p>
            <w:pPr>
              <w:widowControl/>
              <w:tabs>
                <w:tab w:val="left" w:pos="1021"/>
              </w:tabs>
              <w:jc w:val="left"/>
              <w:rPr>
                <w:color w:val="000000"/>
                <w:szCs w:val="21"/>
              </w:rPr>
            </w:pPr>
            <w:r>
              <w:rPr>
                <w:color w:val="000000"/>
                <w:szCs w:val="21"/>
              </w:rPr>
              <w:t>（1.5）在科学规划利用土地的基础上，合理地布设梯田、坝库、林草以及其他防护工程等治理措施，有效地控制水土流失。推动工程、林草、治坡、治沟等各项措施紧密结合、协调发展。</w:t>
            </w:r>
          </w:p>
          <w:p>
            <w:pPr>
              <w:widowControl/>
              <w:tabs>
                <w:tab w:val="left" w:pos="1021"/>
              </w:tabs>
              <w:jc w:val="left"/>
              <w:rPr>
                <w:b/>
                <w:bCs/>
                <w:color w:val="000000"/>
                <w:szCs w:val="21"/>
              </w:rPr>
            </w:pPr>
            <w:r>
              <w:rPr>
                <w:b/>
                <w:bCs/>
                <w:color w:val="000000"/>
                <w:szCs w:val="21"/>
              </w:rPr>
              <w:t>丹江镇：</w:t>
            </w:r>
          </w:p>
          <w:p>
            <w:pPr>
              <w:widowControl/>
              <w:tabs>
                <w:tab w:val="left" w:pos="1021"/>
              </w:tabs>
              <w:jc w:val="left"/>
              <w:rPr>
                <w:color w:val="000000"/>
                <w:szCs w:val="21"/>
              </w:rPr>
            </w:pPr>
            <w:r>
              <w:rPr>
                <w:color w:val="000000"/>
                <w:szCs w:val="21"/>
              </w:rPr>
              <w:t>（1.6）南山国家公园保护区：在核心保护区严格落实禁牧措施，在一般控制区严格实行以草定畜；推进南山国家公园生态修复、草山修复及基础设施建设，扩大南山国家公园范围。</w:t>
            </w:r>
          </w:p>
        </w:tc>
        <w:tc>
          <w:tcPr>
            <w:tcW w:w="3677" w:type="dxa"/>
            <w:gridSpan w:val="2"/>
            <w:vMerge w:val="restart"/>
          </w:tcPr>
          <w:p>
            <w:pPr>
              <w:widowControl/>
              <w:tabs>
                <w:tab w:val="left" w:pos="1021"/>
              </w:tabs>
              <w:jc w:val="left"/>
              <w:rPr>
                <w:color w:val="000000"/>
                <w:szCs w:val="21"/>
              </w:rPr>
            </w:pPr>
            <w:r>
              <w:rPr>
                <w:color w:val="000000"/>
                <w:szCs w:val="21"/>
              </w:rPr>
              <w:t>（1.1）（1.2）（1.4）（1.5）（1.6）（2.1.1）（2.1.2）（2.1.3）（2.3.2）（2.3.3）（4.1）（4.2.2）（4.3.2）《城步苗族自治县国民经济和社会发展第十四个五年规划和二O三五年远景目标纲要》</w:t>
            </w:r>
          </w:p>
          <w:p>
            <w:pPr>
              <w:widowControl/>
              <w:numPr>
                <w:ilvl w:val="1"/>
                <w:numId w:val="0"/>
              </w:numPr>
              <w:jc w:val="left"/>
              <w:rPr>
                <w:color w:val="000000"/>
                <w:szCs w:val="21"/>
              </w:rPr>
            </w:pPr>
            <w:r>
              <w:rPr>
                <w:color w:val="000000"/>
                <w:szCs w:val="21"/>
              </w:rPr>
              <w:t>（1.3）（4.3.1）《城步苗族自治县国土空间总体规划（2021</w:t>
            </w:r>
            <w:r>
              <w:rPr>
                <w:rFonts w:hint="eastAsia"/>
                <w:color w:val="000000"/>
                <w:szCs w:val="21"/>
              </w:rPr>
              <w:t>—</w:t>
            </w:r>
            <w:r>
              <w:rPr>
                <w:color w:val="000000"/>
                <w:szCs w:val="21"/>
              </w:rPr>
              <w:t>2035年）》</w:t>
            </w:r>
          </w:p>
          <w:p>
            <w:pPr>
              <w:widowControl/>
              <w:jc w:val="left"/>
              <w:rPr>
                <w:color w:val="000000"/>
                <w:szCs w:val="21"/>
              </w:rPr>
            </w:pPr>
            <w:r>
              <w:rPr>
                <w:color w:val="000000"/>
                <w:szCs w:val="21"/>
              </w:rPr>
              <w:t>（2.2）（2.3.1）（3.1）（3.2）（3.3）《2023年城步苗族自治县深入打好污染防治攻坚战工作方案》</w:t>
            </w:r>
          </w:p>
          <w:p>
            <w:pPr>
              <w:widowControl/>
              <w:tabs>
                <w:tab w:val="left" w:pos="1021"/>
              </w:tabs>
              <w:rPr>
                <w:color w:val="000000"/>
                <w:szCs w:val="21"/>
              </w:rPr>
            </w:pPr>
            <w:r>
              <w:rPr>
                <w:color w:val="000000"/>
                <w:szCs w:val="21"/>
              </w:rPr>
              <w:t>（4.2.1）《邵阳市“十四五”用水总量和强度双控目标》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污染物排放管控</w:t>
            </w:r>
          </w:p>
        </w:tc>
        <w:tc>
          <w:tcPr>
            <w:tcW w:w="9146" w:type="dxa"/>
            <w:gridSpan w:val="9"/>
            <w:vAlign w:val="center"/>
          </w:tcPr>
          <w:p>
            <w:pPr>
              <w:widowControl/>
              <w:tabs>
                <w:tab w:val="left" w:pos="1021"/>
              </w:tabs>
              <w:jc w:val="left"/>
              <w:rPr>
                <w:color w:val="000000"/>
                <w:szCs w:val="21"/>
              </w:rPr>
            </w:pPr>
            <w:r>
              <w:rPr>
                <w:color w:val="000000"/>
                <w:szCs w:val="21"/>
              </w:rPr>
              <w:t>（2.1）废水：</w:t>
            </w:r>
          </w:p>
          <w:p>
            <w:pPr>
              <w:widowControl/>
              <w:tabs>
                <w:tab w:val="left" w:pos="1021"/>
              </w:tabs>
              <w:jc w:val="left"/>
              <w:rPr>
                <w:color w:val="000000"/>
                <w:szCs w:val="21"/>
              </w:rPr>
            </w:pPr>
            <w:r>
              <w:rPr>
                <w:color w:val="000000"/>
                <w:szCs w:val="21"/>
              </w:rPr>
              <w:t>（2.1.1）完善县城和重点乡镇污水管网等基础设施，完成乡镇污水处理厂。</w:t>
            </w:r>
          </w:p>
          <w:p>
            <w:pPr>
              <w:widowControl/>
              <w:tabs>
                <w:tab w:val="left" w:pos="1021"/>
              </w:tabs>
              <w:jc w:val="left"/>
              <w:rPr>
                <w:color w:val="000000"/>
                <w:szCs w:val="21"/>
              </w:rPr>
            </w:pPr>
            <w:r>
              <w:rPr>
                <w:color w:val="000000"/>
                <w:szCs w:val="21"/>
              </w:rPr>
              <w:t>（2.1.2）强化涉水工业企业监管，降低水耗，减少废水排放量，确保企业水污染防治设施规范运行。</w:t>
            </w:r>
          </w:p>
          <w:p>
            <w:pPr>
              <w:widowControl/>
              <w:tabs>
                <w:tab w:val="left" w:pos="1021"/>
              </w:tabs>
              <w:jc w:val="left"/>
              <w:rPr>
                <w:color w:val="000000"/>
                <w:szCs w:val="21"/>
              </w:rPr>
            </w:pPr>
            <w:r>
              <w:rPr>
                <w:color w:val="000000"/>
                <w:szCs w:val="21"/>
              </w:rPr>
              <w:t>（2.1.3）加快补齐农村环境短板，推进生活污水治理，探索推行城镇污水管网向周边村庄延伸覆盖，消除黑臭水体，加强农村水源地保护。</w:t>
            </w:r>
          </w:p>
          <w:p>
            <w:pPr>
              <w:widowControl/>
              <w:tabs>
                <w:tab w:val="left" w:pos="1021"/>
              </w:tabs>
              <w:jc w:val="left"/>
              <w:rPr>
                <w:color w:val="000000"/>
                <w:szCs w:val="21"/>
              </w:rPr>
            </w:pPr>
            <w:r>
              <w:rPr>
                <w:color w:val="000000"/>
                <w:szCs w:val="21"/>
              </w:rPr>
              <w:t>（2.2）废气：落实《湖南省大气污染防治攻坚行动工作方案》，坚持源头防控、系统治理，在水泥、砖瓦、工业涂装等重点行业，柴油货车、露天焚烧秸秆、餐饮油烟、城市扬尘等重点领域，开展“守护蓝天”行动，</w:t>
            </w:r>
            <w:r>
              <w:rPr>
                <w:color w:val="000000"/>
                <w:szCs w:val="21"/>
                <w:lang w:val="zh-CN"/>
              </w:rPr>
              <w:t>严格落实各项攻坚措施</w:t>
            </w:r>
            <w:r>
              <w:rPr>
                <w:color w:val="000000"/>
                <w:szCs w:val="21"/>
              </w:rPr>
              <w:t>。</w:t>
            </w:r>
          </w:p>
          <w:p>
            <w:pPr>
              <w:widowControl/>
              <w:tabs>
                <w:tab w:val="left" w:pos="1021"/>
              </w:tabs>
              <w:jc w:val="left"/>
              <w:rPr>
                <w:color w:val="000000"/>
                <w:szCs w:val="21"/>
              </w:rPr>
            </w:pPr>
            <w:r>
              <w:rPr>
                <w:color w:val="000000"/>
                <w:szCs w:val="21"/>
              </w:rPr>
              <w:t>（2.3）固体废物：</w:t>
            </w:r>
          </w:p>
          <w:p>
            <w:pPr>
              <w:widowControl/>
              <w:tabs>
                <w:tab w:val="left" w:pos="1021"/>
              </w:tabs>
              <w:jc w:val="left"/>
              <w:rPr>
                <w:color w:val="000000"/>
                <w:szCs w:val="21"/>
              </w:rPr>
            </w:pPr>
            <w:r>
              <w:rPr>
                <w:color w:val="000000"/>
                <w:szCs w:val="21"/>
              </w:rPr>
              <w:t>（2.3.1）全面排查整治涉镉等重金属矿区历史遗留固体废物。</w:t>
            </w:r>
          </w:p>
          <w:p>
            <w:pPr>
              <w:widowControl/>
              <w:tabs>
                <w:tab w:val="left" w:pos="1021"/>
              </w:tabs>
              <w:jc w:val="left"/>
              <w:rPr>
                <w:color w:val="000000"/>
                <w:szCs w:val="21"/>
              </w:rPr>
            </w:pPr>
            <w:r>
              <w:rPr>
                <w:color w:val="000000"/>
                <w:szCs w:val="21"/>
              </w:rPr>
              <w:t>（2.3.2）推进生活垃圾治理，建立生活垃圾收运处理体系，探索推行垃圾就地分类和资源化利用，开展非正规垃圾堆放点排查整治</w:t>
            </w:r>
          </w:p>
          <w:p>
            <w:pPr>
              <w:widowControl/>
              <w:tabs>
                <w:tab w:val="left" w:pos="1021"/>
              </w:tabs>
              <w:jc w:val="left"/>
              <w:rPr>
                <w:strike/>
                <w:color w:val="000000"/>
                <w:szCs w:val="21"/>
              </w:rPr>
            </w:pPr>
            <w:r>
              <w:rPr>
                <w:color w:val="000000"/>
                <w:szCs w:val="21"/>
              </w:rPr>
              <w:t>（2.3.3）推进“厕所革命”和畜禽养殖粪污资源化利用，探索厕所、畜禽粪污无害化处理和资源利用。</w:t>
            </w:r>
          </w:p>
        </w:tc>
        <w:tc>
          <w:tcPr>
            <w:tcW w:w="367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环境风险防控</w:t>
            </w:r>
          </w:p>
        </w:tc>
        <w:tc>
          <w:tcPr>
            <w:tcW w:w="9146" w:type="dxa"/>
            <w:gridSpan w:val="9"/>
            <w:vAlign w:val="center"/>
          </w:tcPr>
          <w:p>
            <w:pPr>
              <w:tabs>
                <w:tab w:val="left" w:pos="1021"/>
              </w:tabs>
              <w:rPr>
                <w:color w:val="000000"/>
                <w:szCs w:val="21"/>
              </w:rPr>
            </w:pPr>
            <w:r>
              <w:rPr>
                <w:color w:val="000000"/>
                <w:szCs w:val="21"/>
              </w:rPr>
              <w:t>（3.1）持续开展危险废物规范化环境管理评估。</w:t>
            </w:r>
          </w:p>
          <w:p>
            <w:pPr>
              <w:tabs>
                <w:tab w:val="left" w:pos="1021"/>
              </w:tabs>
              <w:rPr>
                <w:color w:val="000000"/>
                <w:szCs w:val="21"/>
              </w:rPr>
            </w:pPr>
            <w:r>
              <w:rPr>
                <w:color w:val="000000"/>
                <w:szCs w:val="21"/>
              </w:rPr>
              <w:t>（3.2）扎实开展尾矿库污染治理“回头看”和历史遗留渣堆污染问题整治，逐步完善尾矿库预警监测体系。</w:t>
            </w:r>
          </w:p>
          <w:p>
            <w:pPr>
              <w:tabs>
                <w:tab w:val="left" w:pos="1021"/>
              </w:tabs>
              <w:rPr>
                <w:color w:val="000000"/>
                <w:szCs w:val="21"/>
              </w:rPr>
            </w:pPr>
            <w:r>
              <w:rPr>
                <w:color w:val="000000"/>
                <w:szCs w:val="21"/>
              </w:rPr>
              <w:t>（3.3）有效管控建设用地土壤污染风险，持续开展重点行业企业用地调查和典型行业周边土壤环境调查，进一步摸清污染地块底数和污染成因。严格土壤污染重点监管单位搬迁腾退用地土壤污染风险管控。</w:t>
            </w:r>
          </w:p>
        </w:tc>
        <w:tc>
          <w:tcPr>
            <w:tcW w:w="367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资源开发效率要求</w:t>
            </w:r>
          </w:p>
        </w:tc>
        <w:tc>
          <w:tcPr>
            <w:tcW w:w="9146" w:type="dxa"/>
            <w:gridSpan w:val="9"/>
            <w:vAlign w:val="center"/>
          </w:tcPr>
          <w:p>
            <w:pPr>
              <w:pStyle w:val="8"/>
              <w:widowControl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（4.1）能源：大力发展节能环保、清洁生产、清洁能源产业，全面推进清洁生产改造或清洁化改造。</w:t>
            </w:r>
          </w:p>
          <w:p>
            <w:pPr>
              <w:widowControl/>
              <w:tabs>
                <w:tab w:val="left" w:pos="1021"/>
              </w:tabs>
              <w:jc w:val="left"/>
              <w:rPr>
                <w:color w:val="000000"/>
                <w:szCs w:val="21"/>
              </w:rPr>
            </w:pPr>
            <w:r>
              <w:rPr>
                <w:color w:val="000000"/>
                <w:szCs w:val="21"/>
              </w:rPr>
              <w:t>（4.2）水资源：</w:t>
            </w:r>
          </w:p>
          <w:p>
            <w:pPr>
              <w:widowControl/>
              <w:tabs>
                <w:tab w:val="left" w:pos="1021"/>
              </w:tabs>
              <w:ind w:firstLine="420" w:firstLineChars="200"/>
              <w:jc w:val="left"/>
              <w:rPr>
                <w:color w:val="000000"/>
                <w:szCs w:val="21"/>
              </w:rPr>
            </w:pPr>
            <w:r>
              <w:rPr>
                <w:color w:val="000000"/>
                <w:szCs w:val="21"/>
              </w:rPr>
              <w:t>（4.2.1）到2025年城步苗族自治县用水总量为1.065亿m³；万元地区生产总值用水量比2020年下降20.98%；万元工业增加值用水量比2020年下降12.54%；农田灌溉用水有效利用系数为0.53。</w:t>
            </w:r>
          </w:p>
          <w:p>
            <w:pPr>
              <w:widowControl/>
              <w:tabs>
                <w:tab w:val="left" w:pos="1021"/>
              </w:tabs>
              <w:ind w:firstLine="420" w:firstLineChars="200"/>
              <w:jc w:val="left"/>
              <w:rPr>
                <w:color w:val="000000"/>
                <w:szCs w:val="21"/>
              </w:rPr>
            </w:pPr>
            <w:r>
              <w:rPr>
                <w:color w:val="000000"/>
                <w:szCs w:val="21"/>
              </w:rPr>
              <w:t>（4.2.2）推进城镇污水处理厂出水深度净化和资源化利用。</w:t>
            </w:r>
          </w:p>
          <w:p>
            <w:pPr>
              <w:tabs>
                <w:tab w:val="left" w:pos="1021"/>
              </w:tabs>
              <w:rPr>
                <w:strike/>
                <w:color w:val="000000"/>
                <w:szCs w:val="21"/>
              </w:rPr>
            </w:pPr>
            <w:r>
              <w:rPr>
                <w:color w:val="000000"/>
                <w:szCs w:val="21"/>
              </w:rPr>
              <w:t>（4.3）土地资源：至2035年，划定生态保护红线面积105711.07公顷，落实林地保有量217805.00公顷，湿地面积164.08公顷。确保耕地保有量不低于17201.70公顷，永久基本农田保护面积13931.69公顷，控制建设用地总面积不高于7127.68公顷，城乡建设用地不高于6095.99公顷（4.3.2）在科学规划利用土地的基础上，合理地布设以及其他防护工程等治理措施，有效地控制水土流失。推动工程、林草、治坡、治沟等各项措施紧密结合、协调发展。</w:t>
            </w:r>
          </w:p>
        </w:tc>
        <w:tc>
          <w:tcPr>
            <w:tcW w:w="3677" w:type="dxa"/>
            <w:gridSpan w:val="2"/>
            <w:vMerge w:val="continue"/>
            <w:vAlign w:val="center"/>
          </w:tcPr>
          <w:p/>
        </w:tc>
      </w:tr>
    </w:tbl>
    <w:p>
      <w:pPr>
        <w:rPr>
          <w:b/>
          <w:color w:val="000000"/>
          <w:sz w:val="28"/>
          <w:szCs w:val="32"/>
        </w:rPr>
      </w:pPr>
      <w:r>
        <w:rPr>
          <w:b/>
          <w:color w:val="000000"/>
          <w:sz w:val="28"/>
          <w:szCs w:val="32"/>
        </w:rPr>
        <w:br w:type="page"/>
      </w:r>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287"/>
        <w:gridCol w:w="598"/>
        <w:gridCol w:w="597"/>
        <w:gridCol w:w="877"/>
        <w:gridCol w:w="807"/>
        <w:gridCol w:w="1036"/>
        <w:gridCol w:w="1080"/>
        <w:gridCol w:w="1667"/>
        <w:gridCol w:w="2029"/>
        <w:gridCol w:w="322"/>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widowControl/>
              <w:jc w:val="center"/>
              <w:rPr>
                <w:b/>
                <w:color w:val="000000"/>
                <w:kern w:val="0"/>
                <w:szCs w:val="21"/>
              </w:rPr>
            </w:pPr>
            <w:r>
              <w:rPr>
                <w:b/>
                <w:color w:val="000000"/>
                <w:kern w:val="0"/>
                <w:szCs w:val="21"/>
              </w:rPr>
              <w:t>环境管控单元编码</w:t>
            </w:r>
          </w:p>
        </w:tc>
        <w:tc>
          <w:tcPr>
            <w:tcW w:w="1287" w:type="dxa"/>
            <w:vMerge w:val="restart"/>
            <w:vAlign w:val="center"/>
          </w:tcPr>
          <w:p>
            <w:pPr>
              <w:widowControl/>
              <w:jc w:val="center"/>
              <w:rPr>
                <w:b/>
                <w:color w:val="000000"/>
                <w:kern w:val="0"/>
                <w:szCs w:val="21"/>
              </w:rPr>
            </w:pPr>
            <w:r>
              <w:rPr>
                <w:b/>
                <w:color w:val="000000"/>
                <w:kern w:val="0"/>
                <w:szCs w:val="21"/>
              </w:rPr>
              <w:t>单元名称</w:t>
            </w:r>
          </w:p>
        </w:tc>
        <w:tc>
          <w:tcPr>
            <w:tcW w:w="2072" w:type="dxa"/>
            <w:gridSpan w:val="3"/>
            <w:vAlign w:val="center"/>
          </w:tcPr>
          <w:p>
            <w:pPr>
              <w:widowControl/>
              <w:jc w:val="center"/>
              <w:rPr>
                <w:b/>
                <w:color w:val="000000"/>
                <w:kern w:val="0"/>
                <w:szCs w:val="21"/>
              </w:rPr>
            </w:pPr>
            <w:r>
              <w:rPr>
                <w:b/>
                <w:color w:val="000000"/>
                <w:kern w:val="0"/>
                <w:szCs w:val="21"/>
              </w:rPr>
              <w:t>行政区划</w:t>
            </w:r>
          </w:p>
        </w:tc>
        <w:tc>
          <w:tcPr>
            <w:tcW w:w="807" w:type="dxa"/>
            <w:vMerge w:val="restart"/>
            <w:vAlign w:val="center"/>
          </w:tcPr>
          <w:p>
            <w:pPr>
              <w:widowControl/>
              <w:jc w:val="center"/>
              <w:rPr>
                <w:b/>
                <w:color w:val="000000"/>
                <w:kern w:val="0"/>
                <w:szCs w:val="21"/>
              </w:rPr>
            </w:pPr>
            <w:r>
              <w:rPr>
                <w:b/>
                <w:color w:val="000000"/>
                <w:kern w:val="0"/>
                <w:szCs w:val="21"/>
              </w:rPr>
              <w:t>单元分类</w:t>
            </w:r>
          </w:p>
        </w:tc>
        <w:tc>
          <w:tcPr>
            <w:tcW w:w="1036"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080" w:type="dxa"/>
            <w:vMerge w:val="restart"/>
            <w:vAlign w:val="center"/>
          </w:tcPr>
          <w:p>
            <w:pPr>
              <w:jc w:val="center"/>
              <w:rPr>
                <w:b/>
                <w:color w:val="000000"/>
                <w:kern w:val="0"/>
                <w:szCs w:val="21"/>
              </w:rPr>
            </w:pPr>
            <w:r>
              <w:rPr>
                <w:b/>
                <w:color w:val="000000"/>
                <w:kern w:val="0"/>
                <w:szCs w:val="21"/>
              </w:rPr>
              <w:t>涉及乡镇（街道）</w:t>
            </w:r>
          </w:p>
        </w:tc>
        <w:tc>
          <w:tcPr>
            <w:tcW w:w="1667" w:type="dxa"/>
            <w:vMerge w:val="restart"/>
            <w:vAlign w:val="center"/>
          </w:tcPr>
          <w:p>
            <w:pPr>
              <w:jc w:val="center"/>
              <w:rPr>
                <w:b/>
                <w:color w:val="000000"/>
                <w:kern w:val="0"/>
                <w:szCs w:val="21"/>
              </w:rPr>
            </w:pPr>
            <w:r>
              <w:rPr>
                <w:b/>
                <w:color w:val="000000"/>
                <w:kern w:val="0"/>
                <w:szCs w:val="21"/>
              </w:rPr>
              <w:t>主体功能定位</w:t>
            </w:r>
          </w:p>
        </w:tc>
        <w:tc>
          <w:tcPr>
            <w:tcW w:w="2351" w:type="dxa"/>
            <w:gridSpan w:val="2"/>
            <w:vMerge w:val="restart"/>
            <w:vAlign w:val="center"/>
          </w:tcPr>
          <w:p>
            <w:pPr>
              <w:jc w:val="center"/>
              <w:rPr>
                <w:b/>
                <w:color w:val="000000"/>
                <w:kern w:val="0"/>
                <w:szCs w:val="21"/>
              </w:rPr>
            </w:pPr>
            <w:r>
              <w:rPr>
                <w:b/>
                <w:color w:val="000000"/>
                <w:kern w:val="0"/>
                <w:szCs w:val="21"/>
              </w:rPr>
              <w:t>经济产业布局</w:t>
            </w:r>
          </w:p>
        </w:tc>
        <w:tc>
          <w:tcPr>
            <w:tcW w:w="2156" w:type="dxa"/>
            <w:vMerge w:val="restart"/>
            <w:vAlign w:val="center"/>
          </w:tcPr>
          <w:p>
            <w:pPr>
              <w:jc w:val="center"/>
              <w:rPr>
                <w:b/>
                <w:color w:val="000000"/>
                <w:kern w:val="0"/>
                <w:szCs w:val="21"/>
              </w:rPr>
            </w:pPr>
            <w:r>
              <w:rPr>
                <w:b/>
                <w:color w:val="000000"/>
                <w:kern w:val="0"/>
                <w:szCs w:val="21"/>
              </w:rPr>
              <w:t>主要环境问题</w:t>
            </w:r>
            <w:r>
              <w:rPr>
                <w:b/>
                <w:kern w:val="0"/>
                <w:szCs w:val="21"/>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8" w:type="dxa"/>
            <w:vMerge w:val="continue"/>
            <w:vAlign w:val="center"/>
          </w:tcPr>
          <w:p/>
        </w:tc>
        <w:tc>
          <w:tcPr>
            <w:tcW w:w="1287" w:type="dxa"/>
            <w:vMerge w:val="continue"/>
            <w:vAlign w:val="center"/>
          </w:tcPr>
          <w:p/>
        </w:tc>
        <w:tc>
          <w:tcPr>
            <w:tcW w:w="598" w:type="dxa"/>
            <w:vAlign w:val="center"/>
          </w:tcPr>
          <w:p>
            <w:pPr>
              <w:jc w:val="center"/>
              <w:rPr>
                <w:b/>
                <w:color w:val="000000"/>
                <w:szCs w:val="21"/>
              </w:rPr>
            </w:pPr>
            <w:r>
              <w:rPr>
                <w:b/>
                <w:color w:val="000000"/>
                <w:szCs w:val="21"/>
              </w:rPr>
              <w:t>省</w:t>
            </w:r>
          </w:p>
        </w:tc>
        <w:tc>
          <w:tcPr>
            <w:tcW w:w="597" w:type="dxa"/>
            <w:vAlign w:val="center"/>
          </w:tcPr>
          <w:p>
            <w:pPr>
              <w:jc w:val="center"/>
              <w:rPr>
                <w:b/>
                <w:color w:val="000000"/>
                <w:szCs w:val="21"/>
              </w:rPr>
            </w:pPr>
            <w:r>
              <w:rPr>
                <w:b/>
                <w:color w:val="000000"/>
                <w:szCs w:val="21"/>
              </w:rPr>
              <w:t>市</w:t>
            </w:r>
          </w:p>
        </w:tc>
        <w:tc>
          <w:tcPr>
            <w:tcW w:w="877" w:type="dxa"/>
            <w:vAlign w:val="center"/>
          </w:tcPr>
          <w:p>
            <w:pPr>
              <w:jc w:val="center"/>
              <w:rPr>
                <w:b/>
                <w:color w:val="000000"/>
                <w:szCs w:val="21"/>
              </w:rPr>
            </w:pPr>
            <w:r>
              <w:rPr>
                <w:b/>
                <w:color w:val="000000"/>
                <w:szCs w:val="21"/>
              </w:rPr>
              <w:t>县</w:t>
            </w:r>
          </w:p>
        </w:tc>
        <w:tc>
          <w:tcPr>
            <w:tcW w:w="807" w:type="dxa"/>
            <w:vMerge w:val="continue"/>
            <w:vAlign w:val="center"/>
          </w:tcPr>
          <w:p/>
        </w:tc>
        <w:tc>
          <w:tcPr>
            <w:tcW w:w="1036" w:type="dxa"/>
            <w:vMerge w:val="continue"/>
            <w:vAlign w:val="center"/>
          </w:tcPr>
          <w:p/>
        </w:tc>
        <w:tc>
          <w:tcPr>
            <w:tcW w:w="1080" w:type="dxa"/>
            <w:vMerge w:val="continue"/>
            <w:vAlign w:val="center"/>
          </w:tcPr>
          <w:p/>
        </w:tc>
        <w:tc>
          <w:tcPr>
            <w:tcW w:w="1667" w:type="dxa"/>
            <w:vMerge w:val="continue"/>
            <w:vAlign w:val="center"/>
          </w:tcPr>
          <w:p/>
        </w:tc>
        <w:tc>
          <w:tcPr>
            <w:tcW w:w="2351" w:type="dxa"/>
            <w:gridSpan w:val="2"/>
            <w:vMerge w:val="continue"/>
            <w:vAlign w:val="center"/>
          </w:tcPr>
          <w:p/>
        </w:tc>
        <w:tc>
          <w:tcPr>
            <w:tcW w:w="21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jc w:val="center"/>
              <w:rPr>
                <w:color w:val="000000"/>
                <w:szCs w:val="21"/>
              </w:rPr>
            </w:pPr>
            <w:r>
              <w:rPr>
                <w:color w:val="000000"/>
                <w:szCs w:val="21"/>
              </w:rPr>
              <w:t>ZH43052910003</w:t>
            </w:r>
          </w:p>
        </w:tc>
        <w:tc>
          <w:tcPr>
            <w:tcW w:w="1287" w:type="dxa"/>
            <w:vAlign w:val="center"/>
          </w:tcPr>
          <w:p>
            <w:pPr>
              <w:jc w:val="center"/>
              <w:rPr>
                <w:color w:val="000000"/>
                <w:szCs w:val="21"/>
              </w:rPr>
            </w:pPr>
            <w:r>
              <w:rPr>
                <w:color w:val="000000"/>
                <w:szCs w:val="21"/>
              </w:rPr>
              <w:t>金紫乡\威溪乡\西岩镇</w:t>
            </w:r>
          </w:p>
        </w:tc>
        <w:tc>
          <w:tcPr>
            <w:tcW w:w="598" w:type="dxa"/>
            <w:vAlign w:val="center"/>
          </w:tcPr>
          <w:p>
            <w:pPr>
              <w:jc w:val="center"/>
              <w:rPr>
                <w:color w:val="000000"/>
                <w:szCs w:val="21"/>
              </w:rPr>
            </w:pPr>
            <w:r>
              <w:rPr>
                <w:color w:val="000000"/>
                <w:szCs w:val="21"/>
              </w:rPr>
              <w:t>湖南省</w:t>
            </w:r>
          </w:p>
        </w:tc>
        <w:tc>
          <w:tcPr>
            <w:tcW w:w="597" w:type="dxa"/>
            <w:vAlign w:val="center"/>
          </w:tcPr>
          <w:p>
            <w:pPr>
              <w:jc w:val="center"/>
              <w:rPr>
                <w:color w:val="000000"/>
                <w:szCs w:val="21"/>
              </w:rPr>
            </w:pPr>
            <w:r>
              <w:rPr>
                <w:color w:val="000000"/>
                <w:szCs w:val="21"/>
              </w:rPr>
              <w:t>邵阳市</w:t>
            </w:r>
          </w:p>
        </w:tc>
        <w:tc>
          <w:tcPr>
            <w:tcW w:w="877" w:type="dxa"/>
            <w:vAlign w:val="center"/>
          </w:tcPr>
          <w:p>
            <w:pPr>
              <w:jc w:val="center"/>
              <w:rPr>
                <w:color w:val="000000"/>
                <w:szCs w:val="21"/>
              </w:rPr>
            </w:pPr>
            <w:r>
              <w:rPr>
                <w:color w:val="000000"/>
                <w:szCs w:val="21"/>
              </w:rPr>
              <w:t>城步苗族自治县</w:t>
            </w:r>
          </w:p>
        </w:tc>
        <w:tc>
          <w:tcPr>
            <w:tcW w:w="807" w:type="dxa"/>
            <w:vAlign w:val="center"/>
          </w:tcPr>
          <w:p>
            <w:pPr>
              <w:jc w:val="center"/>
              <w:rPr>
                <w:color w:val="000000"/>
                <w:szCs w:val="21"/>
              </w:rPr>
            </w:pPr>
            <w:r>
              <w:rPr>
                <w:color w:val="000000"/>
                <w:szCs w:val="21"/>
              </w:rPr>
              <w:t>优先保护单元</w:t>
            </w:r>
          </w:p>
        </w:tc>
        <w:tc>
          <w:tcPr>
            <w:tcW w:w="1036" w:type="dxa"/>
            <w:vAlign w:val="center"/>
          </w:tcPr>
          <w:p>
            <w:pPr>
              <w:jc w:val="center"/>
              <w:rPr>
                <w:color w:val="000000"/>
                <w:szCs w:val="21"/>
              </w:rPr>
            </w:pPr>
            <w:r>
              <w:rPr>
                <w:color w:val="000000"/>
                <w:szCs w:val="21"/>
              </w:rPr>
              <w:t>352.77</w:t>
            </w:r>
          </w:p>
        </w:tc>
        <w:tc>
          <w:tcPr>
            <w:tcW w:w="1080" w:type="dxa"/>
            <w:vAlign w:val="center"/>
          </w:tcPr>
          <w:p>
            <w:pPr>
              <w:jc w:val="center"/>
              <w:rPr>
                <w:color w:val="000000"/>
                <w:szCs w:val="21"/>
              </w:rPr>
            </w:pPr>
            <w:r>
              <w:rPr>
                <w:color w:val="000000"/>
                <w:szCs w:val="21"/>
              </w:rPr>
              <w:t>金紫乡\威溪乡\西岩镇</w:t>
            </w:r>
          </w:p>
        </w:tc>
        <w:tc>
          <w:tcPr>
            <w:tcW w:w="1667" w:type="dxa"/>
            <w:vAlign w:val="center"/>
          </w:tcPr>
          <w:p>
            <w:pPr>
              <w:jc w:val="left"/>
              <w:rPr>
                <w:color w:val="000000"/>
                <w:szCs w:val="21"/>
              </w:rPr>
            </w:pPr>
            <w:r>
              <w:rPr>
                <w:b/>
                <w:bCs/>
                <w:color w:val="000000"/>
                <w:sz w:val="22"/>
              </w:rPr>
              <w:t>金紫乡：</w:t>
            </w:r>
            <w:r>
              <w:rPr>
                <w:color w:val="000000"/>
                <w:szCs w:val="21"/>
              </w:rPr>
              <w:t>农产品主产区；</w:t>
            </w:r>
          </w:p>
          <w:p>
            <w:pPr>
              <w:jc w:val="left"/>
              <w:rPr>
                <w:color w:val="000000"/>
                <w:szCs w:val="21"/>
              </w:rPr>
            </w:pPr>
            <w:r>
              <w:rPr>
                <w:b/>
                <w:bCs/>
                <w:color w:val="000000"/>
                <w:sz w:val="22"/>
              </w:rPr>
              <w:t>威溪乡：</w:t>
            </w:r>
            <w:r>
              <w:rPr>
                <w:color w:val="000000"/>
                <w:szCs w:val="21"/>
              </w:rPr>
              <w:t>重点生态功能区；</w:t>
            </w:r>
          </w:p>
          <w:p>
            <w:pPr>
              <w:jc w:val="left"/>
              <w:rPr>
                <w:color w:val="000000"/>
                <w:szCs w:val="21"/>
              </w:rPr>
            </w:pPr>
            <w:r>
              <w:rPr>
                <w:b/>
                <w:bCs/>
                <w:color w:val="000000"/>
                <w:sz w:val="22"/>
              </w:rPr>
              <w:t>西岩镇：</w:t>
            </w:r>
            <w:r>
              <w:rPr>
                <w:color w:val="000000"/>
                <w:szCs w:val="21"/>
              </w:rPr>
              <w:t>农产品主产区/历史文化资源富集区</w:t>
            </w:r>
          </w:p>
        </w:tc>
        <w:tc>
          <w:tcPr>
            <w:tcW w:w="2351" w:type="dxa"/>
            <w:gridSpan w:val="2"/>
            <w:vAlign w:val="center"/>
          </w:tcPr>
          <w:p>
            <w:pPr>
              <w:widowControl/>
              <w:jc w:val="left"/>
              <w:rPr>
                <w:color w:val="000000"/>
                <w:szCs w:val="21"/>
              </w:rPr>
            </w:pPr>
            <w:r>
              <w:rPr>
                <w:b/>
                <w:bCs/>
                <w:color w:val="000000"/>
                <w:sz w:val="22"/>
              </w:rPr>
              <w:t>金紫乡：</w:t>
            </w:r>
            <w:r>
              <w:rPr>
                <w:color w:val="000000"/>
                <w:szCs w:val="21"/>
              </w:rPr>
              <w:t>农业种植业、畜牧养殖业等。</w:t>
            </w:r>
          </w:p>
          <w:p>
            <w:pPr>
              <w:widowControl/>
              <w:jc w:val="left"/>
              <w:rPr>
                <w:color w:val="000000"/>
                <w:szCs w:val="21"/>
              </w:rPr>
            </w:pPr>
            <w:r>
              <w:rPr>
                <w:b/>
                <w:bCs/>
                <w:color w:val="000000"/>
                <w:sz w:val="22"/>
              </w:rPr>
              <w:t>威溪乡：</w:t>
            </w:r>
            <w:r>
              <w:rPr>
                <w:color w:val="000000"/>
                <w:szCs w:val="21"/>
              </w:rPr>
              <w:t>农业种植业、中药材种植、旅游业、林业产业、康养业等。</w:t>
            </w:r>
          </w:p>
          <w:p>
            <w:pPr>
              <w:widowControl/>
              <w:jc w:val="left"/>
              <w:rPr>
                <w:color w:val="000000"/>
                <w:kern w:val="0"/>
                <w:szCs w:val="21"/>
              </w:rPr>
            </w:pPr>
            <w:r>
              <w:rPr>
                <w:b/>
                <w:bCs/>
                <w:color w:val="000000"/>
                <w:sz w:val="22"/>
              </w:rPr>
              <w:t>西岩镇：</w:t>
            </w:r>
            <w:r>
              <w:rPr>
                <w:color w:val="000000"/>
                <w:szCs w:val="21"/>
              </w:rPr>
              <w:t>旅游业、畜牧养殖业、农业种植业、文化产业、林业产业、贸易市场、仓储物流、服务业等。</w:t>
            </w:r>
          </w:p>
        </w:tc>
        <w:tc>
          <w:tcPr>
            <w:tcW w:w="2156" w:type="dxa"/>
            <w:vAlign w:val="center"/>
          </w:tcPr>
          <w:p>
            <w:pPr>
              <w:widowControl/>
              <w:jc w:val="left"/>
              <w:rPr>
                <w:b/>
                <w:bCs/>
                <w:color w:val="000000"/>
                <w:kern w:val="0"/>
                <w:szCs w:val="21"/>
              </w:rPr>
            </w:pPr>
            <w:r>
              <w:rPr>
                <w:b/>
                <w:bCs/>
                <w:color w:val="000000"/>
                <w:kern w:val="0"/>
                <w:szCs w:val="21"/>
              </w:rPr>
              <w:t>主要环境问题：</w:t>
            </w:r>
          </w:p>
          <w:p>
            <w:pPr>
              <w:widowControl/>
              <w:numPr>
                <w:ilvl w:val="0"/>
                <w:numId w:val="47"/>
              </w:numPr>
              <w:jc w:val="left"/>
              <w:rPr>
                <w:color w:val="000000"/>
                <w:kern w:val="0"/>
                <w:szCs w:val="21"/>
              </w:rPr>
            </w:pPr>
            <w:r>
              <w:rPr>
                <w:color w:val="000000"/>
                <w:kern w:val="0"/>
                <w:szCs w:val="21"/>
              </w:rPr>
              <w:t>乡镇污水、垃圾基础设施</w:t>
            </w:r>
            <w:r>
              <w:rPr>
                <w:rFonts w:hint="eastAsia"/>
                <w:color w:val="000000"/>
                <w:kern w:val="0"/>
                <w:szCs w:val="21"/>
              </w:rPr>
              <w:t>有待</w:t>
            </w:r>
            <w:r>
              <w:rPr>
                <w:color w:val="000000"/>
                <w:kern w:val="0"/>
                <w:szCs w:val="21"/>
              </w:rPr>
              <w:t>完善；</w:t>
            </w:r>
          </w:p>
          <w:p>
            <w:pPr>
              <w:widowControl/>
              <w:numPr>
                <w:ilvl w:val="0"/>
                <w:numId w:val="47"/>
              </w:numPr>
              <w:jc w:val="left"/>
              <w:rPr>
                <w:color w:val="000000"/>
                <w:kern w:val="0"/>
                <w:szCs w:val="21"/>
              </w:rPr>
            </w:pPr>
            <w:r>
              <w:rPr>
                <w:color w:val="000000"/>
                <w:kern w:val="0"/>
                <w:szCs w:val="21"/>
              </w:rPr>
              <w:t>畜禽养殖废物利用率待提高。</w:t>
            </w:r>
          </w:p>
          <w:p>
            <w:pPr>
              <w:widowControl/>
              <w:rPr>
                <w:color w:val="000000"/>
                <w:kern w:val="0"/>
                <w:szCs w:val="21"/>
              </w:rPr>
            </w:pPr>
            <w:r>
              <w:rPr>
                <w:b/>
                <w:bCs/>
                <w:color w:val="000000"/>
                <w:kern w:val="0"/>
                <w:szCs w:val="21"/>
              </w:rPr>
              <w:t>重要敏感目标：</w:t>
            </w:r>
            <w:r>
              <w:rPr>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jc w:val="center"/>
              <w:rPr>
                <w:b/>
                <w:color w:val="000000"/>
                <w:kern w:val="0"/>
                <w:szCs w:val="21"/>
              </w:rPr>
            </w:pPr>
            <w:r>
              <w:rPr>
                <w:b/>
                <w:color w:val="000000"/>
                <w:kern w:val="0"/>
                <w:szCs w:val="21"/>
              </w:rPr>
              <w:t>主要属性</w:t>
            </w:r>
          </w:p>
        </w:tc>
        <w:tc>
          <w:tcPr>
            <w:tcW w:w="12456" w:type="dxa"/>
            <w:gridSpan w:val="11"/>
            <w:vAlign w:val="center"/>
          </w:tcPr>
          <w:p>
            <w:pPr>
              <w:rPr>
                <w:b/>
                <w:bCs/>
                <w:color w:val="000000"/>
                <w:sz w:val="22"/>
              </w:rPr>
            </w:pPr>
            <w:r>
              <w:rPr>
                <w:b/>
                <w:bCs/>
                <w:color w:val="000000"/>
                <w:sz w:val="22"/>
              </w:rPr>
              <w:t>金紫乡：</w:t>
            </w:r>
          </w:p>
          <w:p>
            <w:pPr>
              <w:numPr>
                <w:ilvl w:val="0"/>
                <w:numId w:val="48"/>
              </w:numPr>
              <w:rPr>
                <w:color w:val="000000"/>
                <w:szCs w:val="21"/>
              </w:rPr>
            </w:pPr>
            <w:r>
              <w:rPr>
                <w:color w:val="000000"/>
                <w:szCs w:val="21"/>
              </w:rPr>
              <w:t>红线/一般生态空间/三区三线生态红线\水源涵养重要区\水土保持功能重要区\生物多样性保护功能重要区\水土流失敏感区\原生态红线；</w:t>
            </w:r>
          </w:p>
          <w:p>
            <w:pPr>
              <w:numPr>
                <w:ilvl w:val="0"/>
                <w:numId w:val="48"/>
              </w:numPr>
              <w:rPr>
                <w:color w:val="000000"/>
                <w:szCs w:val="21"/>
              </w:rPr>
            </w:pPr>
            <w:r>
              <w:rPr>
                <w:color w:val="000000"/>
                <w:szCs w:val="21"/>
              </w:rPr>
              <w:t>水环境优先保护区/源头水/资江源头水域（西岩镇金沙村至资江（左源赧水）源头）（汇水）；</w:t>
            </w:r>
          </w:p>
          <w:p>
            <w:pPr>
              <w:numPr>
                <w:ilvl w:val="0"/>
                <w:numId w:val="48"/>
              </w:numPr>
              <w:rPr>
                <w:color w:val="000000"/>
                <w:szCs w:val="21"/>
              </w:rPr>
            </w:pPr>
            <w:r>
              <w:rPr>
                <w:color w:val="000000"/>
                <w:szCs w:val="21"/>
              </w:rPr>
              <w:t>农用地优先保护区/一般管控区；</w:t>
            </w:r>
          </w:p>
          <w:p>
            <w:pPr>
              <w:numPr>
                <w:ilvl w:val="0"/>
                <w:numId w:val="48"/>
              </w:numPr>
              <w:rPr>
                <w:color w:val="000000"/>
                <w:szCs w:val="21"/>
              </w:rPr>
            </w:pPr>
            <w:r>
              <w:rPr>
                <w:color w:val="000000"/>
                <w:szCs w:val="21"/>
              </w:rPr>
              <w:t>农产品主产区</w:t>
            </w:r>
          </w:p>
          <w:p>
            <w:pPr>
              <w:rPr>
                <w:b/>
                <w:bCs/>
                <w:color w:val="000000"/>
                <w:sz w:val="22"/>
              </w:rPr>
            </w:pPr>
            <w:r>
              <w:rPr>
                <w:b/>
                <w:bCs/>
                <w:color w:val="000000"/>
                <w:sz w:val="22"/>
              </w:rPr>
              <w:t>威溪乡：</w:t>
            </w:r>
          </w:p>
          <w:p>
            <w:pPr>
              <w:numPr>
                <w:ilvl w:val="0"/>
                <w:numId w:val="49"/>
              </w:numPr>
              <w:rPr>
                <w:color w:val="000000"/>
                <w:szCs w:val="21"/>
              </w:rPr>
            </w:pPr>
            <w:r>
              <w:rPr>
                <w:color w:val="000000"/>
                <w:szCs w:val="21"/>
              </w:rPr>
              <w:t>红线/一般生态空间/水源涵养重要区\三区三线生态红线\风景名胜区\生物多样性保护功能重要区\森林公园\水土流失敏感区；</w:t>
            </w:r>
          </w:p>
          <w:p>
            <w:pPr>
              <w:numPr>
                <w:ilvl w:val="0"/>
                <w:numId w:val="49"/>
              </w:numPr>
              <w:rPr>
                <w:color w:val="000000"/>
                <w:szCs w:val="21"/>
              </w:rPr>
            </w:pPr>
            <w:r>
              <w:rPr>
                <w:color w:val="000000"/>
                <w:szCs w:val="21"/>
              </w:rPr>
              <w:t>水环境优先保护区；水源地（县级以上）、重金属矿；邵阳武冈市威溪水库饮用水水源保护区、城步苗族自治县威溪铜矿有限责任公司威溪铜矿；</w:t>
            </w:r>
          </w:p>
          <w:p>
            <w:pPr>
              <w:numPr>
                <w:ilvl w:val="0"/>
                <w:numId w:val="49"/>
              </w:numPr>
              <w:rPr>
                <w:color w:val="000000"/>
                <w:szCs w:val="21"/>
              </w:rPr>
            </w:pPr>
            <w:r>
              <w:rPr>
                <w:color w:val="000000"/>
                <w:szCs w:val="21"/>
              </w:rPr>
              <w:t>大气环境优先保护区/大气环境弱扩散重点管控区；湖南云山国家森林公园/武冈古城—云山风景名胜区；</w:t>
            </w:r>
          </w:p>
          <w:p>
            <w:pPr>
              <w:numPr>
                <w:ilvl w:val="0"/>
                <w:numId w:val="49"/>
              </w:numPr>
              <w:rPr>
                <w:color w:val="000000"/>
                <w:szCs w:val="21"/>
              </w:rPr>
            </w:pPr>
            <w:r>
              <w:rPr>
                <w:color w:val="000000"/>
                <w:szCs w:val="21"/>
              </w:rPr>
              <w:t>农用地优先保护区/建设用地重点管控区/其他重点管控区/一般管控区；矿区/中高风险企业用地；</w:t>
            </w:r>
          </w:p>
          <w:p>
            <w:pPr>
              <w:numPr>
                <w:ilvl w:val="0"/>
                <w:numId w:val="49"/>
              </w:numPr>
              <w:rPr>
                <w:color w:val="000000"/>
                <w:szCs w:val="21"/>
              </w:rPr>
            </w:pPr>
            <w:r>
              <w:rPr>
                <w:color w:val="000000"/>
                <w:szCs w:val="21"/>
              </w:rPr>
              <w:t>重点生态功能区</w:t>
            </w:r>
          </w:p>
          <w:p>
            <w:pPr>
              <w:rPr>
                <w:b/>
                <w:bCs/>
                <w:color w:val="000000"/>
                <w:sz w:val="22"/>
              </w:rPr>
            </w:pPr>
            <w:r>
              <w:rPr>
                <w:b/>
                <w:bCs/>
                <w:color w:val="000000"/>
                <w:sz w:val="22"/>
              </w:rPr>
              <w:t>西岩镇：</w:t>
            </w:r>
          </w:p>
          <w:p>
            <w:pPr>
              <w:numPr>
                <w:ilvl w:val="0"/>
                <w:numId w:val="50"/>
              </w:numPr>
              <w:rPr>
                <w:color w:val="000000"/>
                <w:szCs w:val="21"/>
              </w:rPr>
            </w:pPr>
            <w:r>
              <w:rPr>
                <w:color w:val="000000"/>
                <w:szCs w:val="21"/>
              </w:rPr>
              <w:t>红线/一般生态空间/水源涵养重要区\三区三线生态红线\水土保持功能重要区\水土流失敏感区\生物多样性保护功能重要区\原生态红线\石漠化敏感区；</w:t>
            </w:r>
          </w:p>
          <w:p>
            <w:pPr>
              <w:numPr>
                <w:ilvl w:val="0"/>
                <w:numId w:val="50"/>
              </w:numPr>
              <w:rPr>
                <w:color w:val="000000"/>
                <w:szCs w:val="21"/>
              </w:rPr>
            </w:pPr>
            <w:r>
              <w:rPr>
                <w:color w:val="000000"/>
                <w:szCs w:val="21"/>
              </w:rPr>
              <w:t>水环境优先保护区/水环境其他重点管控区；源头水/重金属矿；</w:t>
            </w:r>
          </w:p>
          <w:p>
            <w:pPr>
              <w:numPr>
                <w:ilvl w:val="0"/>
                <w:numId w:val="50"/>
              </w:numPr>
              <w:rPr>
                <w:color w:val="000000"/>
                <w:szCs w:val="21"/>
              </w:rPr>
            </w:pPr>
            <w:r>
              <w:rPr>
                <w:color w:val="000000"/>
                <w:szCs w:val="21"/>
              </w:rPr>
              <w:t>大气环境受体敏感重点管控区；</w:t>
            </w:r>
          </w:p>
          <w:p>
            <w:pPr>
              <w:numPr>
                <w:ilvl w:val="0"/>
                <w:numId w:val="50"/>
              </w:numPr>
              <w:rPr>
                <w:color w:val="000000"/>
                <w:szCs w:val="21"/>
              </w:rPr>
            </w:pPr>
            <w:r>
              <w:rPr>
                <w:color w:val="000000"/>
                <w:szCs w:val="21"/>
              </w:rPr>
              <w:t>农用地优先保护区/农用地重点管控区/其他重点管控区/一般管控区；矿区；</w:t>
            </w:r>
          </w:p>
          <w:p>
            <w:pPr>
              <w:numPr>
                <w:ilvl w:val="0"/>
                <w:numId w:val="50"/>
              </w:numPr>
              <w:rPr>
                <w:color w:val="000000"/>
                <w:szCs w:val="21"/>
              </w:rPr>
            </w:pPr>
            <w:r>
              <w:rPr>
                <w:color w:val="000000"/>
                <w:szCs w:val="21"/>
              </w:rPr>
              <w:t>农产品主产区/历史文化资源富集区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jc w:val="center"/>
              <w:rPr>
                <w:b/>
                <w:color w:val="000000"/>
                <w:szCs w:val="21"/>
              </w:rPr>
            </w:pPr>
            <w:r>
              <w:rPr>
                <w:b/>
                <w:color w:val="000000"/>
                <w:szCs w:val="21"/>
              </w:rPr>
              <w:t>管控维度</w:t>
            </w:r>
          </w:p>
        </w:tc>
        <w:tc>
          <w:tcPr>
            <w:tcW w:w="9978" w:type="dxa"/>
            <w:gridSpan w:val="9"/>
            <w:vAlign w:val="center"/>
          </w:tcPr>
          <w:p>
            <w:pPr>
              <w:jc w:val="center"/>
              <w:rPr>
                <w:b/>
                <w:color w:val="000000"/>
                <w:szCs w:val="21"/>
              </w:rPr>
            </w:pPr>
            <w:r>
              <w:rPr>
                <w:b/>
                <w:color w:val="000000"/>
                <w:kern w:val="0"/>
                <w:szCs w:val="21"/>
              </w:rPr>
              <w:t>管控要求</w:t>
            </w:r>
          </w:p>
        </w:tc>
        <w:tc>
          <w:tcPr>
            <w:tcW w:w="2478"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jc w:val="center"/>
              <w:rPr>
                <w:color w:val="000000"/>
                <w:szCs w:val="21"/>
              </w:rPr>
            </w:pPr>
            <w:r>
              <w:rPr>
                <w:color w:val="000000"/>
                <w:szCs w:val="21"/>
              </w:rPr>
              <w:t>空间布局约束</w:t>
            </w:r>
          </w:p>
        </w:tc>
        <w:tc>
          <w:tcPr>
            <w:tcW w:w="9978" w:type="dxa"/>
            <w:gridSpan w:val="9"/>
            <w:vAlign w:val="center"/>
          </w:tcPr>
          <w:p>
            <w:pPr>
              <w:widowControl/>
              <w:tabs>
                <w:tab w:val="left" w:pos="1021"/>
              </w:tabs>
              <w:jc w:val="left"/>
              <w:rPr>
                <w:color w:val="000000"/>
                <w:szCs w:val="21"/>
              </w:rPr>
            </w:pPr>
            <w:r>
              <w:rPr>
                <w:color w:val="000000"/>
                <w:szCs w:val="21"/>
              </w:rPr>
              <w:t>（1.1）优化县域产业布局，调整产业结构，提高环境准入门槛，严控两高项目，推行重点排气企业的清洁生产，实施排污权总量消减替代，完成减排目标。</w:t>
            </w:r>
          </w:p>
          <w:p>
            <w:pPr>
              <w:widowControl/>
              <w:tabs>
                <w:tab w:val="left" w:pos="1021"/>
              </w:tabs>
              <w:jc w:val="left"/>
              <w:rPr>
                <w:color w:val="000000"/>
                <w:szCs w:val="21"/>
              </w:rPr>
            </w:pPr>
            <w:r>
              <w:rPr>
                <w:color w:val="000000"/>
                <w:szCs w:val="21"/>
              </w:rPr>
              <w:t>（1.2）在生态红线区域内，禁止城镇化、工业化活动和矿产资源开发，确保生态功能不降低。</w:t>
            </w:r>
          </w:p>
          <w:p>
            <w:pPr>
              <w:widowControl/>
              <w:tabs>
                <w:tab w:val="left" w:pos="1021"/>
              </w:tabs>
              <w:jc w:val="left"/>
              <w:rPr>
                <w:color w:val="000000"/>
                <w:szCs w:val="21"/>
              </w:rPr>
            </w:pPr>
            <w:r>
              <w:rPr>
                <w:color w:val="000000"/>
                <w:szCs w:val="21"/>
              </w:rPr>
              <w:t>（1.3）湿地公园、饮用水源地等各类保护区划定为普通建筑材料用砂石土矿禁止开采区。</w:t>
            </w:r>
          </w:p>
          <w:p>
            <w:pPr>
              <w:widowControl/>
              <w:tabs>
                <w:tab w:val="left" w:pos="1021"/>
              </w:tabs>
              <w:jc w:val="left"/>
              <w:rPr>
                <w:color w:val="000000"/>
                <w:szCs w:val="21"/>
              </w:rPr>
            </w:pPr>
            <w:r>
              <w:rPr>
                <w:color w:val="000000"/>
                <w:szCs w:val="21"/>
              </w:rPr>
              <w:t>（1.4）严防矿产资源开发污染土壤，加强涉重金属行业污染防控，规范工业废物处理处置活动，新建建筑垃圾、渣土消纳场。</w:t>
            </w:r>
          </w:p>
          <w:p>
            <w:pPr>
              <w:pStyle w:val="3"/>
              <w:rPr>
                <w:color w:val="000000"/>
                <w:szCs w:val="21"/>
              </w:rPr>
            </w:pPr>
            <w:r>
              <w:rPr>
                <w:color w:val="000000"/>
                <w:szCs w:val="21"/>
              </w:rPr>
              <w:t>（1.5）严禁在禁燃区内新建、扩建燃用高污染燃料的设施，或者未按规定停止燃用高污染燃料，或者在城市集中供热管网覆盖地区新建、扩建分散燃煤供热锅炉，或者未按照规定拆除已建成的不能达标排放的燃煤供热锅炉。</w:t>
            </w:r>
          </w:p>
          <w:p>
            <w:pPr>
              <w:widowControl/>
              <w:rPr>
                <w:color w:val="000000"/>
                <w:szCs w:val="21"/>
              </w:rPr>
            </w:pPr>
            <w:r>
              <w:rPr>
                <w:color w:val="000000"/>
                <w:szCs w:val="21"/>
              </w:rPr>
              <w:t>（1.6）在科学规划利用土地的基础上，合理地布设梯田、坝库、林草以及其他防护工程等治理措施，有效地控制水土流失。推动工程、林草、治坡、治沟等各项措施紧密结合、协调发展。</w:t>
            </w:r>
          </w:p>
        </w:tc>
        <w:tc>
          <w:tcPr>
            <w:tcW w:w="2478" w:type="dxa"/>
            <w:gridSpan w:val="2"/>
            <w:vMerge w:val="restart"/>
          </w:tcPr>
          <w:p>
            <w:pPr>
              <w:widowControl/>
              <w:tabs>
                <w:tab w:val="left" w:pos="1021"/>
              </w:tabs>
              <w:jc w:val="left"/>
              <w:rPr>
                <w:color w:val="000000"/>
                <w:szCs w:val="21"/>
              </w:rPr>
            </w:pPr>
            <w:r>
              <w:rPr>
                <w:color w:val="000000"/>
                <w:szCs w:val="21"/>
              </w:rPr>
              <w:t>（1.1）（1.2）（1.4）（1.5）（1.6）（2.1.1）（2.1.2）（2.1.3）（2.3.2）（2.3.3）（4.1）（4.2.2）（4.3.2）《城步苗族自治县国民经济和社会发展第十四个五年规划和二O三五年远景目标纲要》</w:t>
            </w:r>
          </w:p>
          <w:p>
            <w:pPr>
              <w:widowControl/>
              <w:numPr>
                <w:ilvl w:val="1"/>
                <w:numId w:val="0"/>
              </w:numPr>
              <w:jc w:val="left"/>
              <w:rPr>
                <w:color w:val="000000"/>
                <w:szCs w:val="21"/>
              </w:rPr>
            </w:pPr>
            <w:r>
              <w:rPr>
                <w:color w:val="000000"/>
                <w:szCs w:val="21"/>
              </w:rPr>
              <w:t>（1.3）（4.3.1）《城步苗族自治县国土空间总体规划（2021</w:t>
            </w:r>
            <w:r>
              <w:rPr>
                <w:rFonts w:hint="eastAsia"/>
                <w:color w:val="000000"/>
                <w:szCs w:val="21"/>
              </w:rPr>
              <w:t>—</w:t>
            </w:r>
            <w:r>
              <w:rPr>
                <w:color w:val="000000"/>
                <w:szCs w:val="21"/>
              </w:rPr>
              <w:t>2035年）》</w:t>
            </w:r>
          </w:p>
          <w:p>
            <w:pPr>
              <w:widowControl/>
              <w:jc w:val="left"/>
              <w:rPr>
                <w:color w:val="000000"/>
                <w:szCs w:val="21"/>
              </w:rPr>
            </w:pPr>
            <w:r>
              <w:rPr>
                <w:color w:val="000000"/>
                <w:szCs w:val="21"/>
              </w:rPr>
              <w:t>（2.2）（2.3.1）（3.1）（3.2）（3.3）《2023年城步苗族自治县深入打好污染防治攻坚战工作方案》</w:t>
            </w:r>
          </w:p>
          <w:p>
            <w:pPr>
              <w:tabs>
                <w:tab w:val="left" w:pos="1021"/>
              </w:tabs>
              <w:rPr>
                <w:color w:val="000000"/>
                <w:szCs w:val="21"/>
              </w:rPr>
            </w:pPr>
            <w:r>
              <w:rPr>
                <w:color w:val="000000"/>
                <w:szCs w:val="21"/>
              </w:rPr>
              <w:t>（4.2.1）《邵阳市“十四五”用水总量和强度双控目标》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jc w:val="center"/>
              <w:rPr>
                <w:color w:val="000000"/>
                <w:szCs w:val="21"/>
              </w:rPr>
            </w:pPr>
            <w:r>
              <w:rPr>
                <w:color w:val="000000"/>
                <w:szCs w:val="21"/>
              </w:rPr>
              <w:t>污染物排放管控</w:t>
            </w:r>
          </w:p>
        </w:tc>
        <w:tc>
          <w:tcPr>
            <w:tcW w:w="9978" w:type="dxa"/>
            <w:gridSpan w:val="9"/>
            <w:vAlign w:val="center"/>
          </w:tcPr>
          <w:p>
            <w:pPr>
              <w:widowControl/>
              <w:tabs>
                <w:tab w:val="left" w:pos="1021"/>
              </w:tabs>
              <w:jc w:val="left"/>
              <w:rPr>
                <w:color w:val="000000"/>
                <w:szCs w:val="21"/>
              </w:rPr>
            </w:pPr>
            <w:r>
              <w:rPr>
                <w:color w:val="000000"/>
                <w:szCs w:val="21"/>
              </w:rPr>
              <w:t>（2.1）废水：</w:t>
            </w:r>
          </w:p>
          <w:p>
            <w:pPr>
              <w:widowControl/>
              <w:tabs>
                <w:tab w:val="left" w:pos="1021"/>
              </w:tabs>
              <w:jc w:val="left"/>
              <w:rPr>
                <w:color w:val="000000"/>
                <w:szCs w:val="21"/>
              </w:rPr>
            </w:pPr>
            <w:r>
              <w:rPr>
                <w:color w:val="000000"/>
                <w:szCs w:val="21"/>
              </w:rPr>
              <w:t>（2.1.1）完善县城和重点乡镇污水管网等基础设施，完成乡镇污水处理厂。</w:t>
            </w:r>
          </w:p>
          <w:p>
            <w:pPr>
              <w:widowControl/>
              <w:tabs>
                <w:tab w:val="left" w:pos="1021"/>
              </w:tabs>
              <w:jc w:val="left"/>
              <w:rPr>
                <w:color w:val="000000"/>
                <w:szCs w:val="21"/>
              </w:rPr>
            </w:pPr>
            <w:r>
              <w:rPr>
                <w:color w:val="000000"/>
                <w:szCs w:val="21"/>
              </w:rPr>
              <w:t>（2.1.2）强化涉水工业企业监管，降低水耗，减少废水排放量，确保企业水污染防治设施规范运行。</w:t>
            </w:r>
          </w:p>
          <w:p>
            <w:pPr>
              <w:widowControl/>
              <w:tabs>
                <w:tab w:val="left" w:pos="1021"/>
              </w:tabs>
              <w:jc w:val="left"/>
              <w:rPr>
                <w:color w:val="000000"/>
                <w:szCs w:val="21"/>
              </w:rPr>
            </w:pPr>
            <w:r>
              <w:rPr>
                <w:color w:val="000000"/>
                <w:szCs w:val="21"/>
              </w:rPr>
              <w:t>（2.1.3）加快补齐农村环境短板，推进生活污水治理，探索推行城镇污水管网向周边村庄延伸覆盖，消除黑臭水体，加强农村水源地保护。</w:t>
            </w:r>
          </w:p>
          <w:p>
            <w:pPr>
              <w:widowControl/>
              <w:tabs>
                <w:tab w:val="left" w:pos="1021"/>
              </w:tabs>
              <w:jc w:val="left"/>
              <w:rPr>
                <w:color w:val="000000"/>
                <w:szCs w:val="21"/>
              </w:rPr>
            </w:pPr>
            <w:r>
              <w:rPr>
                <w:color w:val="000000"/>
                <w:szCs w:val="21"/>
              </w:rPr>
              <w:t>（2.2）废气：落实《湖南省大气污染防治攻坚行动工作方案》，坚持源头防控、系统治理，在水泥、砖瓦、工业涂装等重点行业，柴油货车、露天焚烧秸秆、餐饮油烟、城市扬尘等重点领域，开展“守护蓝天”行动，</w:t>
            </w:r>
            <w:r>
              <w:rPr>
                <w:color w:val="000000"/>
                <w:szCs w:val="21"/>
                <w:lang w:val="zh-CN"/>
              </w:rPr>
              <w:t>严格落实各项攻坚措施</w:t>
            </w:r>
            <w:r>
              <w:rPr>
                <w:color w:val="000000"/>
                <w:szCs w:val="21"/>
              </w:rPr>
              <w:t>。</w:t>
            </w:r>
          </w:p>
          <w:p>
            <w:pPr>
              <w:widowControl/>
              <w:tabs>
                <w:tab w:val="left" w:pos="1021"/>
              </w:tabs>
              <w:jc w:val="left"/>
              <w:rPr>
                <w:color w:val="000000"/>
                <w:szCs w:val="21"/>
              </w:rPr>
            </w:pPr>
            <w:r>
              <w:rPr>
                <w:color w:val="000000"/>
                <w:szCs w:val="21"/>
              </w:rPr>
              <w:t>（2.3）固体废物：</w:t>
            </w:r>
          </w:p>
          <w:p>
            <w:pPr>
              <w:widowControl/>
              <w:tabs>
                <w:tab w:val="left" w:pos="1021"/>
              </w:tabs>
              <w:jc w:val="left"/>
              <w:rPr>
                <w:color w:val="000000"/>
                <w:szCs w:val="21"/>
              </w:rPr>
            </w:pPr>
            <w:r>
              <w:rPr>
                <w:color w:val="000000"/>
                <w:szCs w:val="21"/>
              </w:rPr>
              <w:t>（2.3.1）全面排查整治涉镉等重金属矿区历史遗留固体废物。</w:t>
            </w:r>
          </w:p>
          <w:p>
            <w:pPr>
              <w:widowControl/>
              <w:tabs>
                <w:tab w:val="left" w:pos="1021"/>
              </w:tabs>
              <w:jc w:val="left"/>
              <w:rPr>
                <w:color w:val="000000"/>
                <w:szCs w:val="21"/>
              </w:rPr>
            </w:pPr>
            <w:r>
              <w:rPr>
                <w:color w:val="000000"/>
                <w:szCs w:val="21"/>
              </w:rPr>
              <w:t>（2.3.2）推进生活垃圾治理，建立生活垃圾收运处理体系，探索推行垃圾就地分类和资源化利用，开展非正规垃圾堆放点排查整治</w:t>
            </w:r>
          </w:p>
          <w:p>
            <w:pPr>
              <w:widowControl/>
              <w:tabs>
                <w:tab w:val="left" w:pos="1021"/>
              </w:tabs>
              <w:jc w:val="left"/>
              <w:rPr>
                <w:color w:val="000000"/>
                <w:szCs w:val="21"/>
              </w:rPr>
            </w:pPr>
            <w:r>
              <w:rPr>
                <w:color w:val="000000"/>
                <w:szCs w:val="21"/>
              </w:rPr>
              <w:t>（2.3.3）推进“厕所革命”和畜禽养殖粪污资源化利用，探索厕所、畜禽粪污无害化处理和资源利用。</w:t>
            </w:r>
          </w:p>
        </w:tc>
        <w:tc>
          <w:tcPr>
            <w:tcW w:w="247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jc w:val="center"/>
              <w:rPr>
                <w:color w:val="000000"/>
                <w:szCs w:val="21"/>
              </w:rPr>
            </w:pPr>
            <w:r>
              <w:rPr>
                <w:color w:val="000000"/>
                <w:szCs w:val="21"/>
              </w:rPr>
              <w:t>环境风险防控</w:t>
            </w:r>
          </w:p>
        </w:tc>
        <w:tc>
          <w:tcPr>
            <w:tcW w:w="9978" w:type="dxa"/>
            <w:gridSpan w:val="9"/>
            <w:vAlign w:val="center"/>
          </w:tcPr>
          <w:p>
            <w:pPr>
              <w:tabs>
                <w:tab w:val="left" w:pos="1021"/>
              </w:tabs>
              <w:rPr>
                <w:color w:val="000000"/>
                <w:szCs w:val="21"/>
              </w:rPr>
            </w:pPr>
            <w:r>
              <w:rPr>
                <w:color w:val="000000"/>
                <w:szCs w:val="21"/>
              </w:rPr>
              <w:t>（3.1）持续开展危险废物规范化环境管理评估。</w:t>
            </w:r>
          </w:p>
          <w:p>
            <w:pPr>
              <w:tabs>
                <w:tab w:val="left" w:pos="1021"/>
              </w:tabs>
              <w:rPr>
                <w:color w:val="000000"/>
                <w:szCs w:val="21"/>
              </w:rPr>
            </w:pPr>
            <w:r>
              <w:rPr>
                <w:color w:val="000000"/>
                <w:szCs w:val="21"/>
              </w:rPr>
              <w:t>（3.2）扎实开展尾矿库污染治理“回头看”和历史遗留渣堆污染问题整治，逐步完善尾矿库预警监测体系。</w:t>
            </w:r>
          </w:p>
          <w:p>
            <w:pPr>
              <w:tabs>
                <w:tab w:val="left" w:pos="1021"/>
              </w:tabs>
              <w:rPr>
                <w:color w:val="000000"/>
                <w:szCs w:val="21"/>
              </w:rPr>
            </w:pPr>
            <w:r>
              <w:rPr>
                <w:color w:val="000000"/>
                <w:szCs w:val="21"/>
              </w:rPr>
              <w:t>（3.3）有效管控建设用地土壤污染风险；持续开展重点行业企业用地调查和典型行业周边土壤环境调查，进一步摸清污染地块底数和污染成因。严格土壤污染重点监管单位搬迁腾退用地土壤污染风险管控。</w:t>
            </w:r>
          </w:p>
        </w:tc>
        <w:tc>
          <w:tcPr>
            <w:tcW w:w="247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widowControl/>
              <w:jc w:val="center"/>
              <w:rPr>
                <w:color w:val="000000"/>
                <w:szCs w:val="21"/>
              </w:rPr>
            </w:pPr>
            <w:r>
              <w:rPr>
                <w:color w:val="000000"/>
                <w:szCs w:val="21"/>
              </w:rPr>
              <w:t>资源开发效率要求</w:t>
            </w:r>
          </w:p>
        </w:tc>
        <w:tc>
          <w:tcPr>
            <w:tcW w:w="9978" w:type="dxa"/>
            <w:gridSpan w:val="9"/>
            <w:vAlign w:val="center"/>
          </w:tcPr>
          <w:p>
            <w:pPr>
              <w:pStyle w:val="8"/>
              <w:widowControl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4.1）能源：大力发展节能环保、清洁生产、清洁能源产业。全面推进清洁生产改造或清洁化改造。</w:t>
            </w:r>
          </w:p>
          <w:p>
            <w:pPr>
              <w:widowControl/>
              <w:tabs>
                <w:tab w:val="left" w:pos="1021"/>
              </w:tabs>
              <w:jc w:val="left"/>
              <w:rPr>
                <w:color w:val="000000"/>
                <w:szCs w:val="21"/>
              </w:rPr>
            </w:pPr>
            <w:r>
              <w:rPr>
                <w:color w:val="000000"/>
                <w:szCs w:val="21"/>
              </w:rPr>
              <w:t>（4.2）水资源：</w:t>
            </w:r>
          </w:p>
          <w:p>
            <w:pPr>
              <w:widowControl/>
              <w:tabs>
                <w:tab w:val="left" w:pos="1021"/>
              </w:tabs>
              <w:ind w:firstLine="420" w:firstLineChars="200"/>
              <w:jc w:val="left"/>
              <w:rPr>
                <w:color w:val="000000"/>
                <w:szCs w:val="21"/>
              </w:rPr>
            </w:pPr>
            <w:r>
              <w:rPr>
                <w:color w:val="000000"/>
                <w:szCs w:val="21"/>
              </w:rPr>
              <w:t>（4.2.1）到2025年城步苗族自治县用水总量为1.065亿m³；万元地区生产总值用水量比2020年下降20.98%；万元工业增加值用水量比2020年下降12.54%；农田灌溉用水有效利用系数为0.53。</w:t>
            </w:r>
          </w:p>
          <w:p>
            <w:pPr>
              <w:widowControl/>
              <w:tabs>
                <w:tab w:val="left" w:pos="1021"/>
              </w:tabs>
              <w:ind w:firstLine="420" w:firstLineChars="200"/>
              <w:jc w:val="left"/>
              <w:rPr>
                <w:color w:val="000000"/>
                <w:szCs w:val="21"/>
              </w:rPr>
            </w:pPr>
            <w:r>
              <w:rPr>
                <w:color w:val="000000"/>
                <w:szCs w:val="21"/>
              </w:rPr>
              <w:t>（4.2.2）推进城镇污水处理厂出水深度净化和资源化利用。</w:t>
            </w:r>
          </w:p>
          <w:p>
            <w:pPr>
              <w:widowControl/>
              <w:tabs>
                <w:tab w:val="left" w:pos="1021"/>
              </w:tabs>
              <w:jc w:val="left"/>
              <w:rPr>
                <w:color w:val="000000"/>
                <w:szCs w:val="21"/>
              </w:rPr>
            </w:pPr>
            <w:r>
              <w:rPr>
                <w:color w:val="000000"/>
                <w:szCs w:val="21"/>
              </w:rPr>
              <w:t>（4.3）土地资源：</w:t>
            </w:r>
          </w:p>
          <w:p>
            <w:pPr>
              <w:widowControl/>
              <w:tabs>
                <w:tab w:val="left" w:pos="1021"/>
              </w:tabs>
              <w:ind w:firstLine="420" w:firstLineChars="200"/>
              <w:jc w:val="left"/>
              <w:rPr>
                <w:color w:val="000000"/>
                <w:szCs w:val="21"/>
              </w:rPr>
            </w:pPr>
            <w:r>
              <w:rPr>
                <w:color w:val="000000"/>
                <w:szCs w:val="21"/>
              </w:rPr>
              <w:t>（4.3.1）至2035年，划定生态保护红线面积105711.07公顷，落实林地保有量217805.00公顷，湿地面积164.08公顷。确保耕地保有量不低于17201.70公顷，永久基本农田保护面积13931.69公顷，控制建设用地总面积不高于7127.68公顷，城乡建设用地不高于6095.99公顷</w:t>
            </w:r>
          </w:p>
          <w:p>
            <w:pPr>
              <w:tabs>
                <w:tab w:val="left" w:pos="1021"/>
              </w:tabs>
              <w:ind w:firstLine="420" w:firstLineChars="200"/>
              <w:rPr>
                <w:color w:val="000000"/>
                <w:szCs w:val="21"/>
              </w:rPr>
            </w:pPr>
            <w:r>
              <w:rPr>
                <w:color w:val="000000"/>
                <w:szCs w:val="21"/>
              </w:rPr>
              <w:t>（4.3.2）在科学规划利用土地的基础上，合理地布设以及其他防护工程等治理措施，有效地控制水土流失。推动工程、林草、治坡、治沟等各项措施紧密结合、协调发展。</w:t>
            </w:r>
          </w:p>
        </w:tc>
        <w:tc>
          <w:tcPr>
            <w:tcW w:w="2478" w:type="dxa"/>
            <w:gridSpan w:val="2"/>
            <w:vMerge w:val="continue"/>
            <w:vAlign w:val="center"/>
          </w:tcPr>
          <w:p/>
        </w:tc>
      </w:tr>
    </w:tbl>
    <w:p>
      <w:pPr>
        <w:rPr>
          <w:b/>
          <w:color w:val="000000"/>
          <w:sz w:val="28"/>
          <w:szCs w:val="32"/>
        </w:rPr>
      </w:pPr>
      <w:r>
        <w:rPr>
          <w:b/>
          <w:color w:val="000000"/>
          <w:sz w:val="28"/>
          <w:szCs w:val="32"/>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812"/>
        <w:gridCol w:w="434"/>
        <w:gridCol w:w="434"/>
        <w:gridCol w:w="887"/>
        <w:gridCol w:w="842"/>
        <w:gridCol w:w="1123"/>
        <w:gridCol w:w="1125"/>
        <w:gridCol w:w="1627"/>
        <w:gridCol w:w="1773"/>
        <w:gridCol w:w="858"/>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shd w:val="clear" w:color="auto" w:fill="auto"/>
            <w:vAlign w:val="center"/>
          </w:tcPr>
          <w:p>
            <w:pPr>
              <w:widowControl/>
              <w:jc w:val="center"/>
              <w:rPr>
                <w:b/>
                <w:color w:val="000000"/>
                <w:kern w:val="0"/>
                <w:szCs w:val="21"/>
              </w:rPr>
            </w:pPr>
            <w:r>
              <w:rPr>
                <w:b/>
                <w:color w:val="000000"/>
                <w:kern w:val="0"/>
                <w:szCs w:val="21"/>
              </w:rPr>
              <w:t>环境管控单元编码</w:t>
            </w:r>
          </w:p>
        </w:tc>
        <w:tc>
          <w:tcPr>
            <w:tcW w:w="286" w:type="pct"/>
            <w:vMerge w:val="restart"/>
            <w:shd w:val="clear" w:color="auto" w:fill="auto"/>
            <w:vAlign w:val="center"/>
          </w:tcPr>
          <w:p>
            <w:pPr>
              <w:widowControl/>
              <w:jc w:val="center"/>
              <w:rPr>
                <w:b/>
                <w:color w:val="000000"/>
                <w:kern w:val="0"/>
                <w:szCs w:val="21"/>
              </w:rPr>
            </w:pPr>
            <w:r>
              <w:rPr>
                <w:b/>
                <w:color w:val="000000"/>
                <w:kern w:val="0"/>
                <w:szCs w:val="21"/>
              </w:rPr>
              <w:t>单元名称</w:t>
            </w:r>
          </w:p>
        </w:tc>
        <w:tc>
          <w:tcPr>
            <w:tcW w:w="619" w:type="pct"/>
            <w:gridSpan w:val="3"/>
            <w:shd w:val="clear" w:color="auto" w:fill="auto"/>
            <w:vAlign w:val="center"/>
          </w:tcPr>
          <w:p>
            <w:pPr>
              <w:widowControl/>
              <w:jc w:val="center"/>
              <w:rPr>
                <w:b/>
                <w:color w:val="000000"/>
                <w:kern w:val="0"/>
                <w:szCs w:val="21"/>
              </w:rPr>
            </w:pPr>
            <w:r>
              <w:rPr>
                <w:b/>
                <w:color w:val="000000"/>
                <w:kern w:val="0"/>
                <w:szCs w:val="21"/>
              </w:rPr>
              <w:t>行政区划</w:t>
            </w:r>
          </w:p>
        </w:tc>
        <w:tc>
          <w:tcPr>
            <w:tcW w:w="297" w:type="pct"/>
            <w:vMerge w:val="restart"/>
            <w:shd w:val="clear" w:color="auto" w:fill="auto"/>
            <w:vAlign w:val="center"/>
          </w:tcPr>
          <w:p>
            <w:pPr>
              <w:widowControl/>
              <w:jc w:val="center"/>
              <w:rPr>
                <w:b/>
                <w:color w:val="000000"/>
                <w:kern w:val="0"/>
                <w:szCs w:val="21"/>
              </w:rPr>
            </w:pPr>
            <w:r>
              <w:rPr>
                <w:b/>
                <w:color w:val="000000"/>
                <w:kern w:val="0"/>
                <w:szCs w:val="21"/>
              </w:rPr>
              <w:t>单元分类</w:t>
            </w:r>
          </w:p>
        </w:tc>
        <w:tc>
          <w:tcPr>
            <w:tcW w:w="396" w:type="pct"/>
            <w:vMerge w:val="restart"/>
            <w:shd w:val="clear" w:color="auto" w:fill="auto"/>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396" w:type="pct"/>
            <w:vMerge w:val="restart"/>
            <w:shd w:val="clear" w:color="auto" w:fill="auto"/>
            <w:vAlign w:val="center"/>
          </w:tcPr>
          <w:p>
            <w:pPr>
              <w:jc w:val="center"/>
              <w:rPr>
                <w:b/>
                <w:color w:val="000000"/>
                <w:kern w:val="0"/>
                <w:szCs w:val="21"/>
              </w:rPr>
            </w:pPr>
            <w:r>
              <w:rPr>
                <w:b/>
                <w:color w:val="000000"/>
                <w:kern w:val="0"/>
                <w:szCs w:val="21"/>
              </w:rPr>
              <w:t>涉及乡镇（街道）</w:t>
            </w:r>
          </w:p>
        </w:tc>
        <w:tc>
          <w:tcPr>
            <w:tcW w:w="573" w:type="pct"/>
            <w:vMerge w:val="restart"/>
            <w:shd w:val="clear" w:color="auto" w:fill="auto"/>
            <w:vAlign w:val="center"/>
          </w:tcPr>
          <w:p>
            <w:pPr>
              <w:jc w:val="center"/>
              <w:rPr>
                <w:b/>
                <w:color w:val="000000"/>
                <w:kern w:val="0"/>
                <w:szCs w:val="21"/>
              </w:rPr>
            </w:pPr>
            <w:r>
              <w:rPr>
                <w:b/>
                <w:color w:val="000000"/>
                <w:kern w:val="0"/>
                <w:szCs w:val="21"/>
              </w:rPr>
              <w:t>主体功能定位</w:t>
            </w:r>
          </w:p>
        </w:tc>
        <w:tc>
          <w:tcPr>
            <w:tcW w:w="928" w:type="pct"/>
            <w:gridSpan w:val="2"/>
            <w:vMerge w:val="restart"/>
            <w:shd w:val="clear" w:color="auto" w:fill="auto"/>
            <w:vAlign w:val="center"/>
          </w:tcPr>
          <w:p>
            <w:pPr>
              <w:jc w:val="center"/>
              <w:rPr>
                <w:b/>
                <w:color w:val="000000"/>
                <w:kern w:val="0"/>
                <w:szCs w:val="21"/>
              </w:rPr>
            </w:pPr>
            <w:r>
              <w:rPr>
                <w:b/>
                <w:color w:val="000000"/>
                <w:kern w:val="0"/>
                <w:szCs w:val="21"/>
              </w:rPr>
              <w:t>经济产业布局</w:t>
            </w:r>
          </w:p>
        </w:tc>
        <w:tc>
          <w:tcPr>
            <w:tcW w:w="911" w:type="pct"/>
            <w:vMerge w:val="restart"/>
            <w:shd w:val="clear" w:color="auto" w:fill="auto"/>
            <w:vAlign w:val="center"/>
          </w:tcPr>
          <w:p>
            <w:pPr>
              <w:jc w:val="center"/>
              <w:rPr>
                <w:b/>
                <w:color w:val="000000"/>
                <w:kern w:val="0"/>
                <w:szCs w:val="21"/>
              </w:rPr>
            </w:pPr>
            <w:r>
              <w:rPr>
                <w:b/>
                <w:color w:val="000000"/>
                <w:kern w:val="0"/>
                <w:szCs w:val="21"/>
              </w:rPr>
              <w:t>主要环境问题</w:t>
            </w:r>
            <w:r>
              <w:rPr>
                <w:b/>
                <w:kern w:val="0"/>
                <w:szCs w:val="21"/>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0" w:type="pct"/>
            <w:vMerge w:val="continue"/>
            <w:shd w:val="clear" w:color="auto" w:fill="auto"/>
            <w:vAlign w:val="center"/>
          </w:tcPr>
          <w:p/>
        </w:tc>
        <w:tc>
          <w:tcPr>
            <w:tcW w:w="286" w:type="pct"/>
            <w:vMerge w:val="continue"/>
            <w:shd w:val="clear" w:color="auto" w:fill="auto"/>
            <w:vAlign w:val="center"/>
          </w:tcPr>
          <w:p/>
        </w:tc>
        <w:tc>
          <w:tcPr>
            <w:tcW w:w="153" w:type="pct"/>
            <w:shd w:val="clear" w:color="auto" w:fill="auto"/>
            <w:vAlign w:val="center"/>
          </w:tcPr>
          <w:p>
            <w:pPr>
              <w:jc w:val="center"/>
              <w:rPr>
                <w:b/>
                <w:color w:val="000000"/>
                <w:szCs w:val="21"/>
              </w:rPr>
            </w:pPr>
            <w:r>
              <w:rPr>
                <w:b/>
                <w:color w:val="000000"/>
                <w:szCs w:val="21"/>
              </w:rPr>
              <w:t>省</w:t>
            </w:r>
          </w:p>
        </w:tc>
        <w:tc>
          <w:tcPr>
            <w:tcW w:w="153" w:type="pct"/>
            <w:shd w:val="clear" w:color="auto" w:fill="auto"/>
            <w:vAlign w:val="center"/>
          </w:tcPr>
          <w:p>
            <w:pPr>
              <w:jc w:val="center"/>
              <w:rPr>
                <w:b/>
                <w:color w:val="000000"/>
                <w:szCs w:val="21"/>
              </w:rPr>
            </w:pPr>
            <w:r>
              <w:rPr>
                <w:b/>
                <w:color w:val="000000"/>
                <w:szCs w:val="21"/>
              </w:rPr>
              <w:t>市</w:t>
            </w:r>
          </w:p>
        </w:tc>
        <w:tc>
          <w:tcPr>
            <w:tcW w:w="312" w:type="pct"/>
            <w:shd w:val="clear" w:color="auto" w:fill="auto"/>
            <w:vAlign w:val="center"/>
          </w:tcPr>
          <w:p>
            <w:pPr>
              <w:jc w:val="center"/>
              <w:rPr>
                <w:b/>
                <w:color w:val="000000"/>
                <w:szCs w:val="21"/>
              </w:rPr>
            </w:pPr>
            <w:r>
              <w:rPr>
                <w:b/>
                <w:color w:val="000000"/>
                <w:szCs w:val="21"/>
              </w:rPr>
              <w:t>县</w:t>
            </w:r>
          </w:p>
        </w:tc>
        <w:tc>
          <w:tcPr>
            <w:tcW w:w="297" w:type="pct"/>
            <w:vMerge w:val="continue"/>
            <w:shd w:val="clear" w:color="auto" w:fill="auto"/>
            <w:vAlign w:val="center"/>
          </w:tcPr>
          <w:p/>
        </w:tc>
        <w:tc>
          <w:tcPr>
            <w:tcW w:w="396" w:type="pct"/>
            <w:vMerge w:val="continue"/>
            <w:shd w:val="clear" w:color="auto" w:fill="auto"/>
            <w:vAlign w:val="center"/>
          </w:tcPr>
          <w:p/>
        </w:tc>
        <w:tc>
          <w:tcPr>
            <w:tcW w:w="396" w:type="pct"/>
            <w:vMerge w:val="continue"/>
            <w:shd w:val="clear" w:color="auto" w:fill="auto"/>
            <w:vAlign w:val="center"/>
          </w:tcPr>
          <w:p/>
        </w:tc>
        <w:tc>
          <w:tcPr>
            <w:tcW w:w="573" w:type="pct"/>
            <w:vMerge w:val="continue"/>
            <w:shd w:val="clear" w:color="auto" w:fill="auto"/>
            <w:vAlign w:val="center"/>
          </w:tcPr>
          <w:p/>
        </w:tc>
        <w:tc>
          <w:tcPr>
            <w:tcW w:w="928" w:type="pct"/>
            <w:gridSpan w:val="2"/>
            <w:vMerge w:val="continue"/>
            <w:shd w:val="clear" w:color="auto" w:fill="auto"/>
            <w:vAlign w:val="center"/>
          </w:tcPr>
          <w:p/>
        </w:tc>
        <w:tc>
          <w:tcPr>
            <w:tcW w:w="911" w:type="pct"/>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vAlign w:val="center"/>
          </w:tcPr>
          <w:p>
            <w:pPr>
              <w:jc w:val="center"/>
              <w:rPr>
                <w:color w:val="000000"/>
                <w:szCs w:val="21"/>
              </w:rPr>
            </w:pPr>
            <w:r>
              <w:rPr>
                <w:color w:val="000000"/>
                <w:szCs w:val="21"/>
              </w:rPr>
              <w:t>ZH43052910004</w:t>
            </w:r>
          </w:p>
        </w:tc>
        <w:tc>
          <w:tcPr>
            <w:tcW w:w="286" w:type="pct"/>
            <w:shd w:val="clear" w:color="auto" w:fill="auto"/>
            <w:vAlign w:val="center"/>
          </w:tcPr>
          <w:p>
            <w:pPr>
              <w:jc w:val="center"/>
              <w:rPr>
                <w:color w:val="000000"/>
                <w:szCs w:val="21"/>
              </w:rPr>
            </w:pPr>
            <w:r>
              <w:rPr>
                <w:color w:val="000000"/>
                <w:szCs w:val="21"/>
              </w:rPr>
              <w:t>白毛坪镇\兰蓉乡</w:t>
            </w:r>
          </w:p>
        </w:tc>
        <w:tc>
          <w:tcPr>
            <w:tcW w:w="153" w:type="pct"/>
            <w:shd w:val="clear" w:color="auto" w:fill="auto"/>
            <w:vAlign w:val="center"/>
          </w:tcPr>
          <w:p>
            <w:pPr>
              <w:jc w:val="center"/>
              <w:rPr>
                <w:color w:val="000000"/>
                <w:szCs w:val="21"/>
              </w:rPr>
            </w:pPr>
            <w:r>
              <w:rPr>
                <w:color w:val="000000"/>
                <w:szCs w:val="21"/>
              </w:rPr>
              <w:t>湖南省</w:t>
            </w:r>
          </w:p>
        </w:tc>
        <w:tc>
          <w:tcPr>
            <w:tcW w:w="153" w:type="pct"/>
            <w:shd w:val="clear" w:color="auto" w:fill="auto"/>
            <w:vAlign w:val="center"/>
          </w:tcPr>
          <w:p>
            <w:pPr>
              <w:jc w:val="center"/>
              <w:rPr>
                <w:color w:val="000000"/>
                <w:szCs w:val="21"/>
              </w:rPr>
            </w:pPr>
            <w:r>
              <w:rPr>
                <w:color w:val="000000"/>
                <w:szCs w:val="21"/>
              </w:rPr>
              <w:t>邵阳市</w:t>
            </w:r>
          </w:p>
        </w:tc>
        <w:tc>
          <w:tcPr>
            <w:tcW w:w="312" w:type="pct"/>
            <w:shd w:val="clear" w:color="auto" w:fill="auto"/>
            <w:vAlign w:val="center"/>
          </w:tcPr>
          <w:p>
            <w:pPr>
              <w:jc w:val="center"/>
              <w:rPr>
                <w:color w:val="000000"/>
                <w:szCs w:val="21"/>
              </w:rPr>
            </w:pPr>
            <w:r>
              <w:rPr>
                <w:color w:val="000000"/>
                <w:szCs w:val="21"/>
              </w:rPr>
              <w:t>城步苗族自治县</w:t>
            </w:r>
          </w:p>
        </w:tc>
        <w:tc>
          <w:tcPr>
            <w:tcW w:w="297" w:type="pct"/>
            <w:shd w:val="clear" w:color="auto" w:fill="auto"/>
            <w:vAlign w:val="center"/>
          </w:tcPr>
          <w:p>
            <w:pPr>
              <w:jc w:val="center"/>
              <w:rPr>
                <w:color w:val="000000"/>
                <w:szCs w:val="21"/>
              </w:rPr>
            </w:pPr>
            <w:r>
              <w:rPr>
                <w:color w:val="000000"/>
                <w:szCs w:val="21"/>
              </w:rPr>
              <w:t>优先保护单元</w:t>
            </w:r>
          </w:p>
        </w:tc>
        <w:tc>
          <w:tcPr>
            <w:tcW w:w="396" w:type="pct"/>
            <w:shd w:val="clear" w:color="auto" w:fill="auto"/>
            <w:vAlign w:val="center"/>
          </w:tcPr>
          <w:p>
            <w:pPr>
              <w:jc w:val="center"/>
              <w:rPr>
                <w:color w:val="000000"/>
                <w:szCs w:val="21"/>
              </w:rPr>
            </w:pPr>
            <w:r>
              <w:rPr>
                <w:color w:val="000000"/>
                <w:szCs w:val="21"/>
              </w:rPr>
              <w:t>511.49</w:t>
            </w:r>
          </w:p>
        </w:tc>
        <w:tc>
          <w:tcPr>
            <w:tcW w:w="396" w:type="pct"/>
            <w:shd w:val="clear" w:color="auto" w:fill="auto"/>
            <w:vAlign w:val="center"/>
          </w:tcPr>
          <w:p>
            <w:pPr>
              <w:jc w:val="center"/>
              <w:rPr>
                <w:color w:val="000000"/>
                <w:szCs w:val="21"/>
              </w:rPr>
            </w:pPr>
            <w:r>
              <w:rPr>
                <w:color w:val="000000"/>
                <w:szCs w:val="21"/>
              </w:rPr>
              <w:t>白毛坪</w:t>
            </w:r>
            <w:r>
              <w:rPr>
                <w:strike/>
                <w:color w:val="000000"/>
                <w:szCs w:val="21"/>
              </w:rPr>
              <w:t>乡</w:t>
            </w:r>
            <w:r>
              <w:rPr>
                <w:color w:val="000000"/>
                <w:szCs w:val="21"/>
              </w:rPr>
              <w:t>镇\兰蓉乡</w:t>
            </w:r>
          </w:p>
        </w:tc>
        <w:tc>
          <w:tcPr>
            <w:tcW w:w="573" w:type="pct"/>
            <w:shd w:val="clear" w:color="auto" w:fill="auto"/>
            <w:vAlign w:val="center"/>
          </w:tcPr>
          <w:p>
            <w:pPr>
              <w:jc w:val="left"/>
              <w:rPr>
                <w:color w:val="000000"/>
                <w:szCs w:val="21"/>
              </w:rPr>
            </w:pPr>
            <w:r>
              <w:rPr>
                <w:b/>
                <w:bCs/>
                <w:color w:val="000000"/>
                <w:sz w:val="22"/>
              </w:rPr>
              <w:t>白毛坪镇</w:t>
            </w:r>
            <w:r>
              <w:rPr>
                <w:color w:val="000000"/>
                <w:szCs w:val="21"/>
              </w:rPr>
              <w:t>：重点生态功能区；</w:t>
            </w:r>
          </w:p>
          <w:p>
            <w:pPr>
              <w:jc w:val="left"/>
              <w:rPr>
                <w:color w:val="000000"/>
                <w:szCs w:val="21"/>
              </w:rPr>
            </w:pPr>
            <w:r>
              <w:rPr>
                <w:b/>
                <w:bCs/>
                <w:color w:val="000000"/>
                <w:sz w:val="22"/>
              </w:rPr>
              <w:t>兰蓉乡：</w:t>
            </w:r>
            <w:r>
              <w:rPr>
                <w:color w:val="000000"/>
                <w:szCs w:val="21"/>
              </w:rPr>
              <w:t>重点生态功能区</w:t>
            </w:r>
          </w:p>
        </w:tc>
        <w:tc>
          <w:tcPr>
            <w:tcW w:w="928" w:type="pct"/>
            <w:gridSpan w:val="2"/>
            <w:shd w:val="clear" w:color="auto" w:fill="auto"/>
            <w:vAlign w:val="center"/>
          </w:tcPr>
          <w:p>
            <w:pPr>
              <w:widowControl/>
              <w:rPr>
                <w:color w:val="000000"/>
                <w:kern w:val="0"/>
                <w:szCs w:val="21"/>
              </w:rPr>
            </w:pPr>
            <w:r>
              <w:rPr>
                <w:b/>
                <w:bCs/>
                <w:color w:val="000000"/>
                <w:sz w:val="22"/>
              </w:rPr>
              <w:t>白毛坪镇</w:t>
            </w:r>
            <w:r>
              <w:rPr>
                <w:color w:val="000000"/>
                <w:szCs w:val="21"/>
              </w:rPr>
              <w:t>：</w:t>
            </w:r>
            <w:r>
              <w:rPr>
                <w:color w:val="000000"/>
                <w:kern w:val="0"/>
                <w:szCs w:val="21"/>
              </w:rPr>
              <w:t>农业种植、茶业、中药材种植、旅游等；</w:t>
            </w:r>
          </w:p>
          <w:p>
            <w:pPr>
              <w:widowControl/>
              <w:rPr>
                <w:color w:val="000000"/>
                <w:kern w:val="0"/>
                <w:szCs w:val="21"/>
              </w:rPr>
            </w:pPr>
            <w:r>
              <w:rPr>
                <w:b/>
                <w:bCs/>
                <w:color w:val="000000"/>
                <w:sz w:val="22"/>
              </w:rPr>
              <w:t>兰蓉乡：</w:t>
            </w:r>
            <w:r>
              <w:rPr>
                <w:color w:val="000000"/>
                <w:kern w:val="0"/>
                <w:szCs w:val="21"/>
              </w:rPr>
              <w:t>农业种植、农贸业等。</w:t>
            </w:r>
          </w:p>
        </w:tc>
        <w:tc>
          <w:tcPr>
            <w:tcW w:w="911" w:type="pct"/>
            <w:shd w:val="clear" w:color="auto" w:fill="auto"/>
            <w:vAlign w:val="center"/>
          </w:tcPr>
          <w:p>
            <w:pPr>
              <w:widowControl/>
              <w:jc w:val="left"/>
              <w:rPr>
                <w:b/>
                <w:bCs/>
                <w:color w:val="000000"/>
                <w:kern w:val="0"/>
                <w:szCs w:val="21"/>
              </w:rPr>
            </w:pPr>
            <w:r>
              <w:rPr>
                <w:b/>
                <w:bCs/>
                <w:color w:val="000000"/>
                <w:kern w:val="0"/>
                <w:szCs w:val="21"/>
              </w:rPr>
              <w:t>主要环境问题：</w:t>
            </w:r>
          </w:p>
          <w:p>
            <w:pPr>
              <w:widowControl/>
              <w:numPr>
                <w:ilvl w:val="0"/>
                <w:numId w:val="51"/>
              </w:numPr>
              <w:jc w:val="left"/>
              <w:rPr>
                <w:color w:val="000000"/>
                <w:kern w:val="0"/>
                <w:szCs w:val="21"/>
              </w:rPr>
            </w:pPr>
            <w:r>
              <w:rPr>
                <w:color w:val="000000"/>
                <w:kern w:val="0"/>
                <w:szCs w:val="21"/>
              </w:rPr>
              <w:t>城镇污水管网等基础设施不完善；</w:t>
            </w:r>
          </w:p>
          <w:p>
            <w:pPr>
              <w:widowControl/>
              <w:numPr>
                <w:ilvl w:val="0"/>
                <w:numId w:val="51"/>
              </w:numPr>
              <w:jc w:val="left"/>
              <w:rPr>
                <w:color w:val="000000"/>
                <w:kern w:val="0"/>
                <w:szCs w:val="21"/>
              </w:rPr>
            </w:pPr>
            <w:r>
              <w:rPr>
                <w:color w:val="000000"/>
                <w:kern w:val="0"/>
                <w:szCs w:val="21"/>
              </w:rPr>
              <w:t>部分企业废气、废水污染防治设施不完善。</w:t>
            </w:r>
          </w:p>
          <w:p>
            <w:pPr>
              <w:widowControl/>
              <w:jc w:val="left"/>
              <w:rPr>
                <w:color w:val="000000"/>
                <w:kern w:val="0"/>
                <w:szCs w:val="21"/>
              </w:rPr>
            </w:pPr>
            <w:r>
              <w:rPr>
                <w:b/>
                <w:bCs/>
                <w:color w:val="000000"/>
                <w:kern w:val="0"/>
                <w:szCs w:val="21"/>
              </w:rPr>
              <w:t>重要敏感目标：</w:t>
            </w:r>
            <w:r>
              <w:rPr>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jc w:val="center"/>
        </w:trPr>
        <w:tc>
          <w:tcPr>
            <w:tcW w:w="590" w:type="pct"/>
            <w:shd w:val="clear" w:color="auto" w:fill="auto"/>
            <w:vAlign w:val="center"/>
          </w:tcPr>
          <w:p>
            <w:pPr>
              <w:widowControl/>
              <w:jc w:val="center"/>
              <w:rPr>
                <w:b/>
                <w:color w:val="000000"/>
                <w:kern w:val="0"/>
                <w:szCs w:val="21"/>
              </w:rPr>
            </w:pPr>
            <w:r>
              <w:rPr>
                <w:b/>
                <w:color w:val="000000"/>
                <w:kern w:val="0"/>
                <w:szCs w:val="21"/>
              </w:rPr>
              <w:t>主要属性</w:t>
            </w:r>
          </w:p>
        </w:tc>
        <w:tc>
          <w:tcPr>
            <w:tcW w:w="4409" w:type="pct"/>
            <w:gridSpan w:val="11"/>
            <w:shd w:val="clear" w:color="auto" w:fill="auto"/>
            <w:vAlign w:val="center"/>
          </w:tcPr>
          <w:p>
            <w:pPr>
              <w:rPr>
                <w:color w:val="000000"/>
                <w:szCs w:val="21"/>
              </w:rPr>
            </w:pPr>
            <w:r>
              <w:rPr>
                <w:b/>
                <w:bCs/>
                <w:color w:val="000000"/>
                <w:sz w:val="22"/>
              </w:rPr>
              <w:t>白毛坪镇</w:t>
            </w:r>
            <w:r>
              <w:rPr>
                <w:color w:val="000000"/>
                <w:szCs w:val="21"/>
              </w:rPr>
              <w:t>：</w:t>
            </w:r>
          </w:p>
          <w:p>
            <w:pPr>
              <w:numPr>
                <w:ilvl w:val="0"/>
                <w:numId w:val="52"/>
              </w:numPr>
              <w:rPr>
                <w:color w:val="000000"/>
                <w:szCs w:val="21"/>
              </w:rPr>
            </w:pPr>
            <w:r>
              <w:rPr>
                <w:color w:val="000000"/>
                <w:szCs w:val="21"/>
              </w:rPr>
              <w:t>红线/一般生态空间/南山国家公园\水源涵养重要区\三区三线生态红线\生物多样性保护功能重要区\原生态红线\水土流失敏感区\水土保持功能重要区\石漠化敏感区；</w:t>
            </w:r>
          </w:p>
          <w:p>
            <w:pPr>
              <w:numPr>
                <w:ilvl w:val="0"/>
                <w:numId w:val="52"/>
              </w:numPr>
              <w:rPr>
                <w:color w:val="000000"/>
                <w:szCs w:val="21"/>
              </w:rPr>
            </w:pPr>
            <w:r>
              <w:rPr>
                <w:color w:val="000000"/>
                <w:szCs w:val="21"/>
              </w:rPr>
              <w:t>水环境优先保护区/水环境其他重点管控区/水环境一般管控区/源头水/水源地（县级及以上）/重金属矿/巫水源头水域（风雨殿）（汇水）/邵阳市城步苗族自治县白云水库饮用水水源保护区/城步县清源锰矿五福山锰矿区/城步苗族自治县小寨锰矿、城步苗族自治县裕兴架山锰矿、城步苗族自治县清源锰矿铁道界矿区；</w:t>
            </w:r>
          </w:p>
          <w:p>
            <w:pPr>
              <w:numPr>
                <w:ilvl w:val="0"/>
                <w:numId w:val="52"/>
              </w:numPr>
              <w:rPr>
                <w:color w:val="000000"/>
                <w:szCs w:val="21"/>
              </w:rPr>
            </w:pPr>
            <w:r>
              <w:rPr>
                <w:color w:val="000000"/>
                <w:szCs w:val="21"/>
              </w:rPr>
              <w:t>大气环境优先保护区/大气环境受体敏感重点管控区；南山国家公园；</w:t>
            </w:r>
          </w:p>
          <w:p>
            <w:pPr>
              <w:numPr>
                <w:ilvl w:val="0"/>
                <w:numId w:val="52"/>
              </w:numPr>
              <w:rPr>
                <w:color w:val="000000"/>
                <w:szCs w:val="21"/>
              </w:rPr>
            </w:pPr>
            <w:r>
              <w:rPr>
                <w:color w:val="000000"/>
                <w:szCs w:val="21"/>
              </w:rPr>
              <w:t>农用地优先保护区/建设用地重点管控区/其他重点管控区/一般管控区；矿区/中高风险企业用地；</w:t>
            </w:r>
          </w:p>
          <w:p>
            <w:pPr>
              <w:numPr>
                <w:ilvl w:val="0"/>
                <w:numId w:val="52"/>
              </w:numPr>
              <w:rPr>
                <w:color w:val="000000"/>
                <w:szCs w:val="21"/>
              </w:rPr>
            </w:pPr>
            <w:r>
              <w:rPr>
                <w:color w:val="000000"/>
                <w:szCs w:val="21"/>
              </w:rPr>
              <w:t>重点生态功能区</w:t>
            </w:r>
          </w:p>
          <w:p>
            <w:pPr>
              <w:rPr>
                <w:b/>
                <w:bCs/>
                <w:color w:val="000000"/>
                <w:sz w:val="22"/>
              </w:rPr>
            </w:pPr>
            <w:r>
              <w:rPr>
                <w:b/>
                <w:bCs/>
                <w:color w:val="000000"/>
                <w:sz w:val="22"/>
              </w:rPr>
              <w:t>兰蓉乡：</w:t>
            </w:r>
          </w:p>
          <w:p>
            <w:pPr>
              <w:numPr>
                <w:ilvl w:val="0"/>
                <w:numId w:val="53"/>
              </w:numPr>
              <w:rPr>
                <w:color w:val="000000"/>
                <w:szCs w:val="21"/>
              </w:rPr>
            </w:pPr>
            <w:r>
              <w:rPr>
                <w:color w:val="000000"/>
                <w:szCs w:val="21"/>
              </w:rPr>
              <w:t>红线/一般生态空间/水源涵养重要区\南山国家公园\三区三线生态红线\原生态红线\生物多样性保护功能重要区\水土流失敏感区\石漠化敏感区；</w:t>
            </w:r>
          </w:p>
          <w:p>
            <w:pPr>
              <w:numPr>
                <w:ilvl w:val="0"/>
                <w:numId w:val="53"/>
              </w:numPr>
              <w:rPr>
                <w:color w:val="000000"/>
                <w:szCs w:val="21"/>
              </w:rPr>
            </w:pPr>
            <w:r>
              <w:rPr>
                <w:color w:val="000000"/>
                <w:szCs w:val="21"/>
              </w:rPr>
              <w:t>水环境优先保护区/水环境其他重点管控区/水环境一般管控区/源头水/重金属矿/巫水源头水域（风雨殿）（汇水）/城步县兰蓉乡报木坪锰矿有限公司报木坪锰矿；</w:t>
            </w:r>
          </w:p>
          <w:p>
            <w:pPr>
              <w:numPr>
                <w:ilvl w:val="0"/>
                <w:numId w:val="53"/>
              </w:numPr>
              <w:rPr>
                <w:color w:val="000000"/>
                <w:szCs w:val="21"/>
              </w:rPr>
            </w:pPr>
            <w:r>
              <w:rPr>
                <w:color w:val="000000"/>
                <w:szCs w:val="21"/>
              </w:rPr>
              <w:t>大气环境优先保护区/南山国家公园、</w:t>
            </w:r>
          </w:p>
          <w:p>
            <w:pPr>
              <w:numPr>
                <w:ilvl w:val="0"/>
                <w:numId w:val="53"/>
              </w:numPr>
              <w:rPr>
                <w:color w:val="000000"/>
                <w:szCs w:val="21"/>
              </w:rPr>
            </w:pPr>
            <w:r>
              <w:rPr>
                <w:color w:val="000000"/>
                <w:szCs w:val="21"/>
              </w:rPr>
              <w:t>农用地优先保护区/其他重点管控区/一般管控区/矿区/</w:t>
            </w:r>
          </w:p>
          <w:p>
            <w:pPr>
              <w:numPr>
                <w:ilvl w:val="0"/>
                <w:numId w:val="53"/>
              </w:numPr>
              <w:rPr>
                <w:color w:val="000000"/>
                <w:szCs w:val="21"/>
              </w:rPr>
            </w:pPr>
            <w:r>
              <w:rPr>
                <w:color w:val="000000"/>
                <w:szCs w:val="21"/>
              </w:rPr>
              <w:t>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vAlign w:val="center"/>
          </w:tcPr>
          <w:p>
            <w:pPr>
              <w:widowControl/>
              <w:jc w:val="center"/>
              <w:rPr>
                <w:b/>
                <w:color w:val="000000"/>
                <w:szCs w:val="21"/>
              </w:rPr>
            </w:pPr>
            <w:r>
              <w:rPr>
                <w:b/>
                <w:color w:val="000000"/>
                <w:szCs w:val="21"/>
              </w:rPr>
              <w:t>管控维度</w:t>
            </w:r>
          </w:p>
        </w:tc>
        <w:tc>
          <w:tcPr>
            <w:tcW w:w="3194" w:type="pct"/>
            <w:gridSpan w:val="9"/>
            <w:shd w:val="clear" w:color="auto" w:fill="auto"/>
            <w:vAlign w:val="center"/>
          </w:tcPr>
          <w:p>
            <w:pPr>
              <w:jc w:val="center"/>
              <w:rPr>
                <w:b/>
                <w:color w:val="000000"/>
                <w:szCs w:val="21"/>
              </w:rPr>
            </w:pPr>
            <w:r>
              <w:rPr>
                <w:b/>
                <w:color w:val="000000"/>
                <w:kern w:val="0"/>
                <w:szCs w:val="21"/>
              </w:rPr>
              <w:t>管控要求</w:t>
            </w:r>
          </w:p>
        </w:tc>
        <w:tc>
          <w:tcPr>
            <w:tcW w:w="1214" w:type="pct"/>
            <w:gridSpan w:val="2"/>
            <w:shd w:val="clear" w:color="auto" w:fill="auto"/>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vAlign w:val="center"/>
          </w:tcPr>
          <w:p>
            <w:pPr>
              <w:widowControl/>
              <w:jc w:val="center"/>
              <w:rPr>
                <w:color w:val="000000"/>
                <w:szCs w:val="21"/>
              </w:rPr>
            </w:pPr>
            <w:r>
              <w:rPr>
                <w:color w:val="000000"/>
                <w:szCs w:val="21"/>
              </w:rPr>
              <w:t>空间布局约束</w:t>
            </w:r>
          </w:p>
        </w:tc>
        <w:tc>
          <w:tcPr>
            <w:tcW w:w="3194" w:type="pct"/>
            <w:gridSpan w:val="9"/>
            <w:shd w:val="clear" w:color="auto" w:fill="auto"/>
            <w:vAlign w:val="center"/>
          </w:tcPr>
          <w:p>
            <w:pPr>
              <w:widowControl/>
              <w:tabs>
                <w:tab w:val="left" w:pos="1021"/>
              </w:tabs>
              <w:jc w:val="left"/>
              <w:rPr>
                <w:color w:val="000000"/>
                <w:szCs w:val="21"/>
              </w:rPr>
            </w:pPr>
            <w:r>
              <w:rPr>
                <w:color w:val="000000"/>
                <w:szCs w:val="21"/>
              </w:rPr>
              <w:t>（1.1）在生态红线区域内，禁止城镇化、工业化活动和矿产资源开发，确保生态功能不降低。</w:t>
            </w:r>
          </w:p>
          <w:p>
            <w:pPr>
              <w:widowControl/>
              <w:tabs>
                <w:tab w:val="left" w:pos="1021"/>
              </w:tabs>
              <w:jc w:val="left"/>
              <w:rPr>
                <w:color w:val="000000"/>
                <w:szCs w:val="21"/>
              </w:rPr>
            </w:pPr>
            <w:r>
              <w:rPr>
                <w:color w:val="000000"/>
                <w:szCs w:val="21"/>
              </w:rPr>
              <w:t>（1.2）湿地公园、饮用水源地等各类保护区划定为普通建筑材料用砂石土矿禁止开采区。</w:t>
            </w:r>
          </w:p>
          <w:p>
            <w:pPr>
              <w:widowControl/>
              <w:tabs>
                <w:tab w:val="left" w:pos="1021"/>
              </w:tabs>
              <w:jc w:val="left"/>
              <w:rPr>
                <w:color w:val="000000"/>
                <w:szCs w:val="21"/>
              </w:rPr>
            </w:pPr>
            <w:r>
              <w:rPr>
                <w:color w:val="000000"/>
                <w:szCs w:val="21"/>
              </w:rPr>
              <w:t>（1.3）严防矿产资源开发污染土壤，加强涉重金属行业污染防控，规范工业废物处理处置活动，新建建筑垃圾、渣土消纳场。</w:t>
            </w:r>
          </w:p>
          <w:p>
            <w:pPr>
              <w:widowControl/>
              <w:tabs>
                <w:tab w:val="left" w:pos="1021"/>
              </w:tabs>
              <w:jc w:val="left"/>
            </w:pPr>
            <w:r>
              <w:rPr>
                <w:color w:val="000000"/>
                <w:szCs w:val="21"/>
              </w:rPr>
              <w:t>（1.4）在科学规划利用土地的基础上，合理地布设梯田、坝库、林草以及其他防护工程等治理措施，有效地控制水土流失。推动工程、林草、治坡、治沟等各项措施紧密结合、协调发展。</w:t>
            </w:r>
          </w:p>
        </w:tc>
        <w:tc>
          <w:tcPr>
            <w:tcW w:w="1214" w:type="pct"/>
            <w:gridSpan w:val="2"/>
            <w:vMerge w:val="restart"/>
            <w:shd w:val="clear" w:color="auto" w:fill="auto"/>
          </w:tcPr>
          <w:p>
            <w:pPr>
              <w:widowControl/>
              <w:tabs>
                <w:tab w:val="left" w:pos="1021"/>
              </w:tabs>
              <w:jc w:val="left"/>
              <w:rPr>
                <w:color w:val="000000"/>
                <w:szCs w:val="21"/>
              </w:rPr>
            </w:pPr>
            <w:r>
              <w:rPr>
                <w:color w:val="000000"/>
                <w:szCs w:val="21"/>
              </w:rPr>
              <w:t>（1.1）（1.</w:t>
            </w:r>
            <w:r>
              <w:rPr>
                <w:rFonts w:hint="eastAsia"/>
                <w:color w:val="000000"/>
                <w:szCs w:val="21"/>
                <w:lang w:val="en-US" w:eastAsia="zh-CN"/>
              </w:rPr>
              <w:t>3</w:t>
            </w:r>
            <w:r>
              <w:rPr>
                <w:color w:val="000000"/>
                <w:szCs w:val="21"/>
              </w:rPr>
              <w:t>）（1.4）（2.1.1）（2.1.2）（2.1.3）（2.3.2）（2.3.3）（4.1）（4.2.2）《城步苗族自治县国民经济和社会发展第十四个五年规划和二O三五年远景目标纲要》</w:t>
            </w:r>
          </w:p>
          <w:p>
            <w:pPr>
              <w:widowControl/>
              <w:numPr>
                <w:ilvl w:val="1"/>
                <w:numId w:val="0"/>
              </w:numPr>
              <w:jc w:val="left"/>
              <w:rPr>
                <w:color w:val="000000"/>
                <w:szCs w:val="21"/>
              </w:rPr>
            </w:pPr>
            <w:r>
              <w:rPr>
                <w:color w:val="000000"/>
                <w:szCs w:val="21"/>
              </w:rPr>
              <w:t>（1.</w:t>
            </w:r>
            <w:r>
              <w:rPr>
                <w:rFonts w:hint="eastAsia"/>
                <w:color w:val="000000"/>
                <w:szCs w:val="21"/>
                <w:lang w:val="en-US" w:eastAsia="zh-CN"/>
              </w:rPr>
              <w:t>2</w:t>
            </w:r>
            <w:r>
              <w:rPr>
                <w:color w:val="000000"/>
                <w:szCs w:val="21"/>
              </w:rPr>
              <w:t>）（4.3）《城步苗族自治县国土空间总体规划（2021</w:t>
            </w:r>
            <w:r>
              <w:rPr>
                <w:rFonts w:hint="eastAsia"/>
                <w:color w:val="000000"/>
                <w:szCs w:val="21"/>
              </w:rPr>
              <w:t>—</w:t>
            </w:r>
            <w:r>
              <w:rPr>
                <w:color w:val="000000"/>
                <w:szCs w:val="21"/>
              </w:rPr>
              <w:t>2035年）》</w:t>
            </w:r>
          </w:p>
          <w:p>
            <w:pPr>
              <w:widowControl/>
              <w:jc w:val="left"/>
              <w:rPr>
                <w:color w:val="000000"/>
                <w:szCs w:val="21"/>
              </w:rPr>
            </w:pPr>
            <w:r>
              <w:rPr>
                <w:color w:val="000000"/>
                <w:szCs w:val="21"/>
              </w:rPr>
              <w:t>（2.2）（2.3.1）（3.1）（3.2）（3.3）《2023年城步苗族自治县深入打好污染防治攻坚战工作方案》</w:t>
            </w:r>
          </w:p>
          <w:p>
            <w:pPr>
              <w:widowControl/>
              <w:tabs>
                <w:tab w:val="left" w:pos="1021"/>
              </w:tabs>
              <w:rPr>
                <w:color w:val="000000"/>
                <w:szCs w:val="21"/>
              </w:rPr>
            </w:pPr>
            <w:r>
              <w:rPr>
                <w:color w:val="000000"/>
                <w:szCs w:val="21"/>
              </w:rPr>
              <w:t>（4.2.1）《邵阳市“十四五”用水总量和强度双控目标》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vAlign w:val="center"/>
          </w:tcPr>
          <w:p>
            <w:pPr>
              <w:widowControl/>
              <w:jc w:val="center"/>
              <w:rPr>
                <w:color w:val="000000"/>
                <w:szCs w:val="21"/>
              </w:rPr>
            </w:pPr>
            <w:r>
              <w:rPr>
                <w:color w:val="000000"/>
                <w:szCs w:val="21"/>
              </w:rPr>
              <w:t>污染物排放管控</w:t>
            </w:r>
          </w:p>
        </w:tc>
        <w:tc>
          <w:tcPr>
            <w:tcW w:w="3194" w:type="pct"/>
            <w:gridSpan w:val="9"/>
            <w:shd w:val="clear" w:color="auto" w:fill="auto"/>
            <w:vAlign w:val="center"/>
          </w:tcPr>
          <w:p>
            <w:pPr>
              <w:widowControl/>
              <w:tabs>
                <w:tab w:val="left" w:pos="1021"/>
              </w:tabs>
              <w:jc w:val="left"/>
              <w:rPr>
                <w:color w:val="000000"/>
                <w:szCs w:val="21"/>
              </w:rPr>
            </w:pPr>
            <w:r>
              <w:rPr>
                <w:color w:val="000000"/>
                <w:szCs w:val="21"/>
              </w:rPr>
              <w:t>（2.1）废水：</w:t>
            </w:r>
          </w:p>
          <w:p>
            <w:pPr>
              <w:widowControl/>
              <w:tabs>
                <w:tab w:val="left" w:pos="1021"/>
              </w:tabs>
              <w:jc w:val="left"/>
              <w:rPr>
                <w:color w:val="000000"/>
                <w:szCs w:val="21"/>
              </w:rPr>
            </w:pPr>
            <w:r>
              <w:rPr>
                <w:color w:val="000000"/>
                <w:szCs w:val="21"/>
              </w:rPr>
              <w:t>（2.1.1）完善县城和重点乡镇污水管网等基础设施，完成乡镇污水处理厂。</w:t>
            </w:r>
          </w:p>
          <w:p>
            <w:pPr>
              <w:widowControl/>
              <w:tabs>
                <w:tab w:val="left" w:pos="1021"/>
              </w:tabs>
              <w:jc w:val="left"/>
              <w:rPr>
                <w:color w:val="000000"/>
                <w:szCs w:val="21"/>
              </w:rPr>
            </w:pPr>
            <w:r>
              <w:rPr>
                <w:color w:val="000000"/>
                <w:szCs w:val="21"/>
              </w:rPr>
              <w:t>（2.1.2）强化涉水工业企业监管，降低水耗，减少废水排放量，确保企业水污染防治设施规范运行。</w:t>
            </w:r>
          </w:p>
          <w:p>
            <w:pPr>
              <w:widowControl/>
              <w:tabs>
                <w:tab w:val="left" w:pos="1021"/>
              </w:tabs>
              <w:jc w:val="left"/>
              <w:rPr>
                <w:color w:val="000000"/>
                <w:szCs w:val="21"/>
              </w:rPr>
            </w:pPr>
            <w:r>
              <w:rPr>
                <w:color w:val="000000"/>
                <w:szCs w:val="21"/>
              </w:rPr>
              <w:t>（2.1.3）加快补齐农村环境短板，推进生活污水治理，探索推行城镇污水管网向周边村庄延伸覆盖，消除黑臭水体，加强农村水源地保护。</w:t>
            </w:r>
          </w:p>
          <w:p>
            <w:pPr>
              <w:widowControl/>
              <w:tabs>
                <w:tab w:val="left" w:pos="1021"/>
              </w:tabs>
              <w:jc w:val="left"/>
              <w:rPr>
                <w:color w:val="000000"/>
                <w:szCs w:val="21"/>
              </w:rPr>
            </w:pPr>
            <w:r>
              <w:rPr>
                <w:color w:val="000000"/>
                <w:szCs w:val="21"/>
              </w:rPr>
              <w:t>（2.2）废气：落实《湖南省大气污染防治攻坚行动工作方案》，坚持源头防控、系统治理，在水泥、砖瓦、工业涂装等重点行业，柴油货车、露天焚烧秸秆、餐饮油烟、城市扬尘等重点领域，开展“守护蓝天”行动，</w:t>
            </w:r>
            <w:r>
              <w:rPr>
                <w:color w:val="000000"/>
                <w:szCs w:val="21"/>
                <w:lang w:val="zh-CN"/>
              </w:rPr>
              <w:t>严格落实各项攻坚措施</w:t>
            </w:r>
            <w:r>
              <w:rPr>
                <w:color w:val="000000"/>
                <w:szCs w:val="21"/>
              </w:rPr>
              <w:t>。</w:t>
            </w:r>
          </w:p>
          <w:p>
            <w:pPr>
              <w:widowControl/>
              <w:tabs>
                <w:tab w:val="left" w:pos="1021"/>
              </w:tabs>
              <w:jc w:val="left"/>
              <w:rPr>
                <w:color w:val="000000"/>
                <w:szCs w:val="21"/>
              </w:rPr>
            </w:pPr>
            <w:r>
              <w:rPr>
                <w:color w:val="000000"/>
                <w:szCs w:val="21"/>
              </w:rPr>
              <w:t>（2.3）固体废物：</w:t>
            </w:r>
          </w:p>
          <w:p>
            <w:pPr>
              <w:widowControl/>
              <w:tabs>
                <w:tab w:val="left" w:pos="1021"/>
              </w:tabs>
              <w:jc w:val="left"/>
              <w:rPr>
                <w:color w:val="000000"/>
                <w:szCs w:val="21"/>
              </w:rPr>
            </w:pPr>
            <w:r>
              <w:rPr>
                <w:color w:val="000000"/>
                <w:szCs w:val="21"/>
              </w:rPr>
              <w:t>（2.3.1）全面排查整治涉镉等重金属矿区历史遗留固体废物。</w:t>
            </w:r>
          </w:p>
          <w:p>
            <w:pPr>
              <w:widowControl/>
              <w:tabs>
                <w:tab w:val="left" w:pos="1021"/>
              </w:tabs>
              <w:jc w:val="left"/>
              <w:rPr>
                <w:color w:val="000000"/>
                <w:szCs w:val="21"/>
              </w:rPr>
            </w:pPr>
            <w:r>
              <w:rPr>
                <w:color w:val="000000"/>
                <w:szCs w:val="21"/>
              </w:rPr>
              <w:t>（2.3.2）推进生活垃圾治理，建立生活垃圾收运处理体系，探索推行垃圾就地分类和资源化利用，开展非正规垃圾堆放点排查整治。</w:t>
            </w:r>
          </w:p>
          <w:p>
            <w:pPr>
              <w:widowControl/>
              <w:tabs>
                <w:tab w:val="left" w:pos="1021"/>
              </w:tabs>
              <w:jc w:val="left"/>
              <w:rPr>
                <w:color w:val="000000"/>
                <w:szCs w:val="21"/>
              </w:rPr>
            </w:pPr>
            <w:r>
              <w:rPr>
                <w:color w:val="000000"/>
                <w:szCs w:val="21"/>
              </w:rPr>
              <w:t>（2.3.3）推进“厕所革命”和畜禽养殖粪污资源化利用，探索厕所、畜禽粪污无害化处理和资源利用。</w:t>
            </w:r>
          </w:p>
        </w:tc>
        <w:tc>
          <w:tcPr>
            <w:tcW w:w="1214" w:type="pct"/>
            <w:gridSpan w:val="2"/>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vAlign w:val="center"/>
          </w:tcPr>
          <w:p>
            <w:pPr>
              <w:widowControl/>
              <w:jc w:val="center"/>
              <w:rPr>
                <w:color w:val="000000"/>
                <w:szCs w:val="21"/>
              </w:rPr>
            </w:pPr>
            <w:r>
              <w:rPr>
                <w:color w:val="000000"/>
                <w:szCs w:val="21"/>
              </w:rPr>
              <w:t>环境风险防控</w:t>
            </w:r>
          </w:p>
        </w:tc>
        <w:tc>
          <w:tcPr>
            <w:tcW w:w="3194" w:type="pct"/>
            <w:gridSpan w:val="9"/>
            <w:shd w:val="clear" w:color="auto" w:fill="auto"/>
            <w:vAlign w:val="center"/>
          </w:tcPr>
          <w:p>
            <w:pPr>
              <w:tabs>
                <w:tab w:val="left" w:pos="1021"/>
              </w:tabs>
              <w:rPr>
                <w:color w:val="000000"/>
                <w:szCs w:val="21"/>
              </w:rPr>
            </w:pPr>
            <w:r>
              <w:rPr>
                <w:color w:val="000000"/>
                <w:szCs w:val="21"/>
              </w:rPr>
              <w:t>（3.1）持续开展危险废物规范化环境管理评估。</w:t>
            </w:r>
          </w:p>
          <w:p>
            <w:pPr>
              <w:tabs>
                <w:tab w:val="left" w:pos="1021"/>
              </w:tabs>
              <w:rPr>
                <w:color w:val="000000"/>
                <w:szCs w:val="21"/>
              </w:rPr>
            </w:pPr>
            <w:r>
              <w:rPr>
                <w:color w:val="000000"/>
                <w:szCs w:val="21"/>
              </w:rPr>
              <w:t>（3.2）扎实开展尾矿库污染治理“回头看”和历史遗留渣堆污染问题整治，逐步完善尾矿库预警监测体系。</w:t>
            </w:r>
          </w:p>
          <w:p>
            <w:pPr>
              <w:tabs>
                <w:tab w:val="left" w:pos="1021"/>
              </w:tabs>
              <w:rPr>
                <w:color w:val="000000"/>
                <w:szCs w:val="21"/>
              </w:rPr>
            </w:pPr>
            <w:r>
              <w:rPr>
                <w:color w:val="000000"/>
                <w:szCs w:val="21"/>
              </w:rPr>
              <w:t>（3.3）有效管控建设用地土壤污染风险，持续开展重点行业企业用地调查和典型行业周边土壤环境调查，进一步摸清污染地块底数和污染成因。严格土壤污染重点监管单位搬迁腾退用地土壤污染风险管控。</w:t>
            </w:r>
          </w:p>
        </w:tc>
        <w:tc>
          <w:tcPr>
            <w:tcW w:w="1214" w:type="pct"/>
            <w:gridSpan w:val="2"/>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vAlign w:val="center"/>
          </w:tcPr>
          <w:p>
            <w:pPr>
              <w:widowControl/>
              <w:jc w:val="center"/>
              <w:rPr>
                <w:color w:val="000000"/>
                <w:szCs w:val="21"/>
              </w:rPr>
            </w:pPr>
            <w:r>
              <w:rPr>
                <w:color w:val="000000"/>
                <w:szCs w:val="21"/>
              </w:rPr>
              <w:t>资源开发效率要求</w:t>
            </w:r>
          </w:p>
        </w:tc>
        <w:tc>
          <w:tcPr>
            <w:tcW w:w="3194" w:type="pct"/>
            <w:gridSpan w:val="9"/>
            <w:shd w:val="clear" w:color="auto" w:fill="auto"/>
            <w:vAlign w:val="center"/>
          </w:tcPr>
          <w:p>
            <w:pPr>
              <w:pStyle w:val="8"/>
              <w:widowControl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（4.1）能源：大力发展节能环保、清洁生产、清洁能源产业，全面推进清洁生产改造或清洁化改造。</w:t>
            </w:r>
          </w:p>
          <w:p>
            <w:pPr>
              <w:widowControl/>
              <w:tabs>
                <w:tab w:val="left" w:pos="1021"/>
              </w:tabs>
              <w:jc w:val="left"/>
              <w:rPr>
                <w:color w:val="000000"/>
                <w:szCs w:val="21"/>
              </w:rPr>
            </w:pPr>
            <w:r>
              <w:rPr>
                <w:color w:val="000000"/>
                <w:szCs w:val="21"/>
              </w:rPr>
              <w:t>（4.2）水资源：</w:t>
            </w:r>
          </w:p>
          <w:p>
            <w:pPr>
              <w:widowControl/>
              <w:tabs>
                <w:tab w:val="left" w:pos="1021"/>
              </w:tabs>
              <w:ind w:firstLine="420" w:firstLineChars="200"/>
              <w:jc w:val="left"/>
              <w:rPr>
                <w:color w:val="000000"/>
                <w:szCs w:val="21"/>
              </w:rPr>
            </w:pPr>
            <w:r>
              <w:rPr>
                <w:color w:val="000000"/>
                <w:szCs w:val="21"/>
              </w:rPr>
              <w:t>（4.2.1）到2025年城步苗族自治县用水总量为1.065亿m³；万元地区生产总值用水量比2020年下降20.98%；万元工业增加值用水量比2020年下降12.54%；农田灌溉用水有效利用系数为0.53。</w:t>
            </w:r>
          </w:p>
          <w:p>
            <w:pPr>
              <w:widowControl/>
              <w:tabs>
                <w:tab w:val="left" w:pos="1021"/>
              </w:tabs>
              <w:ind w:firstLine="420" w:firstLineChars="200"/>
              <w:jc w:val="left"/>
              <w:rPr>
                <w:color w:val="000000"/>
                <w:szCs w:val="21"/>
              </w:rPr>
            </w:pPr>
            <w:r>
              <w:rPr>
                <w:color w:val="000000"/>
                <w:szCs w:val="21"/>
              </w:rPr>
              <w:t>（4.2.2）推进城镇污水处理厂出水深度净化和资源化利用。</w:t>
            </w:r>
          </w:p>
          <w:p>
            <w:pPr>
              <w:widowControl/>
              <w:tabs>
                <w:tab w:val="left" w:pos="1021"/>
              </w:tabs>
              <w:jc w:val="left"/>
              <w:rPr>
                <w:color w:val="000000"/>
                <w:szCs w:val="21"/>
              </w:rPr>
            </w:pPr>
            <w:r>
              <w:rPr>
                <w:color w:val="000000"/>
                <w:szCs w:val="21"/>
              </w:rPr>
              <w:t>（4.3）土地资源：至2035年，划定生态保护红线面积105711.07公顷，落实林地保有量217805.00公顷，湿地面积164.08公顷。确保耕地保有量不低于17201.70公顷，永久基本农田保护面积13931.69公顷，控制建设用地总面积不高于7127.68公顷，城乡建设用地不高于6095.99公顷</w:t>
            </w:r>
          </w:p>
        </w:tc>
        <w:tc>
          <w:tcPr>
            <w:tcW w:w="1214" w:type="pct"/>
            <w:gridSpan w:val="2"/>
            <w:vMerge w:val="continue"/>
            <w:shd w:val="clear" w:color="auto" w:fill="auto"/>
            <w:vAlign w:val="center"/>
          </w:tcPr>
          <w:p/>
        </w:tc>
      </w:tr>
    </w:tbl>
    <w:p>
      <w:pPr>
        <w:pStyle w:val="14"/>
        <w:ind w:firstLine="0" w:firstLineChars="0"/>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425"/>
        <w:gridCol w:w="425"/>
        <w:gridCol w:w="709"/>
        <w:gridCol w:w="851"/>
        <w:gridCol w:w="992"/>
        <w:gridCol w:w="1276"/>
        <w:gridCol w:w="1726"/>
        <w:gridCol w:w="2191"/>
        <w:gridCol w:w="732"/>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jc w:val="center"/>
              <w:rPr>
                <w:b/>
                <w:color w:val="000000"/>
                <w:kern w:val="0"/>
                <w:szCs w:val="21"/>
              </w:rPr>
            </w:pPr>
            <w:r>
              <w:rPr>
                <w:b/>
                <w:color w:val="000000"/>
                <w:kern w:val="0"/>
                <w:szCs w:val="21"/>
              </w:rPr>
              <w:t>环境管控单元编码</w:t>
            </w:r>
          </w:p>
        </w:tc>
        <w:tc>
          <w:tcPr>
            <w:tcW w:w="851" w:type="dxa"/>
            <w:vMerge w:val="restart"/>
            <w:vAlign w:val="center"/>
          </w:tcPr>
          <w:p>
            <w:pPr>
              <w:widowControl/>
              <w:jc w:val="center"/>
              <w:rPr>
                <w:b/>
                <w:color w:val="000000"/>
                <w:kern w:val="0"/>
                <w:szCs w:val="21"/>
              </w:rPr>
            </w:pPr>
            <w:r>
              <w:rPr>
                <w:b/>
                <w:color w:val="000000"/>
                <w:kern w:val="0"/>
                <w:szCs w:val="21"/>
              </w:rPr>
              <w:t>单元名称</w:t>
            </w:r>
          </w:p>
        </w:tc>
        <w:tc>
          <w:tcPr>
            <w:tcW w:w="1559" w:type="dxa"/>
            <w:gridSpan w:val="3"/>
            <w:vAlign w:val="center"/>
          </w:tcPr>
          <w:p>
            <w:pPr>
              <w:widowControl/>
              <w:jc w:val="center"/>
              <w:rPr>
                <w:b/>
                <w:color w:val="000000"/>
                <w:kern w:val="0"/>
                <w:szCs w:val="21"/>
              </w:rPr>
            </w:pPr>
            <w:r>
              <w:rPr>
                <w:b/>
                <w:color w:val="000000"/>
                <w:kern w:val="0"/>
                <w:szCs w:val="21"/>
              </w:rPr>
              <w:t>行政区划</w:t>
            </w:r>
          </w:p>
        </w:tc>
        <w:tc>
          <w:tcPr>
            <w:tcW w:w="851" w:type="dxa"/>
            <w:vMerge w:val="restart"/>
            <w:vAlign w:val="center"/>
          </w:tcPr>
          <w:p>
            <w:pPr>
              <w:widowControl/>
              <w:jc w:val="center"/>
              <w:rPr>
                <w:b/>
                <w:color w:val="000000"/>
                <w:kern w:val="0"/>
                <w:szCs w:val="21"/>
              </w:rPr>
            </w:pPr>
            <w:r>
              <w:rPr>
                <w:b/>
                <w:color w:val="000000"/>
                <w:kern w:val="0"/>
                <w:szCs w:val="21"/>
              </w:rPr>
              <w:t>单元分类</w:t>
            </w:r>
          </w:p>
        </w:tc>
        <w:tc>
          <w:tcPr>
            <w:tcW w:w="992"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276" w:type="dxa"/>
            <w:vMerge w:val="restart"/>
            <w:vAlign w:val="center"/>
          </w:tcPr>
          <w:p>
            <w:pPr>
              <w:jc w:val="center"/>
              <w:rPr>
                <w:b/>
                <w:color w:val="000000"/>
                <w:kern w:val="0"/>
                <w:szCs w:val="21"/>
              </w:rPr>
            </w:pPr>
            <w:r>
              <w:rPr>
                <w:b/>
                <w:color w:val="000000"/>
                <w:kern w:val="0"/>
                <w:szCs w:val="21"/>
              </w:rPr>
              <w:t>涉及乡镇（街道）</w:t>
            </w:r>
          </w:p>
        </w:tc>
        <w:tc>
          <w:tcPr>
            <w:tcW w:w="1726" w:type="dxa"/>
            <w:vMerge w:val="restart"/>
            <w:vAlign w:val="center"/>
          </w:tcPr>
          <w:p>
            <w:pPr>
              <w:jc w:val="center"/>
              <w:rPr>
                <w:b/>
                <w:color w:val="000000"/>
                <w:kern w:val="0"/>
                <w:szCs w:val="21"/>
              </w:rPr>
            </w:pPr>
            <w:r>
              <w:rPr>
                <w:b/>
                <w:color w:val="000000"/>
                <w:kern w:val="0"/>
                <w:szCs w:val="21"/>
              </w:rPr>
              <w:t>主体功能定位</w:t>
            </w:r>
          </w:p>
        </w:tc>
        <w:tc>
          <w:tcPr>
            <w:tcW w:w="2923" w:type="dxa"/>
            <w:gridSpan w:val="2"/>
            <w:vMerge w:val="restart"/>
            <w:vAlign w:val="center"/>
          </w:tcPr>
          <w:p>
            <w:pPr>
              <w:jc w:val="center"/>
              <w:rPr>
                <w:b/>
                <w:color w:val="000000"/>
                <w:kern w:val="0"/>
                <w:szCs w:val="21"/>
              </w:rPr>
            </w:pPr>
            <w:r>
              <w:rPr>
                <w:b/>
                <w:color w:val="000000"/>
                <w:kern w:val="0"/>
                <w:szCs w:val="21"/>
              </w:rPr>
              <w:t>经济产业布局</w:t>
            </w:r>
          </w:p>
        </w:tc>
        <w:tc>
          <w:tcPr>
            <w:tcW w:w="2645" w:type="dxa"/>
            <w:vMerge w:val="restart"/>
            <w:vAlign w:val="center"/>
          </w:tcPr>
          <w:p>
            <w:pPr>
              <w:jc w:val="center"/>
              <w:rPr>
                <w:b/>
                <w:color w:val="000000"/>
                <w:kern w:val="0"/>
                <w:szCs w:val="21"/>
              </w:rPr>
            </w:pPr>
            <w:r>
              <w:rPr>
                <w:b/>
                <w:color w:val="000000"/>
                <w:kern w:val="0"/>
                <w:szCs w:val="21"/>
              </w:rPr>
              <w:t>主要环境问题</w:t>
            </w:r>
            <w:r>
              <w:rPr>
                <w:b/>
                <w:kern w:val="0"/>
                <w:szCs w:val="21"/>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vAlign w:val="center"/>
          </w:tcPr>
          <w:p/>
        </w:tc>
        <w:tc>
          <w:tcPr>
            <w:tcW w:w="851" w:type="dxa"/>
            <w:vMerge w:val="continue"/>
            <w:vAlign w:val="center"/>
          </w:tcPr>
          <w:p/>
        </w:tc>
        <w:tc>
          <w:tcPr>
            <w:tcW w:w="425" w:type="dxa"/>
            <w:vAlign w:val="center"/>
          </w:tcPr>
          <w:p>
            <w:pPr>
              <w:jc w:val="center"/>
              <w:rPr>
                <w:b/>
                <w:color w:val="000000"/>
                <w:szCs w:val="21"/>
              </w:rPr>
            </w:pPr>
            <w:r>
              <w:rPr>
                <w:b/>
                <w:color w:val="000000"/>
                <w:szCs w:val="21"/>
              </w:rPr>
              <w:t>省</w:t>
            </w:r>
          </w:p>
        </w:tc>
        <w:tc>
          <w:tcPr>
            <w:tcW w:w="425" w:type="dxa"/>
            <w:vAlign w:val="center"/>
          </w:tcPr>
          <w:p>
            <w:pPr>
              <w:jc w:val="center"/>
              <w:rPr>
                <w:b/>
                <w:color w:val="000000"/>
                <w:szCs w:val="21"/>
              </w:rPr>
            </w:pPr>
            <w:r>
              <w:rPr>
                <w:b/>
                <w:color w:val="000000"/>
                <w:szCs w:val="21"/>
              </w:rPr>
              <w:t>市</w:t>
            </w:r>
          </w:p>
        </w:tc>
        <w:tc>
          <w:tcPr>
            <w:tcW w:w="709" w:type="dxa"/>
            <w:vAlign w:val="center"/>
          </w:tcPr>
          <w:p>
            <w:pPr>
              <w:jc w:val="center"/>
              <w:rPr>
                <w:b/>
                <w:color w:val="000000"/>
                <w:szCs w:val="21"/>
              </w:rPr>
            </w:pPr>
            <w:r>
              <w:rPr>
                <w:b/>
                <w:color w:val="000000"/>
                <w:szCs w:val="21"/>
              </w:rPr>
              <w:t>县</w:t>
            </w:r>
          </w:p>
        </w:tc>
        <w:tc>
          <w:tcPr>
            <w:tcW w:w="851" w:type="dxa"/>
            <w:vMerge w:val="continue"/>
            <w:vAlign w:val="center"/>
          </w:tcPr>
          <w:p/>
        </w:tc>
        <w:tc>
          <w:tcPr>
            <w:tcW w:w="992" w:type="dxa"/>
            <w:vMerge w:val="continue"/>
            <w:vAlign w:val="center"/>
          </w:tcPr>
          <w:p/>
        </w:tc>
        <w:tc>
          <w:tcPr>
            <w:tcW w:w="1276" w:type="dxa"/>
            <w:vMerge w:val="continue"/>
            <w:vAlign w:val="center"/>
          </w:tcPr>
          <w:p/>
        </w:tc>
        <w:tc>
          <w:tcPr>
            <w:tcW w:w="1726" w:type="dxa"/>
            <w:vMerge w:val="continue"/>
            <w:vAlign w:val="center"/>
          </w:tcPr>
          <w:p/>
        </w:tc>
        <w:tc>
          <w:tcPr>
            <w:tcW w:w="2923" w:type="dxa"/>
            <w:gridSpan w:val="2"/>
            <w:vMerge w:val="continue"/>
            <w:vAlign w:val="center"/>
          </w:tcPr>
          <w:p/>
        </w:tc>
        <w:tc>
          <w:tcPr>
            <w:tcW w:w="264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1134" w:type="dxa"/>
            <w:vAlign w:val="center"/>
          </w:tcPr>
          <w:p>
            <w:pPr>
              <w:jc w:val="center"/>
              <w:rPr>
                <w:color w:val="000000"/>
                <w:szCs w:val="21"/>
              </w:rPr>
            </w:pPr>
            <w:r>
              <w:rPr>
                <w:color w:val="000000"/>
                <w:szCs w:val="21"/>
              </w:rPr>
              <w:t>ZH43052910005</w:t>
            </w:r>
          </w:p>
        </w:tc>
        <w:tc>
          <w:tcPr>
            <w:tcW w:w="851" w:type="dxa"/>
            <w:vAlign w:val="center"/>
          </w:tcPr>
          <w:p>
            <w:pPr>
              <w:jc w:val="center"/>
              <w:rPr>
                <w:color w:val="000000"/>
                <w:szCs w:val="21"/>
              </w:rPr>
            </w:pPr>
            <w:r>
              <w:rPr>
                <w:color w:val="000000"/>
                <w:szCs w:val="21"/>
              </w:rPr>
              <w:t>五团镇</w:t>
            </w:r>
          </w:p>
        </w:tc>
        <w:tc>
          <w:tcPr>
            <w:tcW w:w="425" w:type="dxa"/>
            <w:vAlign w:val="center"/>
          </w:tcPr>
          <w:p>
            <w:pPr>
              <w:jc w:val="center"/>
              <w:rPr>
                <w:color w:val="000000"/>
                <w:szCs w:val="21"/>
              </w:rPr>
            </w:pPr>
            <w:r>
              <w:rPr>
                <w:color w:val="000000"/>
                <w:szCs w:val="21"/>
              </w:rPr>
              <w:t>湖南省</w:t>
            </w:r>
          </w:p>
        </w:tc>
        <w:tc>
          <w:tcPr>
            <w:tcW w:w="425" w:type="dxa"/>
            <w:vAlign w:val="center"/>
          </w:tcPr>
          <w:p>
            <w:pPr>
              <w:jc w:val="center"/>
              <w:rPr>
                <w:color w:val="000000"/>
                <w:szCs w:val="21"/>
              </w:rPr>
            </w:pPr>
            <w:r>
              <w:rPr>
                <w:color w:val="000000"/>
                <w:szCs w:val="21"/>
              </w:rPr>
              <w:t>邵阳市</w:t>
            </w:r>
          </w:p>
        </w:tc>
        <w:tc>
          <w:tcPr>
            <w:tcW w:w="709" w:type="dxa"/>
            <w:vAlign w:val="center"/>
          </w:tcPr>
          <w:p>
            <w:pPr>
              <w:jc w:val="center"/>
              <w:rPr>
                <w:color w:val="000000"/>
                <w:szCs w:val="21"/>
              </w:rPr>
            </w:pPr>
            <w:r>
              <w:rPr>
                <w:color w:val="000000"/>
                <w:szCs w:val="21"/>
              </w:rPr>
              <w:t>城步苗族自治县</w:t>
            </w:r>
          </w:p>
        </w:tc>
        <w:tc>
          <w:tcPr>
            <w:tcW w:w="851" w:type="dxa"/>
            <w:vAlign w:val="center"/>
          </w:tcPr>
          <w:p>
            <w:pPr>
              <w:jc w:val="center"/>
              <w:rPr>
                <w:color w:val="000000"/>
                <w:szCs w:val="21"/>
              </w:rPr>
            </w:pPr>
            <w:r>
              <w:rPr>
                <w:color w:val="000000"/>
                <w:szCs w:val="21"/>
              </w:rPr>
              <w:t>优先保护单元</w:t>
            </w:r>
          </w:p>
        </w:tc>
        <w:tc>
          <w:tcPr>
            <w:tcW w:w="992" w:type="dxa"/>
            <w:vAlign w:val="center"/>
          </w:tcPr>
          <w:p>
            <w:pPr>
              <w:jc w:val="center"/>
              <w:rPr>
                <w:color w:val="000000"/>
                <w:szCs w:val="21"/>
              </w:rPr>
            </w:pPr>
            <w:r>
              <w:rPr>
                <w:color w:val="000000"/>
                <w:szCs w:val="21"/>
              </w:rPr>
              <w:t>196.03</w:t>
            </w:r>
          </w:p>
        </w:tc>
        <w:tc>
          <w:tcPr>
            <w:tcW w:w="1276" w:type="dxa"/>
            <w:vAlign w:val="center"/>
          </w:tcPr>
          <w:p>
            <w:pPr>
              <w:jc w:val="center"/>
              <w:rPr>
                <w:color w:val="000000"/>
                <w:szCs w:val="21"/>
              </w:rPr>
            </w:pPr>
            <w:r>
              <w:rPr>
                <w:color w:val="000000"/>
                <w:szCs w:val="21"/>
              </w:rPr>
              <w:t>五团镇</w:t>
            </w:r>
          </w:p>
        </w:tc>
        <w:tc>
          <w:tcPr>
            <w:tcW w:w="1726" w:type="dxa"/>
            <w:vAlign w:val="center"/>
          </w:tcPr>
          <w:p>
            <w:pPr>
              <w:pStyle w:val="3"/>
            </w:pPr>
            <w:r>
              <w:rPr>
                <w:color w:val="000000"/>
                <w:szCs w:val="21"/>
              </w:rPr>
              <w:t>重点生态功能区</w:t>
            </w:r>
          </w:p>
        </w:tc>
        <w:tc>
          <w:tcPr>
            <w:tcW w:w="2923" w:type="dxa"/>
            <w:gridSpan w:val="2"/>
            <w:vAlign w:val="center"/>
          </w:tcPr>
          <w:p>
            <w:pPr>
              <w:widowControl/>
              <w:jc w:val="left"/>
              <w:rPr>
                <w:color w:val="000000"/>
                <w:kern w:val="0"/>
                <w:szCs w:val="21"/>
              </w:rPr>
            </w:pPr>
            <w:r>
              <w:rPr>
                <w:color w:val="000000"/>
                <w:szCs w:val="21"/>
              </w:rPr>
              <w:t>农业种植、油茶产业、中药材种植、农产品加工、旅游业、边贸市场、水电开发、民族特色文化开发等。</w:t>
            </w:r>
          </w:p>
        </w:tc>
        <w:tc>
          <w:tcPr>
            <w:tcW w:w="2645" w:type="dxa"/>
            <w:vAlign w:val="center"/>
          </w:tcPr>
          <w:p>
            <w:pPr>
              <w:widowControl/>
              <w:jc w:val="left"/>
              <w:rPr>
                <w:b/>
                <w:bCs/>
                <w:color w:val="000000"/>
                <w:kern w:val="0"/>
                <w:szCs w:val="21"/>
              </w:rPr>
            </w:pPr>
            <w:r>
              <w:rPr>
                <w:b/>
                <w:bCs/>
                <w:color w:val="000000"/>
                <w:kern w:val="0"/>
                <w:szCs w:val="21"/>
              </w:rPr>
              <w:t>主要环境问题：</w:t>
            </w:r>
          </w:p>
          <w:p>
            <w:pPr>
              <w:widowControl/>
              <w:numPr>
                <w:ilvl w:val="0"/>
                <w:numId w:val="54"/>
              </w:numPr>
              <w:jc w:val="left"/>
              <w:rPr>
                <w:color w:val="000000"/>
                <w:kern w:val="0"/>
                <w:szCs w:val="21"/>
              </w:rPr>
            </w:pPr>
            <w:r>
              <w:rPr>
                <w:color w:val="000000"/>
                <w:kern w:val="0"/>
                <w:szCs w:val="21"/>
              </w:rPr>
              <w:t>城镇污水管网等基础设施不完善；</w:t>
            </w:r>
          </w:p>
          <w:p>
            <w:pPr>
              <w:widowControl/>
              <w:numPr>
                <w:ilvl w:val="0"/>
                <w:numId w:val="54"/>
              </w:numPr>
              <w:jc w:val="left"/>
              <w:rPr>
                <w:color w:val="000000"/>
                <w:kern w:val="0"/>
                <w:szCs w:val="21"/>
              </w:rPr>
            </w:pPr>
            <w:r>
              <w:rPr>
                <w:color w:val="000000"/>
                <w:kern w:val="0"/>
                <w:szCs w:val="21"/>
              </w:rPr>
              <w:t>部分企业废气、废水污染防治设施不完善。</w:t>
            </w:r>
          </w:p>
          <w:p>
            <w:pPr>
              <w:widowControl/>
              <w:jc w:val="left"/>
              <w:rPr>
                <w:b/>
                <w:bCs/>
                <w:color w:val="000000"/>
                <w:kern w:val="0"/>
                <w:szCs w:val="21"/>
              </w:rPr>
            </w:pPr>
            <w:r>
              <w:rPr>
                <w:b/>
                <w:bCs/>
                <w:color w:val="000000"/>
                <w:kern w:val="0"/>
                <w:szCs w:val="21"/>
              </w:rPr>
              <w:t>重要敏感目标：</w:t>
            </w:r>
          </w:p>
          <w:p>
            <w:pPr>
              <w:widowControl/>
              <w:jc w:val="left"/>
              <w:rPr>
                <w:color w:val="000000"/>
                <w:kern w:val="0"/>
                <w:szCs w:val="21"/>
              </w:rPr>
            </w:pPr>
            <w:r>
              <w:rPr>
                <w:color w:val="000000"/>
                <w:kern w:val="0"/>
                <w:szCs w:val="21"/>
              </w:rPr>
              <w:t>南山国家公园。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kern w:val="0"/>
                <w:szCs w:val="21"/>
              </w:rPr>
            </w:pPr>
            <w:r>
              <w:rPr>
                <w:b/>
                <w:color w:val="000000"/>
                <w:kern w:val="0"/>
                <w:szCs w:val="21"/>
              </w:rPr>
              <w:t>主要属性</w:t>
            </w:r>
          </w:p>
        </w:tc>
        <w:tc>
          <w:tcPr>
            <w:tcW w:w="12823" w:type="dxa"/>
            <w:gridSpan w:val="11"/>
            <w:vAlign w:val="center"/>
          </w:tcPr>
          <w:p>
            <w:pPr>
              <w:numPr>
                <w:ilvl w:val="0"/>
                <w:numId w:val="55"/>
              </w:numPr>
              <w:rPr>
                <w:color w:val="000000"/>
                <w:szCs w:val="21"/>
              </w:rPr>
            </w:pPr>
            <w:r>
              <w:rPr>
                <w:color w:val="000000"/>
                <w:szCs w:val="21"/>
              </w:rPr>
              <w:t>红线/一般生态空间/南山国家公园\水源涵养重要区\三区三线生态红线\原生态红线\生物多样性保护功能重要区\水土流失敏感区\石漠化敏感区；</w:t>
            </w:r>
          </w:p>
          <w:p>
            <w:pPr>
              <w:numPr>
                <w:ilvl w:val="0"/>
                <w:numId w:val="55"/>
              </w:numPr>
              <w:rPr>
                <w:color w:val="000000"/>
                <w:szCs w:val="21"/>
              </w:rPr>
            </w:pPr>
            <w:r>
              <w:rPr>
                <w:color w:val="000000"/>
                <w:szCs w:val="21"/>
              </w:rPr>
              <w:t>水环境其他重点管控区/水环境一般管控区；重金属矿；城步苗族自治县水口寨矿业有限公司；</w:t>
            </w:r>
          </w:p>
          <w:p>
            <w:pPr>
              <w:numPr>
                <w:ilvl w:val="0"/>
                <w:numId w:val="55"/>
              </w:numPr>
              <w:rPr>
                <w:color w:val="000000"/>
                <w:szCs w:val="21"/>
              </w:rPr>
            </w:pPr>
            <w:r>
              <w:rPr>
                <w:color w:val="000000"/>
                <w:szCs w:val="21"/>
              </w:rPr>
              <w:t>大气环境优先保护区/大气环境受体敏感重点管控区；南山国家公园；</w:t>
            </w:r>
          </w:p>
          <w:p>
            <w:pPr>
              <w:numPr>
                <w:ilvl w:val="0"/>
                <w:numId w:val="55"/>
              </w:numPr>
              <w:rPr>
                <w:color w:val="000000"/>
                <w:szCs w:val="21"/>
              </w:rPr>
            </w:pPr>
            <w:r>
              <w:rPr>
                <w:color w:val="000000"/>
                <w:szCs w:val="21"/>
              </w:rPr>
              <w:t>农用地优先保护区/建设用地重点管控区/其他重点管控区/一般管控区；矿区/中高风险企业用地；</w:t>
            </w:r>
          </w:p>
          <w:p>
            <w:pPr>
              <w:numPr>
                <w:ilvl w:val="0"/>
                <w:numId w:val="55"/>
              </w:numPr>
              <w:rPr>
                <w:color w:val="000000"/>
                <w:szCs w:val="21"/>
              </w:rPr>
            </w:pPr>
            <w:r>
              <w:rPr>
                <w:color w:val="000000"/>
                <w:szCs w:val="21"/>
              </w:rPr>
              <w:t>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b/>
                <w:color w:val="000000"/>
                <w:szCs w:val="21"/>
              </w:rPr>
            </w:pPr>
            <w:r>
              <w:rPr>
                <w:b/>
                <w:color w:val="000000"/>
                <w:szCs w:val="21"/>
              </w:rPr>
              <w:t>管控维度</w:t>
            </w:r>
          </w:p>
        </w:tc>
        <w:tc>
          <w:tcPr>
            <w:tcW w:w="9446" w:type="dxa"/>
            <w:gridSpan w:val="9"/>
            <w:vAlign w:val="center"/>
          </w:tcPr>
          <w:p>
            <w:pPr>
              <w:jc w:val="center"/>
              <w:rPr>
                <w:b/>
                <w:color w:val="000000"/>
                <w:szCs w:val="21"/>
              </w:rPr>
            </w:pPr>
            <w:r>
              <w:rPr>
                <w:b/>
                <w:color w:val="000000"/>
                <w:kern w:val="0"/>
                <w:szCs w:val="21"/>
              </w:rPr>
              <w:t>管控要求</w:t>
            </w:r>
          </w:p>
        </w:tc>
        <w:tc>
          <w:tcPr>
            <w:tcW w:w="3377"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空间布局约束</w:t>
            </w:r>
          </w:p>
        </w:tc>
        <w:tc>
          <w:tcPr>
            <w:tcW w:w="9446" w:type="dxa"/>
            <w:gridSpan w:val="9"/>
            <w:vAlign w:val="center"/>
          </w:tcPr>
          <w:p>
            <w:pPr>
              <w:widowControl/>
              <w:tabs>
                <w:tab w:val="left" w:pos="1021"/>
              </w:tabs>
              <w:jc w:val="left"/>
              <w:rPr>
                <w:color w:val="000000"/>
                <w:szCs w:val="21"/>
              </w:rPr>
            </w:pPr>
            <w:r>
              <w:rPr>
                <w:color w:val="000000"/>
                <w:szCs w:val="21"/>
              </w:rPr>
              <w:t>（1.1）优化县域产业布局，调整产业结构，提高环境准入门槛，严控两高项目，推行重点排气企业的清洁生产，实施排污权总量消减替代，完成减排目标。</w:t>
            </w:r>
          </w:p>
          <w:p>
            <w:pPr>
              <w:widowControl/>
              <w:tabs>
                <w:tab w:val="left" w:pos="1021"/>
              </w:tabs>
              <w:jc w:val="left"/>
              <w:rPr>
                <w:color w:val="000000"/>
                <w:szCs w:val="21"/>
              </w:rPr>
            </w:pPr>
            <w:r>
              <w:rPr>
                <w:color w:val="000000"/>
                <w:szCs w:val="21"/>
              </w:rPr>
              <w:t>（1.2）在生态红线区域内，禁止城镇化、工业化活动和矿产资源开发，确保生态功能不降低。</w:t>
            </w:r>
          </w:p>
          <w:p>
            <w:pPr>
              <w:widowControl/>
              <w:tabs>
                <w:tab w:val="left" w:pos="1021"/>
              </w:tabs>
              <w:jc w:val="left"/>
              <w:rPr>
                <w:color w:val="000000"/>
                <w:szCs w:val="21"/>
              </w:rPr>
            </w:pPr>
            <w:r>
              <w:rPr>
                <w:color w:val="000000"/>
                <w:szCs w:val="21"/>
              </w:rPr>
              <w:t>（1.3）湿地公园、饮用水源地等各类保护区划定为普通建筑材料用砂石土矿禁止开采区。</w:t>
            </w:r>
          </w:p>
          <w:p>
            <w:pPr>
              <w:widowControl/>
              <w:tabs>
                <w:tab w:val="left" w:pos="1021"/>
              </w:tabs>
              <w:jc w:val="left"/>
              <w:rPr>
                <w:color w:val="000000"/>
                <w:szCs w:val="21"/>
              </w:rPr>
            </w:pPr>
            <w:r>
              <w:rPr>
                <w:color w:val="000000"/>
                <w:szCs w:val="21"/>
              </w:rPr>
              <w:t>（1.4）严防矿产资源开发污染土壤，加强涉重金属行业污染防控，规范工业废物处理处置活动，新建建筑垃圾、渣土消纳场。</w:t>
            </w:r>
          </w:p>
          <w:p>
            <w:pPr>
              <w:pStyle w:val="3"/>
              <w:rPr>
                <w:color w:val="000000"/>
                <w:szCs w:val="21"/>
              </w:rPr>
            </w:pPr>
            <w:r>
              <w:rPr>
                <w:color w:val="000000"/>
                <w:szCs w:val="21"/>
              </w:rPr>
              <w:t>（1.5）严禁在禁燃区内新建、扩建燃用高污染燃料的设施，或者未按规定停止燃用高污染燃料，或者在城市集中供热管网覆盖地区新建、扩建分散燃煤供热锅炉，或者未按照规定拆除已建成的不能达标排放的燃煤供热锅炉。</w:t>
            </w:r>
          </w:p>
          <w:p>
            <w:pPr>
              <w:pStyle w:val="3"/>
              <w:rPr>
                <w:color w:val="000000"/>
                <w:szCs w:val="21"/>
              </w:rPr>
            </w:pPr>
            <w:r>
              <w:rPr>
                <w:color w:val="000000"/>
                <w:szCs w:val="21"/>
              </w:rPr>
              <w:t>（1.6）在科学规划利用土地的基础上，合理地布设梯田、坝库、林草以及其他防护工程等治理措施，有效地控制水土流失。推动工程、林草、治坡、治沟等各项措施紧密结合、协调发展。</w:t>
            </w:r>
          </w:p>
          <w:p>
            <w:pPr>
              <w:widowControl/>
              <w:tabs>
                <w:tab w:val="left" w:pos="1021"/>
              </w:tabs>
              <w:jc w:val="left"/>
              <w:rPr>
                <w:color w:val="000000"/>
                <w:szCs w:val="21"/>
              </w:rPr>
            </w:pPr>
            <w:r>
              <w:rPr>
                <w:color w:val="000000"/>
                <w:szCs w:val="21"/>
              </w:rPr>
              <w:t>（1.7）南山国家公园保护区：坚持把生态保护放在首位，在核心保护区严格落实禁牧措施，在一般控制区严格实行以草定畜；推进南山国家公园生态修复、草山修复及基础设施建设，扩大南山国家公园范围。</w:t>
            </w:r>
          </w:p>
        </w:tc>
        <w:tc>
          <w:tcPr>
            <w:tcW w:w="3377" w:type="dxa"/>
            <w:gridSpan w:val="2"/>
            <w:vMerge w:val="restart"/>
          </w:tcPr>
          <w:p>
            <w:pPr>
              <w:widowControl/>
              <w:tabs>
                <w:tab w:val="left" w:pos="1021"/>
              </w:tabs>
              <w:jc w:val="left"/>
              <w:rPr>
                <w:color w:val="000000"/>
                <w:szCs w:val="21"/>
              </w:rPr>
            </w:pPr>
            <w:r>
              <w:rPr>
                <w:color w:val="000000"/>
                <w:szCs w:val="21"/>
              </w:rPr>
              <w:t>（1.1）（1.2）（1.4）（1.5）（1.6）（2.1.1）（2.1.2）（2.1.3）（2.3.2）（2.3.3）（4.1）（4.2.2）《城步苗族自治县国民经济和社会发展第十四个五年规划和二O三五年远景目标纲要》</w:t>
            </w:r>
          </w:p>
          <w:p>
            <w:pPr>
              <w:widowControl/>
              <w:numPr>
                <w:ilvl w:val="1"/>
                <w:numId w:val="0"/>
              </w:numPr>
              <w:jc w:val="left"/>
              <w:rPr>
                <w:color w:val="000000"/>
                <w:szCs w:val="21"/>
              </w:rPr>
            </w:pPr>
            <w:r>
              <w:rPr>
                <w:color w:val="000000"/>
                <w:szCs w:val="21"/>
              </w:rPr>
              <w:t>（1.3）（4.3.）《城步苗族自治县国土空间总体规划（2021</w:t>
            </w:r>
            <w:r>
              <w:rPr>
                <w:rFonts w:hint="eastAsia"/>
                <w:color w:val="000000"/>
                <w:szCs w:val="21"/>
              </w:rPr>
              <w:t>—</w:t>
            </w:r>
            <w:r>
              <w:rPr>
                <w:color w:val="000000"/>
                <w:szCs w:val="21"/>
              </w:rPr>
              <w:t>2035年）》</w:t>
            </w:r>
          </w:p>
          <w:p>
            <w:pPr>
              <w:widowControl/>
              <w:numPr>
                <w:ilvl w:val="1"/>
                <w:numId w:val="0"/>
              </w:numPr>
              <w:jc w:val="left"/>
              <w:rPr>
                <w:color w:val="000000"/>
                <w:szCs w:val="21"/>
              </w:rPr>
            </w:pPr>
            <w:r>
              <w:rPr>
                <w:color w:val="000000"/>
                <w:szCs w:val="21"/>
              </w:rPr>
              <w:t>（1.7）南山国家公园保护区</w:t>
            </w:r>
          </w:p>
          <w:p>
            <w:pPr>
              <w:widowControl/>
              <w:jc w:val="left"/>
              <w:rPr>
                <w:color w:val="000000"/>
                <w:szCs w:val="21"/>
              </w:rPr>
            </w:pPr>
            <w:r>
              <w:rPr>
                <w:color w:val="000000"/>
                <w:szCs w:val="21"/>
              </w:rPr>
              <w:t>（2.2）（2.3.1）（3.1）（3.2）（3.3）《2023年城步苗族自治县深入打好污染防治攻坚战工作方案》</w:t>
            </w:r>
          </w:p>
          <w:p>
            <w:pPr>
              <w:tabs>
                <w:tab w:val="left" w:pos="1021"/>
              </w:tabs>
              <w:rPr>
                <w:color w:val="000000"/>
                <w:szCs w:val="21"/>
              </w:rPr>
            </w:pPr>
            <w:r>
              <w:rPr>
                <w:color w:val="000000"/>
                <w:szCs w:val="21"/>
              </w:rPr>
              <w:t>（4.2.1）《邵阳市“十四五”用水总量和强度双控目标》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污染物排放管控</w:t>
            </w:r>
          </w:p>
        </w:tc>
        <w:tc>
          <w:tcPr>
            <w:tcW w:w="9446" w:type="dxa"/>
            <w:gridSpan w:val="9"/>
            <w:vAlign w:val="center"/>
          </w:tcPr>
          <w:p>
            <w:pPr>
              <w:widowControl/>
              <w:tabs>
                <w:tab w:val="left" w:pos="1021"/>
              </w:tabs>
              <w:jc w:val="left"/>
              <w:rPr>
                <w:color w:val="000000"/>
                <w:szCs w:val="21"/>
              </w:rPr>
            </w:pPr>
            <w:r>
              <w:rPr>
                <w:color w:val="000000"/>
                <w:szCs w:val="21"/>
              </w:rPr>
              <w:t>（2.1）废水：</w:t>
            </w:r>
          </w:p>
          <w:p>
            <w:pPr>
              <w:widowControl/>
              <w:tabs>
                <w:tab w:val="left" w:pos="1021"/>
              </w:tabs>
              <w:jc w:val="left"/>
              <w:rPr>
                <w:color w:val="000000"/>
                <w:szCs w:val="21"/>
              </w:rPr>
            </w:pPr>
            <w:r>
              <w:rPr>
                <w:color w:val="000000"/>
                <w:szCs w:val="21"/>
              </w:rPr>
              <w:t>（2.1.1）完善县城和重点乡镇污水管网等基础设施，完成乡镇污水处理厂。</w:t>
            </w:r>
          </w:p>
          <w:p>
            <w:pPr>
              <w:widowControl/>
              <w:tabs>
                <w:tab w:val="left" w:pos="1021"/>
              </w:tabs>
              <w:jc w:val="left"/>
              <w:rPr>
                <w:color w:val="000000"/>
                <w:szCs w:val="21"/>
              </w:rPr>
            </w:pPr>
            <w:r>
              <w:rPr>
                <w:color w:val="000000"/>
                <w:szCs w:val="21"/>
              </w:rPr>
              <w:t>（2.1.2）强化涉水工业企业监管，降低水耗，减少废水排放量，确保企业水污染防治设施规范运行。</w:t>
            </w:r>
          </w:p>
          <w:p>
            <w:pPr>
              <w:widowControl/>
              <w:tabs>
                <w:tab w:val="left" w:pos="1021"/>
              </w:tabs>
              <w:jc w:val="left"/>
              <w:rPr>
                <w:color w:val="000000"/>
                <w:szCs w:val="21"/>
              </w:rPr>
            </w:pPr>
            <w:r>
              <w:rPr>
                <w:color w:val="000000"/>
                <w:szCs w:val="21"/>
              </w:rPr>
              <w:t>（2.1.3）加快补齐农村环境短板，推进生活污水治理，探索推行城镇污水管网向周边村庄延伸覆盖，消除黑臭水体，加强农村水源地保护。</w:t>
            </w:r>
          </w:p>
          <w:p>
            <w:pPr>
              <w:widowControl/>
              <w:tabs>
                <w:tab w:val="left" w:pos="1021"/>
              </w:tabs>
              <w:jc w:val="left"/>
              <w:rPr>
                <w:color w:val="000000"/>
                <w:szCs w:val="21"/>
              </w:rPr>
            </w:pPr>
            <w:r>
              <w:rPr>
                <w:color w:val="000000"/>
                <w:szCs w:val="21"/>
              </w:rPr>
              <w:t>（2.2）废气：落实《湖南省大气污染防治攻坚行动工作方案》，坚持源头防控、系统治理，在水泥、砖瓦、工业涂装等重点行业，柴油货车、露天焚烧秸秆、餐饮油烟、城市扬尘等重点领域，开展“守护蓝天”行动，</w:t>
            </w:r>
            <w:r>
              <w:rPr>
                <w:color w:val="000000"/>
                <w:szCs w:val="21"/>
                <w:lang w:val="zh-CN"/>
              </w:rPr>
              <w:t>严格落实各项攻坚措施</w:t>
            </w:r>
            <w:r>
              <w:rPr>
                <w:color w:val="000000"/>
                <w:szCs w:val="21"/>
              </w:rPr>
              <w:t>。</w:t>
            </w:r>
          </w:p>
          <w:p>
            <w:pPr>
              <w:widowControl/>
              <w:tabs>
                <w:tab w:val="left" w:pos="1021"/>
              </w:tabs>
              <w:jc w:val="left"/>
              <w:rPr>
                <w:color w:val="000000"/>
                <w:szCs w:val="21"/>
              </w:rPr>
            </w:pPr>
            <w:r>
              <w:rPr>
                <w:color w:val="000000"/>
                <w:szCs w:val="21"/>
              </w:rPr>
              <w:t>（2.3）固体废物：</w:t>
            </w:r>
          </w:p>
          <w:p>
            <w:pPr>
              <w:widowControl/>
              <w:tabs>
                <w:tab w:val="left" w:pos="1021"/>
              </w:tabs>
              <w:jc w:val="left"/>
              <w:rPr>
                <w:color w:val="000000"/>
                <w:szCs w:val="21"/>
              </w:rPr>
            </w:pPr>
            <w:r>
              <w:rPr>
                <w:color w:val="000000"/>
                <w:szCs w:val="21"/>
              </w:rPr>
              <w:t>（2.3.1）全面排查整治涉镉等重金属矿区历史遗留固体废物。</w:t>
            </w:r>
          </w:p>
          <w:p>
            <w:pPr>
              <w:widowControl/>
              <w:tabs>
                <w:tab w:val="left" w:pos="1021"/>
              </w:tabs>
              <w:jc w:val="left"/>
              <w:rPr>
                <w:color w:val="000000"/>
                <w:szCs w:val="21"/>
              </w:rPr>
            </w:pPr>
            <w:r>
              <w:rPr>
                <w:color w:val="000000"/>
                <w:szCs w:val="21"/>
              </w:rPr>
              <w:t>（2.3.2）推进生活垃圾治理，建立生活垃圾收运处理体系，探索推行垃圾就地分类和资源化利用，开展非正规垃圾堆放点排查整治。</w:t>
            </w:r>
          </w:p>
          <w:p>
            <w:pPr>
              <w:widowControl/>
              <w:tabs>
                <w:tab w:val="left" w:pos="1021"/>
              </w:tabs>
              <w:jc w:val="left"/>
              <w:rPr>
                <w:strike/>
                <w:color w:val="000000"/>
                <w:szCs w:val="21"/>
              </w:rPr>
            </w:pPr>
            <w:r>
              <w:rPr>
                <w:color w:val="000000"/>
                <w:szCs w:val="21"/>
              </w:rPr>
              <w:t>（2.3.3）推进“厕所革命”和畜禽养殖粪污资源化利用，探索厕所、畜禽粪污无害化处理和资源利用。</w:t>
            </w:r>
          </w:p>
        </w:tc>
        <w:tc>
          <w:tcPr>
            <w:tcW w:w="337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环境风险防控</w:t>
            </w:r>
          </w:p>
        </w:tc>
        <w:tc>
          <w:tcPr>
            <w:tcW w:w="9446" w:type="dxa"/>
            <w:gridSpan w:val="9"/>
            <w:vAlign w:val="center"/>
          </w:tcPr>
          <w:p>
            <w:pPr>
              <w:tabs>
                <w:tab w:val="left" w:pos="1021"/>
              </w:tabs>
              <w:rPr>
                <w:color w:val="000000"/>
                <w:szCs w:val="21"/>
              </w:rPr>
            </w:pPr>
            <w:r>
              <w:rPr>
                <w:color w:val="000000"/>
                <w:szCs w:val="21"/>
              </w:rPr>
              <w:t>（3.1）持续开展危险废物规范化环境管理评估。</w:t>
            </w:r>
          </w:p>
          <w:p>
            <w:pPr>
              <w:tabs>
                <w:tab w:val="left" w:pos="1021"/>
              </w:tabs>
              <w:rPr>
                <w:color w:val="000000"/>
                <w:szCs w:val="21"/>
              </w:rPr>
            </w:pPr>
            <w:r>
              <w:rPr>
                <w:color w:val="000000"/>
                <w:szCs w:val="21"/>
              </w:rPr>
              <w:t>（3.2）扎实开展尾矿库污染治理“回头看”和历史遗留渣堆污染问题整治，逐步完善尾矿库预警监测体系。</w:t>
            </w:r>
          </w:p>
          <w:p>
            <w:pPr>
              <w:tabs>
                <w:tab w:val="left" w:pos="1021"/>
              </w:tabs>
              <w:rPr>
                <w:color w:val="000000"/>
                <w:szCs w:val="21"/>
              </w:rPr>
            </w:pPr>
            <w:r>
              <w:rPr>
                <w:color w:val="000000"/>
                <w:szCs w:val="21"/>
              </w:rPr>
              <w:t>（3.3）有效管控建设用地土壤污染风险；持续开展重点行业企业用地调查和典型行业周边土壤环境调查，进一步摸清污染地块底数和污染成因。严格土壤污染重点监管单位搬迁腾退用地土壤污染风险管控。</w:t>
            </w:r>
          </w:p>
        </w:tc>
        <w:tc>
          <w:tcPr>
            <w:tcW w:w="3377"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color w:val="000000"/>
                <w:szCs w:val="21"/>
              </w:rPr>
            </w:pPr>
            <w:r>
              <w:rPr>
                <w:color w:val="000000"/>
                <w:szCs w:val="21"/>
              </w:rPr>
              <w:t>资源开发效率要求</w:t>
            </w:r>
          </w:p>
        </w:tc>
        <w:tc>
          <w:tcPr>
            <w:tcW w:w="9446" w:type="dxa"/>
            <w:gridSpan w:val="9"/>
            <w:vAlign w:val="center"/>
          </w:tcPr>
          <w:p>
            <w:pPr>
              <w:pStyle w:val="8"/>
              <w:widowControl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（4.1）能源：大力发展节能环保、清洁生产、清洁能源产业，全面推进清洁生产改造或清洁化改造。</w:t>
            </w:r>
          </w:p>
          <w:p>
            <w:pPr>
              <w:widowControl/>
              <w:tabs>
                <w:tab w:val="left" w:pos="1021"/>
              </w:tabs>
              <w:jc w:val="left"/>
              <w:rPr>
                <w:color w:val="000000"/>
                <w:szCs w:val="21"/>
              </w:rPr>
            </w:pPr>
            <w:r>
              <w:rPr>
                <w:color w:val="000000"/>
                <w:szCs w:val="21"/>
              </w:rPr>
              <w:t>（4.2）水资源：</w:t>
            </w:r>
          </w:p>
          <w:p>
            <w:pPr>
              <w:widowControl/>
              <w:tabs>
                <w:tab w:val="left" w:pos="1021"/>
              </w:tabs>
              <w:ind w:firstLine="420" w:firstLineChars="200"/>
              <w:jc w:val="left"/>
              <w:rPr>
                <w:color w:val="000000"/>
                <w:szCs w:val="21"/>
              </w:rPr>
            </w:pPr>
            <w:r>
              <w:rPr>
                <w:color w:val="000000"/>
                <w:szCs w:val="21"/>
              </w:rPr>
              <w:t>（4.2.1）到2025年城步苗族自治县用水总量为1.065亿m³；万元地区生产总值用水量比2020年下降20.98%；万元工业增加值用水量比2020年下降12.54%；农田灌溉用水有效利用系数为0.53。</w:t>
            </w:r>
          </w:p>
          <w:p>
            <w:pPr>
              <w:widowControl/>
              <w:tabs>
                <w:tab w:val="left" w:pos="1021"/>
              </w:tabs>
              <w:ind w:firstLine="420" w:firstLineChars="200"/>
              <w:jc w:val="left"/>
              <w:rPr>
                <w:color w:val="000000"/>
                <w:szCs w:val="21"/>
              </w:rPr>
            </w:pPr>
            <w:r>
              <w:rPr>
                <w:color w:val="000000"/>
                <w:szCs w:val="21"/>
              </w:rPr>
              <w:t>（4.2.2）推进城镇污水处理厂出水深度净化和资源化利用。</w:t>
            </w:r>
          </w:p>
          <w:p>
            <w:pPr>
              <w:tabs>
                <w:tab w:val="left" w:pos="1021"/>
              </w:tabs>
              <w:ind w:firstLine="420" w:firstLineChars="200"/>
              <w:rPr>
                <w:strike/>
                <w:color w:val="000000"/>
                <w:szCs w:val="21"/>
              </w:rPr>
            </w:pPr>
            <w:r>
              <w:rPr>
                <w:color w:val="000000"/>
                <w:szCs w:val="21"/>
              </w:rPr>
              <w:t>（4.3）土地资源：至2035年，划定生态保护红线面积105711.07公顷，落实林地保有量217805.00公顷，湿地面积164.08公顷。确保耕地保有量不低于17201.70公顷，永久基本农田保护面积13931.69公顷，控制建设用地总面积不高于7127.68公顷，城乡建设用地不高于6095.99公顷</w:t>
            </w:r>
          </w:p>
        </w:tc>
        <w:tc>
          <w:tcPr>
            <w:tcW w:w="3377" w:type="dxa"/>
            <w:gridSpan w:val="2"/>
            <w:vMerge w:val="continue"/>
            <w:vAlign w:val="center"/>
          </w:tcPr>
          <w:p/>
        </w:tc>
      </w:tr>
    </w:tbl>
    <w:p>
      <w:pPr>
        <w:pStyle w:val="14"/>
        <w:ind w:firstLine="0" w:firstLineChars="0"/>
        <w:rPr>
          <w:b/>
          <w:color w:val="000000"/>
          <w:sz w:val="28"/>
          <w:szCs w:val="32"/>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829"/>
        <w:gridCol w:w="627"/>
        <w:gridCol w:w="587"/>
        <w:gridCol w:w="653"/>
        <w:gridCol w:w="893"/>
        <w:gridCol w:w="947"/>
        <w:gridCol w:w="1133"/>
        <w:gridCol w:w="1545"/>
        <w:gridCol w:w="1609"/>
        <w:gridCol w:w="834"/>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Merge w:val="restart"/>
            <w:vAlign w:val="center"/>
          </w:tcPr>
          <w:p>
            <w:pPr>
              <w:widowControl/>
              <w:jc w:val="center"/>
              <w:rPr>
                <w:b/>
                <w:color w:val="000000"/>
                <w:kern w:val="0"/>
                <w:szCs w:val="21"/>
              </w:rPr>
            </w:pPr>
            <w:r>
              <w:rPr>
                <w:b/>
                <w:color w:val="000000"/>
                <w:kern w:val="0"/>
                <w:szCs w:val="21"/>
              </w:rPr>
              <w:t>环境管控单元编码</w:t>
            </w:r>
          </w:p>
        </w:tc>
        <w:tc>
          <w:tcPr>
            <w:tcW w:w="829" w:type="dxa"/>
            <w:vMerge w:val="restart"/>
            <w:vAlign w:val="center"/>
          </w:tcPr>
          <w:p>
            <w:pPr>
              <w:widowControl/>
              <w:jc w:val="center"/>
              <w:rPr>
                <w:b/>
                <w:color w:val="000000"/>
                <w:kern w:val="0"/>
                <w:szCs w:val="21"/>
              </w:rPr>
            </w:pPr>
            <w:r>
              <w:rPr>
                <w:b/>
                <w:color w:val="000000"/>
                <w:kern w:val="0"/>
                <w:szCs w:val="21"/>
              </w:rPr>
              <w:t>单元名称</w:t>
            </w:r>
          </w:p>
        </w:tc>
        <w:tc>
          <w:tcPr>
            <w:tcW w:w="1867" w:type="dxa"/>
            <w:gridSpan w:val="3"/>
            <w:vAlign w:val="center"/>
          </w:tcPr>
          <w:p>
            <w:pPr>
              <w:widowControl/>
              <w:jc w:val="center"/>
              <w:rPr>
                <w:b/>
                <w:color w:val="000000"/>
                <w:kern w:val="0"/>
                <w:szCs w:val="21"/>
              </w:rPr>
            </w:pPr>
            <w:r>
              <w:rPr>
                <w:b/>
                <w:color w:val="000000"/>
                <w:kern w:val="0"/>
                <w:szCs w:val="21"/>
              </w:rPr>
              <w:t>行政区划</w:t>
            </w:r>
          </w:p>
        </w:tc>
        <w:tc>
          <w:tcPr>
            <w:tcW w:w="893" w:type="dxa"/>
            <w:vMerge w:val="restart"/>
            <w:vAlign w:val="center"/>
          </w:tcPr>
          <w:p>
            <w:pPr>
              <w:widowControl/>
              <w:jc w:val="center"/>
              <w:rPr>
                <w:b/>
                <w:color w:val="000000"/>
                <w:kern w:val="0"/>
                <w:szCs w:val="21"/>
              </w:rPr>
            </w:pPr>
            <w:r>
              <w:rPr>
                <w:b/>
                <w:color w:val="000000"/>
                <w:kern w:val="0"/>
                <w:szCs w:val="21"/>
              </w:rPr>
              <w:t>单元分类</w:t>
            </w:r>
          </w:p>
        </w:tc>
        <w:tc>
          <w:tcPr>
            <w:tcW w:w="947" w:type="dxa"/>
            <w:vMerge w:val="restart"/>
            <w:vAlign w:val="center"/>
          </w:tcPr>
          <w:p>
            <w:pPr>
              <w:jc w:val="center"/>
              <w:rPr>
                <w:b/>
                <w:color w:val="000000"/>
                <w:kern w:val="0"/>
                <w:szCs w:val="21"/>
              </w:rPr>
            </w:pPr>
            <w:r>
              <w:rPr>
                <w:b/>
                <w:color w:val="000000"/>
                <w:kern w:val="0"/>
                <w:szCs w:val="21"/>
              </w:rPr>
              <w:t>单元面积（km</w:t>
            </w:r>
            <w:r>
              <w:rPr>
                <w:b/>
                <w:color w:val="000000"/>
                <w:kern w:val="0"/>
                <w:szCs w:val="21"/>
                <w:vertAlign w:val="superscript"/>
              </w:rPr>
              <w:t>2</w:t>
            </w:r>
            <w:r>
              <w:rPr>
                <w:b/>
                <w:color w:val="000000"/>
                <w:kern w:val="0"/>
                <w:szCs w:val="21"/>
              </w:rPr>
              <w:t>）</w:t>
            </w:r>
          </w:p>
        </w:tc>
        <w:tc>
          <w:tcPr>
            <w:tcW w:w="1133" w:type="dxa"/>
            <w:vMerge w:val="restart"/>
            <w:vAlign w:val="center"/>
          </w:tcPr>
          <w:p>
            <w:pPr>
              <w:jc w:val="center"/>
              <w:rPr>
                <w:b/>
                <w:color w:val="000000"/>
                <w:kern w:val="0"/>
                <w:szCs w:val="21"/>
              </w:rPr>
            </w:pPr>
            <w:r>
              <w:rPr>
                <w:b/>
                <w:color w:val="000000"/>
                <w:kern w:val="0"/>
                <w:szCs w:val="21"/>
              </w:rPr>
              <w:t>涉及乡镇（街道）</w:t>
            </w:r>
          </w:p>
        </w:tc>
        <w:tc>
          <w:tcPr>
            <w:tcW w:w="1545" w:type="dxa"/>
            <w:vMerge w:val="restart"/>
            <w:vAlign w:val="center"/>
          </w:tcPr>
          <w:p>
            <w:pPr>
              <w:jc w:val="center"/>
              <w:rPr>
                <w:b/>
                <w:color w:val="000000"/>
                <w:kern w:val="0"/>
                <w:szCs w:val="21"/>
              </w:rPr>
            </w:pPr>
            <w:r>
              <w:rPr>
                <w:b/>
                <w:color w:val="000000"/>
                <w:kern w:val="0"/>
                <w:szCs w:val="21"/>
              </w:rPr>
              <w:t>主体功能定位</w:t>
            </w:r>
          </w:p>
        </w:tc>
        <w:tc>
          <w:tcPr>
            <w:tcW w:w="2443" w:type="dxa"/>
            <w:gridSpan w:val="2"/>
            <w:vMerge w:val="restart"/>
            <w:vAlign w:val="center"/>
          </w:tcPr>
          <w:p>
            <w:pPr>
              <w:jc w:val="center"/>
              <w:rPr>
                <w:b/>
                <w:color w:val="000000"/>
                <w:kern w:val="0"/>
                <w:szCs w:val="21"/>
              </w:rPr>
            </w:pPr>
            <w:r>
              <w:rPr>
                <w:b/>
                <w:color w:val="000000"/>
                <w:kern w:val="0"/>
                <w:szCs w:val="21"/>
              </w:rPr>
              <w:t>经济产业布局</w:t>
            </w:r>
          </w:p>
        </w:tc>
        <w:tc>
          <w:tcPr>
            <w:tcW w:w="2866" w:type="dxa"/>
            <w:vMerge w:val="restart"/>
            <w:vAlign w:val="center"/>
          </w:tcPr>
          <w:p>
            <w:pPr>
              <w:jc w:val="center"/>
              <w:rPr>
                <w:b/>
                <w:color w:val="000000"/>
                <w:kern w:val="0"/>
                <w:szCs w:val="21"/>
              </w:rPr>
            </w:pPr>
            <w:r>
              <w:rPr>
                <w:b/>
                <w:color w:val="000000"/>
                <w:kern w:val="0"/>
                <w:szCs w:val="21"/>
              </w:rPr>
              <w:t>主要环境问题</w:t>
            </w:r>
            <w:r>
              <w:rPr>
                <w:b/>
                <w:kern w:val="0"/>
                <w:szCs w:val="21"/>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651" w:type="dxa"/>
            <w:vMerge w:val="continue"/>
            <w:vAlign w:val="center"/>
          </w:tcPr>
          <w:p/>
        </w:tc>
        <w:tc>
          <w:tcPr>
            <w:tcW w:w="829" w:type="dxa"/>
            <w:vMerge w:val="continue"/>
            <w:vAlign w:val="center"/>
          </w:tcPr>
          <w:p/>
        </w:tc>
        <w:tc>
          <w:tcPr>
            <w:tcW w:w="627" w:type="dxa"/>
            <w:vAlign w:val="center"/>
          </w:tcPr>
          <w:p>
            <w:pPr>
              <w:jc w:val="center"/>
              <w:rPr>
                <w:b/>
                <w:color w:val="000000"/>
                <w:szCs w:val="21"/>
              </w:rPr>
            </w:pPr>
            <w:r>
              <w:rPr>
                <w:b/>
                <w:color w:val="000000"/>
                <w:szCs w:val="21"/>
              </w:rPr>
              <w:t>省</w:t>
            </w:r>
          </w:p>
        </w:tc>
        <w:tc>
          <w:tcPr>
            <w:tcW w:w="587" w:type="dxa"/>
            <w:vAlign w:val="center"/>
          </w:tcPr>
          <w:p>
            <w:pPr>
              <w:jc w:val="center"/>
              <w:rPr>
                <w:b/>
                <w:color w:val="000000"/>
                <w:szCs w:val="21"/>
              </w:rPr>
            </w:pPr>
            <w:r>
              <w:rPr>
                <w:b/>
                <w:color w:val="000000"/>
                <w:szCs w:val="21"/>
              </w:rPr>
              <w:t>市</w:t>
            </w:r>
          </w:p>
        </w:tc>
        <w:tc>
          <w:tcPr>
            <w:tcW w:w="653" w:type="dxa"/>
            <w:vAlign w:val="center"/>
          </w:tcPr>
          <w:p>
            <w:pPr>
              <w:jc w:val="center"/>
              <w:rPr>
                <w:b/>
                <w:color w:val="000000"/>
                <w:szCs w:val="21"/>
              </w:rPr>
            </w:pPr>
            <w:r>
              <w:rPr>
                <w:b/>
                <w:color w:val="000000"/>
                <w:szCs w:val="21"/>
              </w:rPr>
              <w:t>县</w:t>
            </w:r>
          </w:p>
        </w:tc>
        <w:tc>
          <w:tcPr>
            <w:tcW w:w="893" w:type="dxa"/>
            <w:vMerge w:val="continue"/>
            <w:vAlign w:val="center"/>
          </w:tcPr>
          <w:p/>
        </w:tc>
        <w:tc>
          <w:tcPr>
            <w:tcW w:w="947" w:type="dxa"/>
            <w:vMerge w:val="continue"/>
            <w:vAlign w:val="center"/>
          </w:tcPr>
          <w:p/>
        </w:tc>
        <w:tc>
          <w:tcPr>
            <w:tcW w:w="1133" w:type="dxa"/>
            <w:vMerge w:val="continue"/>
            <w:vAlign w:val="center"/>
          </w:tcPr>
          <w:p/>
        </w:tc>
        <w:tc>
          <w:tcPr>
            <w:tcW w:w="1545" w:type="dxa"/>
            <w:vMerge w:val="continue"/>
            <w:vAlign w:val="center"/>
          </w:tcPr>
          <w:p/>
        </w:tc>
        <w:tc>
          <w:tcPr>
            <w:tcW w:w="2443" w:type="dxa"/>
            <w:gridSpan w:val="2"/>
            <w:vMerge w:val="continue"/>
            <w:vAlign w:val="center"/>
          </w:tcPr>
          <w:p/>
        </w:tc>
        <w:tc>
          <w:tcPr>
            <w:tcW w:w="28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1651" w:type="dxa"/>
            <w:vAlign w:val="center"/>
          </w:tcPr>
          <w:p>
            <w:pPr>
              <w:jc w:val="center"/>
              <w:rPr>
                <w:color w:val="000000"/>
                <w:szCs w:val="21"/>
              </w:rPr>
            </w:pPr>
            <w:r>
              <w:rPr>
                <w:color w:val="000000"/>
                <w:szCs w:val="21"/>
              </w:rPr>
              <w:t>ZH43052920001</w:t>
            </w:r>
          </w:p>
        </w:tc>
        <w:tc>
          <w:tcPr>
            <w:tcW w:w="829" w:type="dxa"/>
            <w:vAlign w:val="center"/>
          </w:tcPr>
          <w:p>
            <w:pPr>
              <w:jc w:val="center"/>
              <w:rPr>
                <w:color w:val="000000"/>
                <w:szCs w:val="21"/>
              </w:rPr>
            </w:pPr>
            <w:r>
              <w:rPr>
                <w:color w:val="000000"/>
                <w:szCs w:val="21"/>
              </w:rPr>
              <w:t>蒋坊乡/茅坪镇/儒林镇/汀坪乡</w:t>
            </w:r>
          </w:p>
        </w:tc>
        <w:tc>
          <w:tcPr>
            <w:tcW w:w="627" w:type="dxa"/>
            <w:vAlign w:val="center"/>
          </w:tcPr>
          <w:p>
            <w:pPr>
              <w:jc w:val="center"/>
              <w:rPr>
                <w:color w:val="000000"/>
                <w:szCs w:val="21"/>
              </w:rPr>
            </w:pPr>
            <w:r>
              <w:rPr>
                <w:color w:val="000000"/>
                <w:szCs w:val="21"/>
              </w:rPr>
              <w:t>湖南省</w:t>
            </w:r>
          </w:p>
        </w:tc>
        <w:tc>
          <w:tcPr>
            <w:tcW w:w="587" w:type="dxa"/>
            <w:vAlign w:val="center"/>
          </w:tcPr>
          <w:p>
            <w:pPr>
              <w:jc w:val="center"/>
              <w:rPr>
                <w:color w:val="000000"/>
                <w:szCs w:val="21"/>
              </w:rPr>
            </w:pPr>
            <w:r>
              <w:rPr>
                <w:color w:val="000000"/>
                <w:szCs w:val="21"/>
              </w:rPr>
              <w:t>邵阳市</w:t>
            </w:r>
          </w:p>
        </w:tc>
        <w:tc>
          <w:tcPr>
            <w:tcW w:w="653" w:type="dxa"/>
            <w:vAlign w:val="center"/>
          </w:tcPr>
          <w:p>
            <w:pPr>
              <w:jc w:val="center"/>
              <w:rPr>
                <w:color w:val="000000"/>
                <w:szCs w:val="21"/>
              </w:rPr>
            </w:pPr>
            <w:r>
              <w:rPr>
                <w:color w:val="000000"/>
                <w:szCs w:val="21"/>
              </w:rPr>
              <w:t>城步苗族自治县</w:t>
            </w:r>
          </w:p>
        </w:tc>
        <w:tc>
          <w:tcPr>
            <w:tcW w:w="893" w:type="dxa"/>
            <w:vAlign w:val="center"/>
          </w:tcPr>
          <w:p>
            <w:pPr>
              <w:jc w:val="center"/>
              <w:rPr>
                <w:color w:val="000000"/>
                <w:szCs w:val="21"/>
              </w:rPr>
            </w:pPr>
            <w:r>
              <w:rPr>
                <w:color w:val="000000"/>
                <w:szCs w:val="21"/>
              </w:rPr>
              <w:t>重点管控单元</w:t>
            </w:r>
          </w:p>
        </w:tc>
        <w:tc>
          <w:tcPr>
            <w:tcW w:w="947" w:type="dxa"/>
            <w:vAlign w:val="center"/>
          </w:tcPr>
          <w:p>
            <w:pPr>
              <w:jc w:val="center"/>
              <w:rPr>
                <w:color w:val="000000"/>
                <w:szCs w:val="21"/>
              </w:rPr>
            </w:pPr>
            <w:r>
              <w:rPr>
                <w:color w:val="000000"/>
                <w:szCs w:val="21"/>
              </w:rPr>
              <w:t>145.71</w:t>
            </w:r>
          </w:p>
        </w:tc>
        <w:tc>
          <w:tcPr>
            <w:tcW w:w="1133" w:type="dxa"/>
            <w:vAlign w:val="center"/>
          </w:tcPr>
          <w:p>
            <w:pPr>
              <w:jc w:val="center"/>
              <w:rPr>
                <w:color w:val="000000"/>
                <w:szCs w:val="21"/>
              </w:rPr>
            </w:pPr>
            <w:r>
              <w:rPr>
                <w:color w:val="000000"/>
                <w:szCs w:val="21"/>
              </w:rPr>
              <w:t>蒋坊乡/茅坪镇/儒林镇/汀坪乡</w:t>
            </w:r>
          </w:p>
        </w:tc>
        <w:tc>
          <w:tcPr>
            <w:tcW w:w="1545" w:type="dxa"/>
            <w:vAlign w:val="center"/>
          </w:tcPr>
          <w:p>
            <w:pPr>
              <w:jc w:val="left"/>
              <w:rPr>
                <w:color w:val="000000"/>
                <w:szCs w:val="21"/>
              </w:rPr>
            </w:pPr>
            <w:r>
              <w:rPr>
                <w:b/>
                <w:bCs/>
                <w:color w:val="000000"/>
                <w:sz w:val="22"/>
              </w:rPr>
              <w:t>蒋坊乡：</w:t>
            </w:r>
            <w:r>
              <w:rPr>
                <w:color w:val="000000"/>
                <w:szCs w:val="21"/>
              </w:rPr>
              <w:t>重点生态功能区，农产品主产区，历史文化资源富集区；</w:t>
            </w:r>
          </w:p>
          <w:p>
            <w:pPr>
              <w:jc w:val="left"/>
              <w:rPr>
                <w:color w:val="000000"/>
                <w:szCs w:val="21"/>
              </w:rPr>
            </w:pPr>
            <w:r>
              <w:rPr>
                <w:b/>
                <w:bCs/>
                <w:color w:val="000000"/>
                <w:sz w:val="22"/>
              </w:rPr>
              <w:t>茅坪镇</w:t>
            </w:r>
            <w:r>
              <w:rPr>
                <w:color w:val="000000"/>
                <w:szCs w:val="21"/>
              </w:rPr>
              <w:t>：城市化地区；</w:t>
            </w:r>
          </w:p>
          <w:p>
            <w:pPr>
              <w:jc w:val="left"/>
              <w:rPr>
                <w:color w:val="000000"/>
                <w:szCs w:val="21"/>
              </w:rPr>
            </w:pPr>
            <w:r>
              <w:rPr>
                <w:b/>
                <w:bCs/>
                <w:color w:val="000000"/>
                <w:sz w:val="22"/>
              </w:rPr>
              <w:t>儒林镇：</w:t>
            </w:r>
            <w:r>
              <w:rPr>
                <w:color w:val="000000"/>
                <w:szCs w:val="21"/>
              </w:rPr>
              <w:t>城市化地区；</w:t>
            </w:r>
          </w:p>
        </w:tc>
        <w:tc>
          <w:tcPr>
            <w:tcW w:w="2443" w:type="dxa"/>
            <w:gridSpan w:val="2"/>
            <w:vAlign w:val="center"/>
          </w:tcPr>
          <w:p>
            <w:pPr>
              <w:widowControl/>
              <w:jc w:val="left"/>
              <w:rPr>
                <w:color w:val="000000"/>
                <w:szCs w:val="21"/>
              </w:rPr>
            </w:pPr>
            <w:r>
              <w:rPr>
                <w:b/>
                <w:bCs/>
                <w:color w:val="000000"/>
                <w:sz w:val="22"/>
              </w:rPr>
              <w:t>蒋坊乡：</w:t>
            </w:r>
            <w:r>
              <w:rPr>
                <w:color w:val="000000"/>
                <w:szCs w:val="21"/>
              </w:rPr>
              <w:t>农业种植、竹制品加工、物流、旅游等。</w:t>
            </w:r>
          </w:p>
          <w:p>
            <w:pPr>
              <w:widowControl/>
              <w:jc w:val="left"/>
              <w:rPr>
                <w:color w:val="000000"/>
                <w:szCs w:val="21"/>
              </w:rPr>
            </w:pPr>
            <w:r>
              <w:rPr>
                <w:b/>
                <w:bCs/>
                <w:color w:val="000000"/>
                <w:sz w:val="22"/>
              </w:rPr>
              <w:t>茅坪镇</w:t>
            </w:r>
            <w:r>
              <w:rPr>
                <w:color w:val="000000"/>
                <w:szCs w:val="21"/>
              </w:rPr>
              <w:t>：食品工业、造纸、竹木加工、水电开发、生物制药等；</w:t>
            </w:r>
          </w:p>
          <w:p>
            <w:pPr>
              <w:widowControl/>
              <w:jc w:val="left"/>
              <w:rPr>
                <w:color w:val="000000"/>
                <w:kern w:val="0"/>
                <w:szCs w:val="21"/>
              </w:rPr>
            </w:pPr>
            <w:r>
              <w:rPr>
                <w:b/>
                <w:bCs/>
                <w:color w:val="000000"/>
                <w:szCs w:val="21"/>
              </w:rPr>
              <w:t>儒林</w:t>
            </w:r>
            <w:r>
              <w:rPr>
                <w:b/>
                <w:bCs/>
                <w:color w:val="000000"/>
                <w:sz w:val="22"/>
              </w:rPr>
              <w:t>镇：</w:t>
            </w:r>
            <w:r>
              <w:rPr>
                <w:color w:val="000000"/>
                <w:szCs w:val="21"/>
              </w:rPr>
              <w:t>食品工业、竹木加工、水电开发、旅游业、康养业、仓储物流、市场贸易、文化产业、农业种植业、服务业等。</w:t>
            </w:r>
          </w:p>
        </w:tc>
        <w:tc>
          <w:tcPr>
            <w:tcW w:w="2866" w:type="dxa"/>
            <w:vAlign w:val="center"/>
          </w:tcPr>
          <w:p>
            <w:pPr>
              <w:widowControl/>
              <w:jc w:val="left"/>
              <w:rPr>
                <w:b/>
                <w:bCs/>
                <w:color w:val="000000"/>
                <w:kern w:val="0"/>
                <w:szCs w:val="21"/>
              </w:rPr>
            </w:pPr>
            <w:r>
              <w:rPr>
                <w:b/>
                <w:bCs/>
                <w:color w:val="000000"/>
                <w:kern w:val="0"/>
                <w:szCs w:val="21"/>
              </w:rPr>
              <w:t>主要环境问题：</w:t>
            </w:r>
          </w:p>
          <w:p>
            <w:pPr>
              <w:widowControl/>
              <w:numPr>
                <w:ilvl w:val="0"/>
                <w:numId w:val="56"/>
              </w:numPr>
              <w:rPr>
                <w:color w:val="000000"/>
                <w:kern w:val="0"/>
                <w:szCs w:val="21"/>
              </w:rPr>
            </w:pPr>
            <w:r>
              <w:rPr>
                <w:color w:val="000000"/>
                <w:kern w:val="0"/>
                <w:szCs w:val="21"/>
              </w:rPr>
              <w:t>乡镇污水、垃圾等基础设施</w:t>
            </w:r>
            <w:r>
              <w:rPr>
                <w:rFonts w:hint="eastAsia"/>
                <w:color w:val="000000"/>
                <w:kern w:val="0"/>
                <w:szCs w:val="21"/>
              </w:rPr>
              <w:t>有</w:t>
            </w:r>
            <w:r>
              <w:rPr>
                <w:color w:val="000000"/>
                <w:kern w:val="0"/>
                <w:szCs w:val="21"/>
              </w:rPr>
              <w:t>待完善；</w:t>
            </w:r>
          </w:p>
          <w:p>
            <w:pPr>
              <w:widowControl/>
              <w:numPr>
                <w:ilvl w:val="0"/>
                <w:numId w:val="56"/>
              </w:numPr>
              <w:rPr>
                <w:color w:val="000000"/>
                <w:kern w:val="0"/>
                <w:szCs w:val="21"/>
              </w:rPr>
            </w:pPr>
            <w:r>
              <w:rPr>
                <w:color w:val="000000"/>
                <w:kern w:val="0"/>
                <w:szCs w:val="21"/>
              </w:rPr>
              <w:t>县硫铁矿等企业退出后遗留问题。</w:t>
            </w:r>
          </w:p>
          <w:p>
            <w:pPr>
              <w:widowControl/>
              <w:rPr>
                <w:b/>
                <w:bCs/>
                <w:color w:val="000000"/>
                <w:kern w:val="0"/>
                <w:szCs w:val="21"/>
              </w:rPr>
            </w:pPr>
            <w:r>
              <w:rPr>
                <w:b/>
                <w:bCs/>
                <w:color w:val="000000"/>
                <w:kern w:val="0"/>
                <w:szCs w:val="21"/>
              </w:rPr>
              <w:t>重要敏感目标：</w:t>
            </w:r>
          </w:p>
          <w:p>
            <w:pPr>
              <w:widowControl/>
              <w:rPr>
                <w:color w:val="000000"/>
                <w:kern w:val="0"/>
                <w:szCs w:val="21"/>
              </w:rPr>
            </w:pPr>
            <w:r>
              <w:rPr>
                <w:color w:val="000000"/>
                <w:kern w:val="0"/>
                <w:szCs w:val="21"/>
              </w:rPr>
              <w:t>儒林镇：</w:t>
            </w:r>
          </w:p>
          <w:p>
            <w:pPr>
              <w:widowControl/>
              <w:rPr>
                <w:color w:val="000000"/>
                <w:szCs w:val="21"/>
              </w:rPr>
            </w:pPr>
            <w:r>
              <w:rPr>
                <w:color w:val="000000"/>
                <w:szCs w:val="21"/>
              </w:rPr>
              <w:t>1、邵阳市城步苗族自治县白云水库饮用水水源保护区</w:t>
            </w:r>
          </w:p>
          <w:p>
            <w:pPr>
              <w:widowControl/>
              <w:rPr>
                <w:color w:val="000000"/>
                <w:szCs w:val="21"/>
              </w:rPr>
            </w:pPr>
            <w:r>
              <w:rPr>
                <w:color w:val="000000"/>
                <w:szCs w:val="21"/>
              </w:rPr>
              <w:t>儒林镇/汀坪乡：</w:t>
            </w:r>
          </w:p>
          <w:p>
            <w:pPr>
              <w:widowControl/>
              <w:rPr>
                <w:color w:val="000000"/>
                <w:szCs w:val="21"/>
              </w:rPr>
            </w:pPr>
            <w:r>
              <w:rPr>
                <w:color w:val="000000"/>
                <w:szCs w:val="21"/>
              </w:rPr>
              <w:t>2、南山国家公园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kern w:val="0"/>
                <w:szCs w:val="21"/>
              </w:rPr>
            </w:pPr>
            <w:r>
              <w:rPr>
                <w:b/>
                <w:color w:val="000000"/>
                <w:kern w:val="0"/>
                <w:szCs w:val="21"/>
              </w:rPr>
              <w:t>主要属性</w:t>
            </w:r>
          </w:p>
        </w:tc>
        <w:tc>
          <w:tcPr>
            <w:tcW w:w="12523" w:type="dxa"/>
            <w:gridSpan w:val="11"/>
            <w:vAlign w:val="center"/>
          </w:tcPr>
          <w:p>
            <w:pPr>
              <w:rPr>
                <w:b/>
                <w:bCs/>
                <w:color w:val="000000"/>
                <w:sz w:val="22"/>
              </w:rPr>
            </w:pPr>
            <w:r>
              <w:rPr>
                <w:b/>
                <w:bCs/>
                <w:color w:val="000000"/>
                <w:sz w:val="22"/>
              </w:rPr>
              <w:t>蒋坊乡：</w:t>
            </w:r>
          </w:p>
          <w:p>
            <w:pPr>
              <w:numPr>
                <w:ilvl w:val="0"/>
                <w:numId w:val="57"/>
              </w:numPr>
              <w:rPr>
                <w:color w:val="000000"/>
                <w:szCs w:val="21"/>
              </w:rPr>
            </w:pPr>
            <w:r>
              <w:rPr>
                <w:color w:val="000000"/>
                <w:szCs w:val="21"/>
              </w:rPr>
              <w:t>红线/一般生态空间/水源涵养重要区\三区三线生态红线\水土流失敏感区\生物多样性保护功能重要区\原生态红线\石漠化敏感区\森林公园；</w:t>
            </w:r>
          </w:p>
          <w:p>
            <w:pPr>
              <w:numPr>
                <w:ilvl w:val="0"/>
                <w:numId w:val="57"/>
              </w:numPr>
              <w:rPr>
                <w:color w:val="000000"/>
                <w:szCs w:val="21"/>
              </w:rPr>
            </w:pPr>
            <w:r>
              <w:rPr>
                <w:color w:val="000000"/>
                <w:szCs w:val="21"/>
              </w:rPr>
              <w:t>水环境其他重点管控区/水环境一般管控区；重金属矿；城步苗族自治县鑫和铁矿；</w:t>
            </w:r>
          </w:p>
          <w:p>
            <w:pPr>
              <w:numPr>
                <w:ilvl w:val="0"/>
                <w:numId w:val="57"/>
              </w:numPr>
              <w:rPr>
                <w:color w:val="000000"/>
                <w:szCs w:val="21"/>
              </w:rPr>
            </w:pPr>
            <w:r>
              <w:rPr>
                <w:color w:val="000000"/>
                <w:szCs w:val="21"/>
              </w:rPr>
              <w:t>大气环境受体敏感重点管控区；</w:t>
            </w:r>
          </w:p>
          <w:p>
            <w:pPr>
              <w:numPr>
                <w:ilvl w:val="0"/>
                <w:numId w:val="57"/>
              </w:numPr>
              <w:rPr>
                <w:color w:val="000000"/>
                <w:szCs w:val="21"/>
              </w:rPr>
            </w:pPr>
            <w:r>
              <w:rPr>
                <w:color w:val="000000"/>
                <w:szCs w:val="21"/>
              </w:rPr>
              <w:t>农用地优先保护区/农用地重点管控区/建设用地重点管控区/其他重点管控区/一般管控区；矿区/中高风险企业用地；</w:t>
            </w:r>
          </w:p>
          <w:p>
            <w:pPr>
              <w:numPr>
                <w:ilvl w:val="0"/>
                <w:numId w:val="57"/>
              </w:numPr>
              <w:rPr>
                <w:color w:val="000000"/>
                <w:szCs w:val="21"/>
              </w:rPr>
            </w:pPr>
            <w:r>
              <w:rPr>
                <w:color w:val="000000"/>
                <w:szCs w:val="21"/>
              </w:rPr>
              <w:t>重点生态功能区</w:t>
            </w:r>
          </w:p>
          <w:p>
            <w:pPr>
              <w:rPr>
                <w:color w:val="000000"/>
                <w:szCs w:val="21"/>
              </w:rPr>
            </w:pPr>
            <w:r>
              <w:rPr>
                <w:b/>
                <w:bCs/>
                <w:color w:val="000000"/>
                <w:sz w:val="22"/>
              </w:rPr>
              <w:t>茅坪镇</w:t>
            </w:r>
            <w:r>
              <w:rPr>
                <w:color w:val="000000"/>
                <w:szCs w:val="21"/>
              </w:rPr>
              <w:t>：</w:t>
            </w:r>
          </w:p>
          <w:p>
            <w:pPr>
              <w:numPr>
                <w:ilvl w:val="0"/>
                <w:numId w:val="58"/>
              </w:numPr>
              <w:rPr>
                <w:color w:val="000000"/>
                <w:szCs w:val="21"/>
              </w:rPr>
            </w:pPr>
            <w:r>
              <w:rPr>
                <w:color w:val="000000"/>
                <w:szCs w:val="21"/>
              </w:rPr>
              <w:t>红线/一般生态空间/水源涵养重要区\三区三线生态红线\水土流失敏感区\生物多样性保护功能重要区\原生态红线\石漠化敏感区；</w:t>
            </w:r>
          </w:p>
          <w:p>
            <w:pPr>
              <w:numPr>
                <w:ilvl w:val="0"/>
                <w:numId w:val="58"/>
              </w:numPr>
              <w:rPr>
                <w:color w:val="000000"/>
                <w:szCs w:val="21"/>
              </w:rPr>
            </w:pPr>
            <w:r>
              <w:rPr>
                <w:color w:val="000000"/>
                <w:szCs w:val="21"/>
              </w:rPr>
              <w:t>水环境工业园区重点管控区/水环境一般管控区/工业园区/城步产业开发区；</w:t>
            </w:r>
          </w:p>
          <w:p>
            <w:pPr>
              <w:numPr>
                <w:ilvl w:val="0"/>
                <w:numId w:val="58"/>
              </w:numPr>
              <w:rPr>
                <w:color w:val="000000"/>
                <w:szCs w:val="21"/>
              </w:rPr>
            </w:pPr>
            <w:r>
              <w:rPr>
                <w:color w:val="000000"/>
                <w:szCs w:val="21"/>
              </w:rPr>
              <w:t>大气环境高排放重点管控区/大气环境受体敏感重点管控区；城步产业开发区；</w:t>
            </w:r>
          </w:p>
          <w:p>
            <w:pPr>
              <w:numPr>
                <w:ilvl w:val="0"/>
                <w:numId w:val="58"/>
              </w:numPr>
              <w:rPr>
                <w:color w:val="000000"/>
                <w:szCs w:val="21"/>
              </w:rPr>
            </w:pPr>
            <w:r>
              <w:rPr>
                <w:color w:val="000000"/>
                <w:szCs w:val="21"/>
              </w:rPr>
              <w:t>农用地优先保护区/其他重点管控区/一般管控区；城步产业开发区/矿区/</w:t>
            </w:r>
          </w:p>
          <w:p>
            <w:pPr>
              <w:numPr>
                <w:ilvl w:val="0"/>
                <w:numId w:val="58"/>
              </w:numPr>
              <w:rPr>
                <w:color w:val="000000"/>
                <w:szCs w:val="21"/>
              </w:rPr>
            </w:pPr>
            <w:r>
              <w:rPr>
                <w:color w:val="000000"/>
                <w:szCs w:val="21"/>
              </w:rPr>
              <w:t>城市化地区</w:t>
            </w:r>
          </w:p>
          <w:p>
            <w:pPr>
              <w:rPr>
                <w:b/>
                <w:bCs/>
                <w:color w:val="000000"/>
                <w:sz w:val="22"/>
              </w:rPr>
            </w:pPr>
            <w:r>
              <w:rPr>
                <w:b/>
                <w:bCs/>
                <w:color w:val="000000"/>
                <w:sz w:val="22"/>
              </w:rPr>
              <w:t>儒林镇：</w:t>
            </w:r>
          </w:p>
          <w:p>
            <w:pPr>
              <w:numPr>
                <w:ilvl w:val="0"/>
                <w:numId w:val="59"/>
              </w:numPr>
              <w:rPr>
                <w:color w:val="000000"/>
                <w:szCs w:val="21"/>
              </w:rPr>
            </w:pPr>
            <w:r>
              <w:rPr>
                <w:color w:val="000000"/>
                <w:szCs w:val="21"/>
              </w:rPr>
              <w:t>红线/一般生态空间/水源涵养重要区\三区三线生态红线\南山国家公园\生物多样性保护功能重要区\水土保持功能重要区\水土流失敏感区\原生态红线\石漠化敏感区；</w:t>
            </w:r>
          </w:p>
          <w:p>
            <w:pPr>
              <w:numPr>
                <w:ilvl w:val="0"/>
                <w:numId w:val="59"/>
              </w:numPr>
              <w:rPr>
                <w:color w:val="000000"/>
                <w:szCs w:val="21"/>
              </w:rPr>
            </w:pPr>
            <w:r>
              <w:rPr>
                <w:color w:val="000000"/>
                <w:szCs w:val="21"/>
              </w:rPr>
              <w:t>水环境优先保护区/水环境工业园重点管控区/水环境城镇生活污染重点管控区/水环境其他重点管控区/水环境一般管控区；水源地（县级及以上）/工业园区/污水处理厂/重金属矿；邵阳市城步苗族自治县白云水库饮用水水源保护区/城步产业开发区/城南污水处理有限责任公司/城步苗族自治县金石矿业有限公司金石铜矿、城步苗族自治县富鑫矿业贸易有限公司儒林镇马屁股铜矿；</w:t>
            </w:r>
          </w:p>
          <w:p>
            <w:pPr>
              <w:numPr>
                <w:ilvl w:val="0"/>
                <w:numId w:val="59"/>
              </w:numPr>
              <w:rPr>
                <w:color w:val="000000"/>
                <w:szCs w:val="21"/>
              </w:rPr>
            </w:pPr>
            <w:r>
              <w:rPr>
                <w:color w:val="000000"/>
                <w:szCs w:val="21"/>
              </w:rPr>
              <w:t>大气环境优先保护区/大气环境高排放重点管控区/大气环境受体敏感重点管控区；南山国家公园/城步产业开发区/湖南城步苗族自治县工业集中区；</w:t>
            </w:r>
          </w:p>
          <w:p>
            <w:pPr>
              <w:numPr>
                <w:ilvl w:val="0"/>
                <w:numId w:val="59"/>
              </w:numPr>
              <w:rPr>
                <w:color w:val="000000"/>
                <w:szCs w:val="21"/>
              </w:rPr>
            </w:pPr>
            <w:r>
              <w:rPr>
                <w:color w:val="000000"/>
                <w:szCs w:val="21"/>
              </w:rPr>
              <w:t>农用地优先保护区/建设用地重点管控区/其他重点管控区/一般管控区；矿区/中高风险企业用地；城步产业开发区；</w:t>
            </w:r>
          </w:p>
          <w:p>
            <w:pPr>
              <w:numPr>
                <w:ilvl w:val="0"/>
                <w:numId w:val="59"/>
              </w:numPr>
              <w:rPr>
                <w:color w:val="000000"/>
                <w:szCs w:val="21"/>
              </w:rPr>
            </w:pPr>
            <w:r>
              <w:rPr>
                <w:color w:val="000000"/>
                <w:szCs w:val="21"/>
              </w:rPr>
              <w:t>城市化地区；高污染燃料禁燃区</w:t>
            </w:r>
          </w:p>
          <w:p>
            <w:pPr>
              <w:ind w:left="442" w:hanging="442" w:hangingChars="200"/>
              <w:jc w:val="left"/>
              <w:rPr>
                <w:b/>
                <w:bCs/>
                <w:color w:val="000000"/>
                <w:sz w:val="22"/>
              </w:rPr>
            </w:pPr>
            <w:r>
              <w:rPr>
                <w:b/>
                <w:bCs/>
                <w:color w:val="000000"/>
                <w:sz w:val="22"/>
              </w:rPr>
              <w:t>汀坪乡：</w:t>
            </w:r>
          </w:p>
          <w:p>
            <w:pPr>
              <w:numPr>
                <w:ilvl w:val="0"/>
                <w:numId w:val="60"/>
              </w:numPr>
              <w:jc w:val="left"/>
              <w:rPr>
                <w:color w:val="000000"/>
                <w:szCs w:val="21"/>
              </w:rPr>
            </w:pPr>
            <w:r>
              <w:rPr>
                <w:color w:val="000000"/>
                <w:szCs w:val="21"/>
              </w:rPr>
              <w:t>红线/一般生态空间；水源涵养重要区\南山国家公园\三区三线生态红线\生物多样性保护功能重要区\原生态红线\水土保持功能重要区\水土流失敏感区；</w:t>
            </w:r>
          </w:p>
          <w:p>
            <w:pPr>
              <w:numPr>
                <w:ilvl w:val="0"/>
                <w:numId w:val="60"/>
              </w:numPr>
              <w:rPr>
                <w:color w:val="000000"/>
                <w:szCs w:val="21"/>
              </w:rPr>
            </w:pPr>
            <w:r>
              <w:rPr>
                <w:color w:val="000000"/>
                <w:szCs w:val="21"/>
              </w:rPr>
              <w:t>水环境一般管控区；</w:t>
            </w:r>
          </w:p>
          <w:p>
            <w:pPr>
              <w:numPr>
                <w:ilvl w:val="0"/>
                <w:numId w:val="60"/>
              </w:numPr>
              <w:rPr>
                <w:color w:val="000000"/>
                <w:szCs w:val="21"/>
              </w:rPr>
            </w:pPr>
            <w:r>
              <w:rPr>
                <w:color w:val="000000"/>
                <w:szCs w:val="21"/>
              </w:rPr>
              <w:t>大气环境优先保护区/南山国家公园；</w:t>
            </w:r>
          </w:p>
          <w:p>
            <w:pPr>
              <w:numPr>
                <w:ilvl w:val="0"/>
                <w:numId w:val="60"/>
              </w:numPr>
              <w:rPr>
                <w:color w:val="000000"/>
                <w:szCs w:val="21"/>
              </w:rPr>
            </w:pPr>
            <w:r>
              <w:rPr>
                <w:color w:val="000000"/>
                <w:szCs w:val="21"/>
              </w:rPr>
              <w:t>农用地优先保护区/一般管控区/</w:t>
            </w:r>
          </w:p>
          <w:p>
            <w:pPr>
              <w:numPr>
                <w:ilvl w:val="0"/>
                <w:numId w:val="60"/>
              </w:numPr>
              <w:rPr>
                <w:color w:val="000000"/>
                <w:szCs w:val="21"/>
              </w:rPr>
            </w:pPr>
            <w:r>
              <w:rPr>
                <w:color w:val="000000"/>
                <w:szCs w:val="21"/>
              </w:rPr>
              <w:t>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b/>
                <w:color w:val="000000"/>
                <w:szCs w:val="21"/>
              </w:rPr>
            </w:pPr>
            <w:r>
              <w:rPr>
                <w:b/>
                <w:color w:val="000000"/>
                <w:szCs w:val="21"/>
              </w:rPr>
              <w:t>管控维度</w:t>
            </w:r>
          </w:p>
        </w:tc>
        <w:tc>
          <w:tcPr>
            <w:tcW w:w="8823" w:type="dxa"/>
            <w:gridSpan w:val="9"/>
            <w:vAlign w:val="center"/>
          </w:tcPr>
          <w:p>
            <w:pPr>
              <w:jc w:val="center"/>
              <w:rPr>
                <w:b/>
                <w:color w:val="000000"/>
                <w:szCs w:val="21"/>
              </w:rPr>
            </w:pPr>
            <w:r>
              <w:rPr>
                <w:b/>
                <w:color w:val="000000"/>
                <w:kern w:val="0"/>
                <w:szCs w:val="21"/>
              </w:rPr>
              <w:t>管控要求</w:t>
            </w:r>
          </w:p>
        </w:tc>
        <w:tc>
          <w:tcPr>
            <w:tcW w:w="3700" w:type="dxa"/>
            <w:gridSpan w:val="2"/>
            <w:vAlign w:val="center"/>
          </w:tcPr>
          <w:p>
            <w:pPr>
              <w:jc w:val="center"/>
              <w:rPr>
                <w:b/>
                <w:color w:val="000000"/>
                <w:szCs w:val="21"/>
              </w:rPr>
            </w:pPr>
            <w:r>
              <w:rPr>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空间布局约束</w:t>
            </w:r>
          </w:p>
        </w:tc>
        <w:tc>
          <w:tcPr>
            <w:tcW w:w="8823" w:type="dxa"/>
            <w:gridSpan w:val="9"/>
            <w:vAlign w:val="center"/>
          </w:tcPr>
          <w:p>
            <w:pPr>
              <w:widowControl/>
              <w:tabs>
                <w:tab w:val="left" w:pos="1021"/>
              </w:tabs>
              <w:jc w:val="left"/>
              <w:rPr>
                <w:color w:val="000000"/>
                <w:szCs w:val="21"/>
              </w:rPr>
            </w:pPr>
            <w:r>
              <w:rPr>
                <w:color w:val="000000"/>
                <w:szCs w:val="21"/>
              </w:rPr>
              <w:t>（1.1）优化县域产业布局，调整产业结构，提高环境准入门槛，严控两高项目，推行重点排气企业的清洁生产，实施排污权总量消减替代，完成减排目标。</w:t>
            </w:r>
          </w:p>
          <w:p>
            <w:pPr>
              <w:widowControl/>
              <w:tabs>
                <w:tab w:val="left" w:pos="1021"/>
              </w:tabs>
              <w:jc w:val="left"/>
              <w:rPr>
                <w:color w:val="000000"/>
                <w:szCs w:val="21"/>
              </w:rPr>
            </w:pPr>
            <w:r>
              <w:rPr>
                <w:color w:val="000000"/>
                <w:szCs w:val="21"/>
              </w:rPr>
              <w:t>（1.2）在生态红线区域内，禁止城镇化、工业化活动和矿产资源开发，确保生态功能不降低。</w:t>
            </w:r>
          </w:p>
          <w:p>
            <w:pPr>
              <w:widowControl/>
              <w:tabs>
                <w:tab w:val="left" w:pos="1021"/>
              </w:tabs>
              <w:jc w:val="left"/>
              <w:rPr>
                <w:color w:val="000000"/>
                <w:szCs w:val="21"/>
              </w:rPr>
            </w:pPr>
            <w:r>
              <w:rPr>
                <w:color w:val="000000"/>
                <w:szCs w:val="21"/>
              </w:rPr>
              <w:t>（1.3）湿地公园、饮用水源地等各类保护区划定为普通建筑材料用砂石土矿禁止开采区。</w:t>
            </w:r>
          </w:p>
          <w:p>
            <w:pPr>
              <w:widowControl/>
              <w:tabs>
                <w:tab w:val="left" w:pos="1021"/>
              </w:tabs>
              <w:jc w:val="left"/>
              <w:rPr>
                <w:color w:val="000000"/>
                <w:szCs w:val="21"/>
              </w:rPr>
            </w:pPr>
            <w:r>
              <w:rPr>
                <w:color w:val="000000"/>
                <w:szCs w:val="21"/>
              </w:rPr>
              <w:t>（1.4）严防矿产资源开发污染土壤，加强涉重金属行业污染防控，规范工业废物处理处置活动，新建建筑垃圾、渣土消纳场。</w:t>
            </w:r>
          </w:p>
          <w:p>
            <w:pPr>
              <w:pStyle w:val="3"/>
              <w:rPr>
                <w:color w:val="000000"/>
                <w:szCs w:val="21"/>
              </w:rPr>
            </w:pPr>
            <w:r>
              <w:rPr>
                <w:color w:val="000000"/>
                <w:szCs w:val="21"/>
              </w:rPr>
              <w:t>（1.5）严禁在禁燃区内新建、扩建燃用高污染燃料的设施，或者未按规定停止燃用高污染燃料，或者在城市集中供热管网覆盖地区新建、扩建分散燃煤供热锅炉，或者未按照规定拆除已建成的不能达标排放的燃煤供热锅炉。</w:t>
            </w:r>
          </w:p>
          <w:p>
            <w:pPr>
              <w:pStyle w:val="3"/>
              <w:rPr>
                <w:color w:val="000000"/>
                <w:szCs w:val="21"/>
              </w:rPr>
            </w:pPr>
            <w:r>
              <w:rPr>
                <w:color w:val="000000"/>
                <w:szCs w:val="21"/>
              </w:rPr>
              <w:t>（1.6）在科学规划利用土地的基础上，合理地布设梯田、坝库、林草以及其他防护工程等治理措施，有效地控制水土流失。推动工程、林草、治坡、治沟等各项措施紧密结合、协调发展。</w:t>
            </w:r>
          </w:p>
          <w:p>
            <w:pPr>
              <w:pStyle w:val="3"/>
              <w:rPr>
                <w:b/>
                <w:bCs/>
                <w:color w:val="000000"/>
                <w:szCs w:val="21"/>
              </w:rPr>
            </w:pPr>
            <w:r>
              <w:rPr>
                <w:b/>
                <w:bCs/>
                <w:color w:val="000000"/>
                <w:szCs w:val="21"/>
              </w:rPr>
              <w:t>儒林镇/汀坪乡：</w:t>
            </w:r>
          </w:p>
          <w:p>
            <w:pPr>
              <w:pStyle w:val="3"/>
              <w:rPr>
                <w:color w:val="000000"/>
                <w:szCs w:val="21"/>
              </w:rPr>
            </w:pPr>
            <w:r>
              <w:rPr>
                <w:color w:val="000000"/>
                <w:szCs w:val="21"/>
              </w:rPr>
              <w:t>（1.7）南山国家公园保护区：坚持把生态保护放在首位，在核心保护区严格落实禁牧措施，在一般控制区严格实行以草定畜；推进南山国家公园生态修复、草山修复及基础设施建设，扩大南山国家公园范围。</w:t>
            </w:r>
          </w:p>
        </w:tc>
        <w:tc>
          <w:tcPr>
            <w:tcW w:w="3700" w:type="dxa"/>
            <w:gridSpan w:val="2"/>
            <w:vMerge w:val="restart"/>
          </w:tcPr>
          <w:p>
            <w:pPr>
              <w:widowControl/>
              <w:tabs>
                <w:tab w:val="left" w:pos="1021"/>
              </w:tabs>
              <w:jc w:val="left"/>
              <w:rPr>
                <w:color w:val="000000"/>
                <w:szCs w:val="21"/>
              </w:rPr>
            </w:pPr>
            <w:r>
              <w:rPr>
                <w:color w:val="000000"/>
                <w:szCs w:val="21"/>
              </w:rPr>
              <w:t>（1.1）（1.2）（1.4）（1.5）（1.6）（2.1.1）（2.1.2）（2.1.3）（2.3.2）（2.3.3）（4.1）（4.2.2）《城步苗族自治县国民经济和社会发展第十四个五年规划和二O三五年远景目标纲要》</w:t>
            </w:r>
          </w:p>
          <w:p>
            <w:pPr>
              <w:widowControl/>
              <w:numPr>
                <w:ilvl w:val="1"/>
                <w:numId w:val="0"/>
              </w:numPr>
              <w:jc w:val="left"/>
              <w:rPr>
                <w:color w:val="000000"/>
                <w:szCs w:val="21"/>
              </w:rPr>
            </w:pPr>
            <w:r>
              <w:rPr>
                <w:color w:val="000000"/>
                <w:szCs w:val="21"/>
              </w:rPr>
              <w:t>（1.3）（4.3.）《城步苗族自治县国土空间总体规划（2021</w:t>
            </w:r>
            <w:r>
              <w:rPr>
                <w:rFonts w:hint="eastAsia"/>
                <w:color w:val="000000"/>
                <w:szCs w:val="21"/>
              </w:rPr>
              <w:t>—</w:t>
            </w:r>
            <w:r>
              <w:rPr>
                <w:color w:val="000000"/>
                <w:szCs w:val="21"/>
              </w:rPr>
              <w:t>2035年）》</w:t>
            </w:r>
          </w:p>
          <w:p>
            <w:pPr>
              <w:widowControl/>
              <w:numPr>
                <w:ilvl w:val="1"/>
                <w:numId w:val="0"/>
              </w:numPr>
              <w:jc w:val="left"/>
              <w:rPr>
                <w:color w:val="000000"/>
                <w:szCs w:val="21"/>
              </w:rPr>
            </w:pPr>
            <w:r>
              <w:rPr>
                <w:color w:val="000000"/>
                <w:szCs w:val="21"/>
              </w:rPr>
              <w:t>（1.7）南山国家公园保护区</w:t>
            </w:r>
          </w:p>
          <w:p>
            <w:pPr>
              <w:widowControl/>
              <w:jc w:val="left"/>
              <w:rPr>
                <w:color w:val="000000"/>
                <w:szCs w:val="21"/>
              </w:rPr>
            </w:pPr>
            <w:r>
              <w:rPr>
                <w:color w:val="000000"/>
                <w:szCs w:val="21"/>
              </w:rPr>
              <w:t>（2.2）（2.3.1）（3.1）（3.2）（3.3）《2023年城步苗族自治县深入打好污染防治攻坚战工作方案》</w:t>
            </w:r>
          </w:p>
          <w:p>
            <w:pPr>
              <w:tabs>
                <w:tab w:val="left" w:pos="1021"/>
              </w:tabs>
              <w:rPr>
                <w:color w:val="000000"/>
                <w:szCs w:val="21"/>
              </w:rPr>
            </w:pPr>
            <w:r>
              <w:rPr>
                <w:color w:val="000000"/>
                <w:szCs w:val="21"/>
              </w:rPr>
              <w:t>（4.2.1）《邵阳市“十四五”用水总量和强度双控目标》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污染物排放管控</w:t>
            </w:r>
          </w:p>
        </w:tc>
        <w:tc>
          <w:tcPr>
            <w:tcW w:w="8823" w:type="dxa"/>
            <w:gridSpan w:val="9"/>
            <w:vAlign w:val="center"/>
          </w:tcPr>
          <w:p>
            <w:pPr>
              <w:widowControl/>
              <w:tabs>
                <w:tab w:val="left" w:pos="1021"/>
              </w:tabs>
              <w:jc w:val="left"/>
              <w:rPr>
                <w:color w:val="000000"/>
                <w:szCs w:val="21"/>
              </w:rPr>
            </w:pPr>
            <w:r>
              <w:rPr>
                <w:color w:val="000000"/>
                <w:szCs w:val="21"/>
              </w:rPr>
              <w:t>（2.1）废水：</w:t>
            </w:r>
          </w:p>
          <w:p>
            <w:pPr>
              <w:widowControl/>
              <w:tabs>
                <w:tab w:val="left" w:pos="1021"/>
              </w:tabs>
              <w:jc w:val="left"/>
              <w:rPr>
                <w:color w:val="000000"/>
                <w:szCs w:val="21"/>
              </w:rPr>
            </w:pPr>
            <w:r>
              <w:rPr>
                <w:color w:val="000000"/>
                <w:szCs w:val="21"/>
              </w:rPr>
              <w:t>（2.1.1）完善县城和重点乡镇污水管网等基础设施，完成乡镇污水处理厂。</w:t>
            </w:r>
          </w:p>
          <w:p>
            <w:pPr>
              <w:widowControl/>
              <w:tabs>
                <w:tab w:val="left" w:pos="1021"/>
              </w:tabs>
              <w:jc w:val="left"/>
              <w:rPr>
                <w:color w:val="000000"/>
                <w:szCs w:val="21"/>
              </w:rPr>
            </w:pPr>
            <w:r>
              <w:rPr>
                <w:color w:val="000000"/>
                <w:szCs w:val="21"/>
              </w:rPr>
              <w:t>（2.1.2）强化涉水工业企业监管，降低水耗，减少废水排放量，确保企业水污染防治设施规范运行。</w:t>
            </w:r>
          </w:p>
          <w:p>
            <w:pPr>
              <w:widowControl/>
              <w:tabs>
                <w:tab w:val="left" w:pos="1021"/>
              </w:tabs>
              <w:jc w:val="left"/>
              <w:rPr>
                <w:color w:val="000000"/>
                <w:szCs w:val="21"/>
              </w:rPr>
            </w:pPr>
            <w:r>
              <w:rPr>
                <w:color w:val="000000"/>
                <w:szCs w:val="21"/>
              </w:rPr>
              <w:t>（2.1.3）加快补齐农村环境短板，推进生活污水治理，探索推行城镇污水管网向周边村庄延伸覆盖，消除黑臭水体，加强农村水源地保护。</w:t>
            </w:r>
          </w:p>
          <w:p>
            <w:pPr>
              <w:widowControl/>
              <w:tabs>
                <w:tab w:val="left" w:pos="1021"/>
              </w:tabs>
              <w:jc w:val="left"/>
              <w:rPr>
                <w:color w:val="000000"/>
                <w:szCs w:val="21"/>
              </w:rPr>
            </w:pPr>
            <w:r>
              <w:rPr>
                <w:color w:val="000000"/>
                <w:szCs w:val="21"/>
              </w:rPr>
              <w:t>（2.2）废气：落实《湖南省大气污染防治攻坚行动工作方案》，坚持源头防控、系统治理，在水泥、砖瓦、工业涂装等重点行业，柴油货车、露天焚烧秸秆、餐饮油烟、城市扬尘等重点领域，开展“守护蓝天”行动，</w:t>
            </w:r>
            <w:r>
              <w:rPr>
                <w:color w:val="000000"/>
                <w:szCs w:val="21"/>
                <w:lang w:val="zh-CN"/>
              </w:rPr>
              <w:t>严格落实各项攻坚措施</w:t>
            </w:r>
            <w:r>
              <w:rPr>
                <w:color w:val="000000"/>
                <w:szCs w:val="21"/>
              </w:rPr>
              <w:t>。</w:t>
            </w:r>
          </w:p>
          <w:p>
            <w:pPr>
              <w:widowControl/>
              <w:tabs>
                <w:tab w:val="left" w:pos="1021"/>
              </w:tabs>
              <w:jc w:val="left"/>
              <w:rPr>
                <w:color w:val="000000"/>
                <w:szCs w:val="21"/>
              </w:rPr>
            </w:pPr>
            <w:r>
              <w:rPr>
                <w:color w:val="000000"/>
                <w:szCs w:val="21"/>
              </w:rPr>
              <w:t>（2.3）固体废物：</w:t>
            </w:r>
          </w:p>
          <w:p>
            <w:pPr>
              <w:widowControl/>
              <w:tabs>
                <w:tab w:val="left" w:pos="1021"/>
              </w:tabs>
              <w:jc w:val="left"/>
              <w:rPr>
                <w:color w:val="000000"/>
                <w:szCs w:val="21"/>
              </w:rPr>
            </w:pPr>
            <w:r>
              <w:rPr>
                <w:color w:val="000000"/>
                <w:szCs w:val="21"/>
              </w:rPr>
              <w:t>（2.3.1）全面排查整治涉镉等重金属矿区历史遗留固体废物。</w:t>
            </w:r>
          </w:p>
          <w:p>
            <w:pPr>
              <w:widowControl/>
              <w:tabs>
                <w:tab w:val="left" w:pos="1021"/>
              </w:tabs>
              <w:jc w:val="left"/>
              <w:rPr>
                <w:color w:val="000000"/>
                <w:szCs w:val="21"/>
              </w:rPr>
            </w:pPr>
            <w:r>
              <w:rPr>
                <w:color w:val="000000"/>
                <w:szCs w:val="21"/>
              </w:rPr>
              <w:t>（2.3.2）推进生活垃圾治理，建立生活垃圾收运处理体系，探索推行垃圾就地分类和资源化利用，开展非正规垃圾堆放点排查整治。</w:t>
            </w:r>
          </w:p>
          <w:p>
            <w:pPr>
              <w:widowControl/>
              <w:tabs>
                <w:tab w:val="left" w:pos="1021"/>
              </w:tabs>
              <w:jc w:val="left"/>
              <w:rPr>
                <w:color w:val="000000"/>
                <w:szCs w:val="21"/>
              </w:rPr>
            </w:pPr>
            <w:r>
              <w:rPr>
                <w:color w:val="000000"/>
                <w:szCs w:val="21"/>
              </w:rPr>
              <w:t>（2.3.3）推进“厕所革命”和畜禽养殖粪污资源化利用，探索厕所、畜禽粪污无害化处理和资源利用。</w:t>
            </w:r>
          </w:p>
        </w:tc>
        <w:tc>
          <w:tcPr>
            <w:tcW w:w="370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环境风险防控</w:t>
            </w:r>
          </w:p>
        </w:tc>
        <w:tc>
          <w:tcPr>
            <w:tcW w:w="8823" w:type="dxa"/>
            <w:gridSpan w:val="9"/>
            <w:vAlign w:val="center"/>
          </w:tcPr>
          <w:p>
            <w:pPr>
              <w:tabs>
                <w:tab w:val="left" w:pos="1021"/>
              </w:tabs>
              <w:rPr>
                <w:color w:val="000000"/>
                <w:szCs w:val="21"/>
              </w:rPr>
            </w:pPr>
            <w:r>
              <w:rPr>
                <w:color w:val="000000"/>
                <w:szCs w:val="21"/>
              </w:rPr>
              <w:t>（3.1）持续开展危险废物规范化环境管理评估。</w:t>
            </w:r>
          </w:p>
          <w:p>
            <w:pPr>
              <w:tabs>
                <w:tab w:val="left" w:pos="1021"/>
              </w:tabs>
              <w:rPr>
                <w:color w:val="000000"/>
                <w:szCs w:val="21"/>
              </w:rPr>
            </w:pPr>
            <w:r>
              <w:rPr>
                <w:color w:val="000000"/>
                <w:szCs w:val="21"/>
              </w:rPr>
              <w:t>（3.2）扎实开展尾矿库污染治理“回头看”和历史遗留渣堆污染问题整治，逐步完善尾矿库预警监测体系。</w:t>
            </w:r>
          </w:p>
          <w:p>
            <w:pPr>
              <w:tabs>
                <w:tab w:val="left" w:pos="1021"/>
              </w:tabs>
              <w:rPr>
                <w:color w:val="000000"/>
                <w:szCs w:val="21"/>
              </w:rPr>
            </w:pPr>
            <w:r>
              <w:rPr>
                <w:color w:val="000000"/>
                <w:szCs w:val="21"/>
              </w:rPr>
              <w:t>（3.3）有效管控建设用地土壤污染风险；持续开展重点行业企业用地调查和典型行业周边土壤环境调查，进一步摸清污染地块底数和污染成因。严格土壤污染重点监管单位搬迁腾退用地土壤污染风险管控。</w:t>
            </w:r>
          </w:p>
        </w:tc>
        <w:tc>
          <w:tcPr>
            <w:tcW w:w="370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color w:val="000000"/>
                <w:szCs w:val="21"/>
              </w:rPr>
            </w:pPr>
            <w:r>
              <w:rPr>
                <w:color w:val="000000"/>
                <w:szCs w:val="21"/>
              </w:rPr>
              <w:t>资源开发效率要求</w:t>
            </w:r>
          </w:p>
        </w:tc>
        <w:tc>
          <w:tcPr>
            <w:tcW w:w="8823" w:type="dxa"/>
            <w:gridSpan w:val="9"/>
            <w:vAlign w:val="center"/>
          </w:tcPr>
          <w:p>
            <w:pPr>
              <w:pStyle w:val="8"/>
              <w:widowControl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（4.1）能源：大力发展节能环保、清洁生产、清洁能源产业，全面推进清洁生产改造或清洁化改造。</w:t>
            </w:r>
          </w:p>
          <w:p>
            <w:pPr>
              <w:widowControl/>
              <w:tabs>
                <w:tab w:val="left" w:pos="1021"/>
              </w:tabs>
              <w:jc w:val="left"/>
              <w:rPr>
                <w:color w:val="000000"/>
                <w:szCs w:val="21"/>
              </w:rPr>
            </w:pPr>
            <w:r>
              <w:rPr>
                <w:color w:val="000000"/>
                <w:szCs w:val="21"/>
              </w:rPr>
              <w:t>（4.2）水资源：</w:t>
            </w:r>
          </w:p>
          <w:p>
            <w:pPr>
              <w:widowControl/>
              <w:tabs>
                <w:tab w:val="left" w:pos="1021"/>
              </w:tabs>
              <w:ind w:firstLine="420" w:firstLineChars="200"/>
              <w:jc w:val="left"/>
              <w:rPr>
                <w:color w:val="000000"/>
                <w:szCs w:val="21"/>
              </w:rPr>
            </w:pPr>
            <w:r>
              <w:rPr>
                <w:color w:val="000000"/>
                <w:szCs w:val="21"/>
              </w:rPr>
              <w:t>（4.2.1）到2025年城步苗族自治县用水总量为1.065亿m³；万元地区生产总值用水量比2020年下降20.98%；万元工业增加值用水量比2020年下降12.54%；农田灌溉用水有效利用系数为0.53。</w:t>
            </w:r>
          </w:p>
          <w:p>
            <w:pPr>
              <w:widowControl/>
              <w:tabs>
                <w:tab w:val="left" w:pos="1021"/>
              </w:tabs>
              <w:ind w:firstLine="420" w:firstLineChars="200"/>
              <w:jc w:val="left"/>
              <w:rPr>
                <w:color w:val="000000"/>
                <w:szCs w:val="21"/>
              </w:rPr>
            </w:pPr>
            <w:r>
              <w:rPr>
                <w:color w:val="000000"/>
                <w:szCs w:val="21"/>
              </w:rPr>
              <w:t>（4.2.2）推进城镇污水处理厂出水深度净化和资源化利用。</w:t>
            </w:r>
          </w:p>
          <w:p>
            <w:pPr>
              <w:tabs>
                <w:tab w:val="left" w:pos="1021"/>
              </w:tabs>
              <w:ind w:firstLine="420" w:firstLineChars="200"/>
              <w:rPr>
                <w:color w:val="000000"/>
                <w:szCs w:val="21"/>
              </w:rPr>
            </w:pPr>
            <w:r>
              <w:rPr>
                <w:color w:val="000000"/>
                <w:szCs w:val="21"/>
              </w:rPr>
              <w:t>（4.3）土地资源：至2035年，划定生态保护红线面积105711.07公顷，落实林地保有量217805.00公顷，湿地面积164.08公顷。确保耕地保有量不低于17201.70公顷，永久基本农田保护面积13931.69公顷，控制建设用地总面积不高于7127.68公顷，城乡建设用地不高于6095.99公顷</w:t>
            </w:r>
          </w:p>
        </w:tc>
        <w:tc>
          <w:tcPr>
            <w:tcW w:w="3700" w:type="dxa"/>
            <w:gridSpan w:val="2"/>
            <w:vMerge w:val="continue"/>
            <w:vAlign w:val="center"/>
          </w:tc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r>
        <w:br w:type="page"/>
      </w:r>
    </w:p>
    <w:p>
      <w:pPr>
        <w:pStyle w:val="2"/>
        <w:rPr>
          <w:rFonts w:hint="default" w:ascii="Times New Roman" w:hAnsi="Times New Roman" w:eastAsia="宋体" w:cs="Times New Roman"/>
          <w:lang w:val="en-US" w:eastAsia="zh-CN"/>
        </w:rPr>
      </w:pPr>
      <w:bookmarkStart w:id="52" w:name="_Toc30443"/>
      <w:bookmarkStart w:id="53" w:name="_Toc57836527"/>
      <w:r>
        <w:rPr>
          <w:rFonts w:hint="default" w:ascii="Times New Roman" w:hAnsi="Times New Roman" w:cs="Times New Roman"/>
        </w:rPr>
        <w:t>2-12武冈市</w:t>
      </w:r>
      <w:bookmarkEnd w:id="52"/>
      <w:bookmarkEnd w:id="5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62"/>
        <w:gridCol w:w="544"/>
        <w:gridCol w:w="544"/>
        <w:gridCol w:w="544"/>
        <w:gridCol w:w="720"/>
        <w:gridCol w:w="1019"/>
        <w:gridCol w:w="1004"/>
        <w:gridCol w:w="1134"/>
        <w:gridCol w:w="3596"/>
        <w:gridCol w:w="22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环境管控单元编码</w:t>
            </w:r>
          </w:p>
        </w:tc>
        <w:tc>
          <w:tcPr>
            <w:tcW w:w="662" w:type="dxa"/>
            <w:vMerge w:val="restart"/>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单元名称</w:t>
            </w:r>
          </w:p>
        </w:tc>
        <w:tc>
          <w:tcPr>
            <w:tcW w:w="1632" w:type="dxa"/>
            <w:gridSpan w:val="3"/>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行政区划</w:t>
            </w:r>
          </w:p>
        </w:tc>
        <w:tc>
          <w:tcPr>
            <w:tcW w:w="720" w:type="dxa"/>
            <w:vMerge w:val="restart"/>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单元分类</w:t>
            </w:r>
          </w:p>
        </w:tc>
        <w:tc>
          <w:tcPr>
            <w:tcW w:w="1019"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单元面积(km</w:t>
            </w:r>
            <w:r>
              <w:rPr>
                <w:rFonts w:hint="default" w:ascii="Times New Roman" w:hAnsi="Times New Roman" w:cs="Times New Roman" w:eastAsiaTheme="minorEastAsia"/>
                <w:b/>
                <w:color w:val="000000"/>
                <w:kern w:val="0"/>
                <w:szCs w:val="21"/>
                <w:vertAlign w:val="superscript"/>
              </w:rPr>
              <w:t>2</w:t>
            </w:r>
            <w:r>
              <w:rPr>
                <w:rFonts w:hint="default" w:ascii="Times New Roman" w:hAnsi="Times New Roman" w:cs="Times New Roman" w:eastAsiaTheme="minorEastAsia"/>
                <w:b/>
                <w:color w:val="000000"/>
                <w:kern w:val="0"/>
                <w:szCs w:val="21"/>
              </w:rPr>
              <w:t>)</w:t>
            </w:r>
          </w:p>
        </w:tc>
        <w:tc>
          <w:tcPr>
            <w:tcW w:w="1004"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涉及乡镇(街道)</w:t>
            </w:r>
          </w:p>
        </w:tc>
        <w:tc>
          <w:tcPr>
            <w:tcW w:w="1134"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主体功能定位</w:t>
            </w:r>
          </w:p>
        </w:tc>
        <w:tc>
          <w:tcPr>
            <w:tcW w:w="3596"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经济产业布局</w:t>
            </w:r>
          </w:p>
        </w:tc>
        <w:tc>
          <w:tcPr>
            <w:tcW w:w="3174" w:type="dxa"/>
            <w:gridSpan w:val="2"/>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662"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54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省</w:t>
            </w:r>
          </w:p>
        </w:tc>
        <w:tc>
          <w:tcPr>
            <w:tcW w:w="54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市</w:t>
            </w:r>
          </w:p>
        </w:tc>
        <w:tc>
          <w:tcPr>
            <w:tcW w:w="54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县</w:t>
            </w:r>
          </w:p>
        </w:tc>
        <w:tc>
          <w:tcPr>
            <w:tcW w:w="720"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101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1004"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1134"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3596"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c>
          <w:tcPr>
            <w:tcW w:w="3174" w:type="dxa"/>
            <w:gridSpan w:val="2"/>
            <w:vMerge w:val="continue"/>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ZH43058110001</w:t>
            </w:r>
          </w:p>
        </w:tc>
        <w:tc>
          <w:tcPr>
            <w:tcW w:w="662"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rPr>
              <w:t>法相岩街道</w:t>
            </w:r>
          </w:p>
        </w:tc>
        <w:tc>
          <w:tcPr>
            <w:tcW w:w="54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湖南省</w:t>
            </w:r>
          </w:p>
        </w:tc>
        <w:tc>
          <w:tcPr>
            <w:tcW w:w="54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邵阳市</w:t>
            </w:r>
          </w:p>
        </w:tc>
        <w:tc>
          <w:tcPr>
            <w:tcW w:w="54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武冈市</w:t>
            </w:r>
          </w:p>
        </w:tc>
        <w:tc>
          <w:tcPr>
            <w:tcW w:w="720"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优先保护单元</w:t>
            </w:r>
          </w:p>
        </w:tc>
        <w:tc>
          <w:tcPr>
            <w:tcW w:w="1019"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rPr>
              <w:t>32.85</w:t>
            </w:r>
          </w:p>
        </w:tc>
        <w:tc>
          <w:tcPr>
            <w:tcW w:w="1004"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rPr>
              <w:t>法相岩街道</w:t>
            </w:r>
          </w:p>
        </w:tc>
        <w:tc>
          <w:tcPr>
            <w:tcW w:w="1134"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rPr>
              <w:t>城市化地区</w:t>
            </w:r>
          </w:p>
        </w:tc>
        <w:tc>
          <w:tcPr>
            <w:tcW w:w="359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trike/>
                <w:color w:val="000000"/>
                <w:kern w:val="0"/>
                <w:szCs w:val="21"/>
              </w:rPr>
            </w:pPr>
            <w:r>
              <w:rPr>
                <w:rFonts w:hint="default" w:ascii="Times New Roman" w:hAnsi="Times New Roman" w:cs="Times New Roman" w:eastAsiaTheme="minorEastAsia"/>
                <w:color w:val="000000"/>
                <w:kern w:val="0"/>
                <w:szCs w:val="21"/>
              </w:rPr>
              <w:t>农业种植、畜禽养殖、食品加工、农副产品加工、旅游业、服装加工、社会服务</w:t>
            </w:r>
          </w:p>
        </w:tc>
        <w:tc>
          <w:tcPr>
            <w:tcW w:w="3174" w:type="dxa"/>
            <w:gridSpan w:val="2"/>
            <w:vAlign w:val="center"/>
          </w:tcPr>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rPr>
              <w:t>主要环境问题：</w:t>
            </w:r>
            <w:r>
              <w:rPr>
                <w:rFonts w:hint="default" w:ascii="Times New Roman" w:hAnsi="Times New Roman" w:cs="Times New Roman" w:eastAsiaTheme="minorEastAsia"/>
                <w:sz w:val="21"/>
                <w:szCs w:val="21"/>
              </w:rPr>
              <w:t>食品制造作坊和企业污染治理设施不到位，城镇生活污水</w:t>
            </w:r>
            <w:r>
              <w:rPr>
                <w:rFonts w:hint="eastAsia" w:ascii="Times New Roman" w:hAnsi="Times New Roman" w:cs="Times New Roman" w:eastAsiaTheme="minorEastAsia"/>
                <w:sz w:val="21"/>
                <w:szCs w:val="21"/>
                <w:lang w:eastAsia="zh-CN"/>
              </w:rPr>
              <w:t>未</w:t>
            </w:r>
            <w:r>
              <w:rPr>
                <w:rFonts w:hint="default" w:ascii="Times New Roman" w:hAnsi="Times New Roman" w:cs="Times New Roman" w:eastAsiaTheme="minorEastAsia"/>
                <w:sz w:val="21"/>
                <w:szCs w:val="21"/>
              </w:rPr>
              <w:t>得到全部处理，农村面源污染未得到有效治理；部分河道受到污染</w:t>
            </w:r>
            <w:r>
              <w:rPr>
                <w:rFonts w:hint="default" w:ascii="Times New Roman" w:hAnsi="Times New Roman" w:cs="Times New Roman" w:eastAsiaTheme="minorEastAsia"/>
                <w:sz w:val="21"/>
                <w:szCs w:val="21"/>
                <w:lang w:eastAsia="zh-CN"/>
              </w:rPr>
              <w:t>。</w:t>
            </w:r>
          </w:p>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color w:val="000000"/>
                <w:kern w:val="0"/>
                <w:szCs w:val="21"/>
              </w:rPr>
              <w:t>要敏感目标</w:t>
            </w:r>
            <w:r>
              <w:rPr>
                <w:rFonts w:hint="default" w:ascii="Times New Roman" w:hAnsi="Times New Roman" w:cs="Times New Roman" w:eastAsiaTheme="minorEastAsia"/>
                <w:b/>
                <w:color w:val="000000"/>
                <w:kern w:val="0"/>
                <w:szCs w:val="21"/>
                <w:lang w:eastAsia="zh-CN"/>
              </w:rPr>
              <w:t>：</w:t>
            </w:r>
            <w:r>
              <w:rPr>
                <w:rFonts w:hint="default" w:ascii="Times New Roman" w:hAnsi="Times New Roman" w:cs="Times New Roman" w:eastAsiaTheme="minorEastAsia"/>
                <w:b w:val="0"/>
                <w:bCs/>
                <w:color w:val="000000"/>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kern w:val="0"/>
                <w:szCs w:val="21"/>
              </w:rPr>
            </w:pPr>
            <w:r>
              <w:rPr>
                <w:rFonts w:hint="default" w:ascii="Times New Roman" w:hAnsi="Times New Roman" w:cs="Times New Roman" w:eastAsiaTheme="minorEastAsia"/>
                <w:b/>
                <w:color w:val="000000"/>
                <w:kern w:val="0"/>
                <w:szCs w:val="21"/>
              </w:rPr>
              <w:t>主要属性</w:t>
            </w:r>
          </w:p>
        </w:tc>
        <w:tc>
          <w:tcPr>
            <w:tcW w:w="12941" w:type="dxa"/>
            <w:gridSpan w:val="11"/>
            <w:vAlign w:val="center"/>
          </w:tcPr>
          <w:p>
            <w:pPr>
              <w:pStyle w:val="16"/>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cs="Times New Roman" w:eastAsiaTheme="minorEastAsia"/>
                <w:b/>
                <w:bCs/>
                <w:kern w:val="2"/>
                <w:sz w:val="21"/>
                <w:szCs w:val="21"/>
              </w:rPr>
            </w:pPr>
            <w:r>
              <w:rPr>
                <w:rFonts w:hint="default" w:ascii="Times New Roman" w:hAnsi="Times New Roman" w:cs="Times New Roman" w:eastAsiaTheme="minorEastAsia"/>
                <w:b/>
                <w:bCs/>
                <w:kern w:val="2"/>
                <w:sz w:val="21"/>
                <w:szCs w:val="21"/>
              </w:rPr>
              <w:t>法相岩街道：</w:t>
            </w:r>
          </w:p>
          <w:p>
            <w:pPr>
              <w:pStyle w:val="16"/>
              <w:keepNext w:val="0"/>
              <w:keepLines w:val="0"/>
              <w:pageBreakBefore w:val="0"/>
              <w:kinsoku/>
              <w:wordWrap/>
              <w:overflowPunct/>
              <w:topLinePunct w:val="0"/>
              <w:bidi w:val="0"/>
              <w:adjustRightInd w:val="0"/>
              <w:snapToGrid w:val="0"/>
              <w:spacing w:line="240" w:lineRule="auto"/>
              <w:ind w:firstLine="422" w:firstLineChars="200"/>
              <w:jc w:val="left"/>
              <w:textAlignment w:val="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b/>
                <w:bCs/>
                <w:kern w:val="2"/>
                <w:sz w:val="21"/>
                <w:szCs w:val="21"/>
              </w:rPr>
              <w:t>生态红线：</w:t>
            </w:r>
            <w:r>
              <w:rPr>
                <w:rFonts w:hint="default" w:ascii="Times New Roman" w:hAnsi="Times New Roman" w:cs="Times New Roman" w:eastAsiaTheme="minorEastAsia"/>
                <w:kern w:val="2"/>
                <w:sz w:val="21"/>
                <w:szCs w:val="21"/>
              </w:rPr>
              <w:t>红线/一般生态空间；森林公园\自然保护区\水源涵养重要区\三区三线生态红线\生物多样性保护功能重要区\原生态红线\水土流失敏感区\石漠化敏感区；</w:t>
            </w:r>
          </w:p>
          <w:p>
            <w:pPr>
              <w:pStyle w:val="16"/>
              <w:keepNext w:val="0"/>
              <w:keepLines w:val="0"/>
              <w:pageBreakBefore w:val="0"/>
              <w:kinsoku/>
              <w:wordWrap/>
              <w:overflowPunct/>
              <w:topLinePunct w:val="0"/>
              <w:bidi w:val="0"/>
              <w:adjustRightInd w:val="0"/>
              <w:snapToGrid w:val="0"/>
              <w:spacing w:line="240" w:lineRule="auto"/>
              <w:ind w:firstLine="422" w:firstLineChars="200"/>
              <w:jc w:val="left"/>
              <w:textAlignment w:val="auto"/>
              <w:rPr>
                <w:rFonts w:hint="default" w:ascii="Times New Roman" w:hAnsi="Times New Roman" w:cs="Times New Roman" w:eastAsiaTheme="minorEastAsia"/>
                <w:b/>
                <w:bCs/>
                <w:kern w:val="2"/>
                <w:sz w:val="21"/>
                <w:szCs w:val="21"/>
              </w:rPr>
            </w:pPr>
            <w:r>
              <w:rPr>
                <w:rFonts w:hint="default" w:ascii="Times New Roman" w:hAnsi="Times New Roman" w:cs="Times New Roman" w:eastAsiaTheme="minorEastAsia"/>
                <w:b/>
                <w:bCs/>
                <w:kern w:val="2"/>
                <w:sz w:val="21"/>
                <w:szCs w:val="21"/>
              </w:rPr>
              <w:t>环境质量底线：</w:t>
            </w:r>
            <w:r>
              <w:rPr>
                <w:rFonts w:hint="default" w:ascii="Times New Roman" w:hAnsi="Times New Roman" w:cs="Times New Roman" w:eastAsiaTheme="minorEastAsia"/>
                <w:kern w:val="2"/>
                <w:sz w:val="21"/>
                <w:szCs w:val="21"/>
              </w:rPr>
              <w:t>水环境工业污染重点管控区/水环境一般管控区；工业园区、重金属矿；武冈经济开发区、武冈市紫田铁矿；大气环境优先保护区/大气环境高排放重点管控区/大气环境受体敏感重点管控区/大气环境弱扩散重点管控区；湖南云山国家森林公园/湖南武冈云山省级自然保护区/武冈古城—云山风景名胜区/武冈经济开发区/武冈市经济开发区；农用地优先保护区/建设用地重点管控区/其他重点管控区/一般管控区；矿区/中高风险企业用地；武冈经济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管控维度</w:t>
            </w:r>
          </w:p>
        </w:tc>
        <w:tc>
          <w:tcPr>
            <w:tcW w:w="9993" w:type="dxa"/>
            <w:gridSpan w:val="1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kern w:val="0"/>
                <w:szCs w:val="21"/>
              </w:rPr>
              <w:t>管控要求</w:t>
            </w:r>
          </w:p>
        </w:tc>
        <w:tc>
          <w:tcPr>
            <w:tcW w:w="2948"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1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空间布局约束</w:t>
            </w:r>
          </w:p>
        </w:tc>
        <w:tc>
          <w:tcPr>
            <w:tcW w:w="9993" w:type="dxa"/>
            <w:gridSpan w:val="10"/>
            <w:vAlign w:val="center"/>
          </w:tcPr>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2948" w:type="dxa"/>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11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污染物排放管控</w:t>
            </w:r>
          </w:p>
        </w:tc>
        <w:tc>
          <w:tcPr>
            <w:tcW w:w="9993" w:type="dxa"/>
            <w:gridSpan w:val="10"/>
            <w:vAlign w:val="center"/>
          </w:tcPr>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（2.1）废水：</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2948"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环境风险防控</w:t>
            </w:r>
          </w:p>
        </w:tc>
        <w:tc>
          <w:tcPr>
            <w:tcW w:w="9993" w:type="dxa"/>
            <w:gridSpan w:val="10"/>
            <w:vAlign w:val="center"/>
          </w:tcPr>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tc>
        <w:tc>
          <w:tcPr>
            <w:tcW w:w="2948"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资源开发效率要求</w:t>
            </w:r>
          </w:p>
        </w:tc>
        <w:tc>
          <w:tcPr>
            <w:tcW w:w="9993" w:type="dxa"/>
            <w:gridSpan w:val="10"/>
            <w:vAlign w:val="center"/>
          </w:tcPr>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（4.3）土地资源：</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kern w:val="2"/>
                <w:sz w:val="2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kern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kern w:val="2"/>
                <w:sz w:val="21"/>
                <w:szCs w:val="21"/>
                <w14:textFill>
                  <w14:solidFill>
                    <w14:schemeClr w14:val="tx1"/>
                  </w14:solidFill>
                </w14:textFill>
              </w:rPr>
              <w:t>永久基本农田保护面积不低于42080.81公顷。</w:t>
            </w:r>
          </w:p>
        </w:tc>
        <w:tc>
          <w:tcPr>
            <w:tcW w:w="2948"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eastAsiaTheme="minorEastAsia"/>
                <w:szCs w:val="21"/>
              </w:rPr>
            </w:pPr>
          </w:p>
        </w:tc>
      </w:tr>
    </w:tbl>
    <w:p>
      <w:pPr>
        <w:spacing w:line="360" w:lineRule="auto"/>
        <w:jc w:val="left"/>
        <w:rPr>
          <w:rFonts w:hint="default" w:ascii="Times New Roman" w:hAnsi="Times New Roman" w:cs="Times New Roman"/>
          <w:b/>
          <w:color w:val="000000"/>
          <w:szCs w:val="21"/>
        </w:rPr>
        <w:sectPr>
          <w:headerReference r:id="rId11" w:type="default"/>
          <w:footerReference r:id="rId12" w:type="default"/>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cs="Times New Roman"/>
          <w:b/>
          <w:color w:val="000000"/>
          <w:szCs w:val="21"/>
        </w:rPr>
        <w:br w:type="page"/>
      </w:r>
    </w:p>
    <w:tbl>
      <w:tblPr>
        <w:tblStyle w:val="10"/>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425"/>
        <w:gridCol w:w="425"/>
        <w:gridCol w:w="426"/>
        <w:gridCol w:w="1134"/>
        <w:gridCol w:w="992"/>
        <w:gridCol w:w="1055"/>
        <w:gridCol w:w="1213"/>
        <w:gridCol w:w="2518"/>
        <w:gridCol w:w="102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环境管控单元编码</w:t>
            </w:r>
          </w:p>
        </w:tc>
        <w:tc>
          <w:tcPr>
            <w:tcW w:w="851"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单元名称</w:t>
            </w:r>
          </w:p>
        </w:tc>
        <w:tc>
          <w:tcPr>
            <w:tcW w:w="1276" w:type="dxa"/>
            <w:gridSpan w:val="3"/>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行政区划</w:t>
            </w:r>
          </w:p>
        </w:tc>
        <w:tc>
          <w:tcPr>
            <w:tcW w:w="1134"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单元分类</w:t>
            </w:r>
          </w:p>
        </w:tc>
        <w:tc>
          <w:tcPr>
            <w:tcW w:w="992"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单元面积(km</w:t>
            </w:r>
            <w:r>
              <w:rPr>
                <w:rFonts w:hint="default" w:ascii="Times New Roman" w:hAnsi="Times New Roman" w:cs="Times New Roman"/>
                <w:b/>
                <w:color w:val="000000"/>
                <w:kern w:val="0"/>
                <w:szCs w:val="21"/>
                <w:vertAlign w:val="superscript"/>
              </w:rPr>
              <w:t>2</w:t>
            </w:r>
            <w:r>
              <w:rPr>
                <w:rFonts w:hint="default" w:ascii="Times New Roman" w:hAnsi="Times New Roman" w:cs="Times New Roman"/>
                <w:b/>
                <w:color w:val="000000"/>
                <w:kern w:val="0"/>
                <w:szCs w:val="21"/>
              </w:rPr>
              <w:t>)</w:t>
            </w:r>
          </w:p>
        </w:tc>
        <w:tc>
          <w:tcPr>
            <w:tcW w:w="1055"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涉及乡镇(街道)</w:t>
            </w:r>
          </w:p>
        </w:tc>
        <w:tc>
          <w:tcPr>
            <w:tcW w:w="1213"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主体功能定位</w:t>
            </w:r>
          </w:p>
        </w:tc>
        <w:tc>
          <w:tcPr>
            <w:tcW w:w="3544" w:type="dxa"/>
            <w:gridSpan w:val="2"/>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经济产业布局</w:t>
            </w:r>
          </w:p>
        </w:tc>
        <w:tc>
          <w:tcPr>
            <w:tcW w:w="2758"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主要环境问题和</w:t>
            </w:r>
            <w:r>
              <w:rPr>
                <w:rFonts w:hint="default" w:ascii="Times New Roman" w:hAnsi="Times New Roman" w:cs="Times New Roman"/>
                <w:b/>
                <w:kern w:val="0"/>
                <w:szCs w:val="21"/>
              </w:rPr>
              <w:t>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Merge w:val="continue"/>
            <w:vAlign w:val="center"/>
          </w:tcPr>
          <w:p>
            <w:pPr>
              <w:rPr>
                <w:rFonts w:hint="default" w:ascii="Times New Roman" w:hAnsi="Times New Roman" w:cs="Times New Roman"/>
              </w:rPr>
            </w:pPr>
          </w:p>
        </w:tc>
        <w:tc>
          <w:tcPr>
            <w:tcW w:w="851" w:type="dxa"/>
            <w:vMerge w:val="continue"/>
            <w:vAlign w:val="center"/>
          </w:tcPr>
          <w:p>
            <w:pPr>
              <w:rPr>
                <w:rFonts w:hint="default" w:ascii="Times New Roman" w:hAnsi="Times New Roman" w:cs="Times New Roman"/>
              </w:rPr>
            </w:pPr>
          </w:p>
        </w:tc>
        <w:tc>
          <w:tcPr>
            <w:tcW w:w="425"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省</w:t>
            </w:r>
          </w:p>
        </w:tc>
        <w:tc>
          <w:tcPr>
            <w:tcW w:w="425"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市</w:t>
            </w:r>
          </w:p>
        </w:tc>
        <w:tc>
          <w:tcPr>
            <w:tcW w:w="426"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县</w:t>
            </w:r>
          </w:p>
        </w:tc>
        <w:tc>
          <w:tcPr>
            <w:tcW w:w="1134" w:type="dxa"/>
            <w:vMerge w:val="continue"/>
            <w:vAlign w:val="center"/>
          </w:tcPr>
          <w:p>
            <w:pPr>
              <w:rPr>
                <w:rFonts w:hint="default" w:ascii="Times New Roman" w:hAnsi="Times New Roman" w:cs="Times New Roman"/>
              </w:rPr>
            </w:pPr>
          </w:p>
        </w:tc>
        <w:tc>
          <w:tcPr>
            <w:tcW w:w="992" w:type="dxa"/>
            <w:vMerge w:val="continue"/>
            <w:vAlign w:val="center"/>
          </w:tcPr>
          <w:p>
            <w:pPr>
              <w:rPr>
                <w:rFonts w:hint="default" w:ascii="Times New Roman" w:hAnsi="Times New Roman" w:cs="Times New Roman"/>
              </w:rPr>
            </w:pPr>
          </w:p>
        </w:tc>
        <w:tc>
          <w:tcPr>
            <w:tcW w:w="1055" w:type="dxa"/>
            <w:vMerge w:val="continue"/>
            <w:vAlign w:val="center"/>
          </w:tcPr>
          <w:p>
            <w:pPr>
              <w:rPr>
                <w:rFonts w:hint="default" w:ascii="Times New Roman" w:hAnsi="Times New Roman" w:cs="Times New Roman"/>
              </w:rPr>
            </w:pPr>
          </w:p>
        </w:tc>
        <w:tc>
          <w:tcPr>
            <w:tcW w:w="1213" w:type="dxa"/>
            <w:vMerge w:val="continue"/>
            <w:vAlign w:val="center"/>
          </w:tcPr>
          <w:p>
            <w:pPr>
              <w:rPr>
                <w:rFonts w:hint="default" w:ascii="Times New Roman" w:hAnsi="Times New Roman" w:cs="Times New Roman"/>
              </w:rPr>
            </w:pPr>
          </w:p>
        </w:tc>
        <w:tc>
          <w:tcPr>
            <w:tcW w:w="3544" w:type="dxa"/>
            <w:gridSpan w:val="2"/>
            <w:vMerge w:val="continue"/>
            <w:vAlign w:val="center"/>
          </w:tcPr>
          <w:p>
            <w:pPr>
              <w:rPr>
                <w:rFonts w:hint="default" w:ascii="Times New Roman" w:hAnsi="Times New Roman" w:cs="Times New Roman"/>
              </w:rPr>
            </w:pPr>
          </w:p>
        </w:tc>
        <w:tc>
          <w:tcPr>
            <w:tcW w:w="2758"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1134"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ZH43058120001</w:t>
            </w:r>
          </w:p>
        </w:tc>
        <w:tc>
          <w:tcPr>
            <w:tcW w:w="851"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双牌镇</w:t>
            </w:r>
          </w:p>
        </w:tc>
        <w:tc>
          <w:tcPr>
            <w:tcW w:w="42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湖南省</w:t>
            </w:r>
          </w:p>
        </w:tc>
        <w:tc>
          <w:tcPr>
            <w:tcW w:w="42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邵阳市</w:t>
            </w:r>
          </w:p>
        </w:tc>
        <w:tc>
          <w:tcPr>
            <w:tcW w:w="42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武冈市</w:t>
            </w:r>
          </w:p>
        </w:tc>
        <w:tc>
          <w:tcPr>
            <w:tcW w:w="1134"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重点管控单元</w:t>
            </w:r>
          </w:p>
        </w:tc>
        <w:tc>
          <w:tcPr>
            <w:tcW w:w="992" w:type="dxa"/>
            <w:vAlign w:val="center"/>
          </w:tcPr>
          <w:p>
            <w:pPr>
              <w:pStyle w:val="16"/>
              <w:jc w:val="center"/>
              <w:rPr>
                <w:rFonts w:hint="default" w:ascii="Times New Roman" w:hAnsi="Times New Roman" w:cs="Times New Roman"/>
              </w:rPr>
            </w:pPr>
            <w:r>
              <w:rPr>
                <w:rFonts w:hint="default" w:ascii="Times New Roman" w:hAnsi="Times New Roman" w:cs="Times New Roman"/>
                <w:kern w:val="2"/>
                <w:sz w:val="21"/>
                <w:szCs w:val="21"/>
              </w:rPr>
              <w:t>100.93</w:t>
            </w:r>
          </w:p>
        </w:tc>
        <w:tc>
          <w:tcPr>
            <w:tcW w:w="105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双牌镇</w:t>
            </w:r>
          </w:p>
        </w:tc>
        <w:tc>
          <w:tcPr>
            <w:tcW w:w="1213" w:type="dxa"/>
            <w:vAlign w:val="center"/>
          </w:tcPr>
          <w:p>
            <w:pPr>
              <w:rPr>
                <w:rFonts w:hint="default" w:ascii="Times New Roman" w:hAnsi="Times New Roman" w:cs="Times New Roman"/>
                <w:color w:val="000000"/>
                <w:szCs w:val="21"/>
              </w:rPr>
            </w:pPr>
            <w:r>
              <w:rPr>
                <w:rFonts w:hint="default" w:ascii="Times New Roman" w:hAnsi="Times New Roman" w:cs="Times New Roman"/>
                <w:color w:val="000000"/>
                <w:kern w:val="2"/>
                <w:sz w:val="21"/>
                <w:szCs w:val="21"/>
              </w:rPr>
              <w:t>农产品主产区</w:t>
            </w:r>
          </w:p>
        </w:tc>
        <w:tc>
          <w:tcPr>
            <w:tcW w:w="3544" w:type="dxa"/>
            <w:gridSpan w:val="2"/>
            <w:vAlign w:val="center"/>
          </w:tcPr>
          <w:p>
            <w:pPr>
              <w:widowControl/>
              <w:jc w:val="center"/>
              <w:rPr>
                <w:rFonts w:hint="default" w:ascii="Times New Roman" w:hAnsi="Times New Roman" w:cs="Times New Roman"/>
                <w:strike/>
                <w:color w:val="000000"/>
                <w:kern w:val="0"/>
                <w:szCs w:val="21"/>
              </w:rPr>
            </w:pPr>
            <w:r>
              <w:rPr>
                <w:rFonts w:hint="default" w:ascii="Times New Roman" w:hAnsi="Times New Roman" w:cs="Times New Roman"/>
                <w:color w:val="000000"/>
                <w:kern w:val="0"/>
                <w:szCs w:val="21"/>
              </w:rPr>
              <w:t>农业、农副产品加工、畜禽养殖、食品加工、服装加工、旅游开发及旅游产品加工、废旧资源利用、社会服务、建筑材料及砖瓦制造、矿山开采</w:t>
            </w:r>
          </w:p>
        </w:tc>
        <w:tc>
          <w:tcPr>
            <w:tcW w:w="2758" w:type="dxa"/>
            <w:vAlign w:val="center"/>
          </w:tcPr>
          <w:p>
            <w:pPr>
              <w:widowControl/>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w:t>
            </w:r>
          </w:p>
          <w:p>
            <w:pPr>
              <w:widowControl/>
              <w:rPr>
                <w:rFonts w:hint="default" w:ascii="Times New Roman" w:hAnsi="Times New Roman" w:eastAsia="宋体" w:cs="Times New Roman"/>
                <w:b/>
                <w:color w:val="000000"/>
                <w:kern w:val="0"/>
                <w:szCs w:val="21"/>
                <w:lang w:eastAsia="zh-CN"/>
              </w:rPr>
            </w:pPr>
            <w:r>
              <w:rPr>
                <w:rFonts w:hint="default" w:ascii="Times New Roman" w:hAnsi="Times New Roman" w:cs="Times New Roman"/>
                <w:color w:val="000000"/>
                <w:kern w:val="0"/>
                <w:szCs w:val="21"/>
              </w:rPr>
              <w:t>部分食品制造作坊和企业污染治理设施不到位，农村面源污染未得到有效治理，畜禽养殖污染问题</w:t>
            </w:r>
            <w:r>
              <w:rPr>
                <w:rFonts w:hint="default" w:ascii="Times New Roman" w:hAnsi="Times New Roman" w:cs="Times New Roman"/>
                <w:color w:val="000000"/>
                <w:kern w:val="0"/>
                <w:szCs w:val="21"/>
                <w:lang w:eastAsia="zh-CN"/>
              </w:rPr>
              <w:t>。</w:t>
            </w:r>
          </w:p>
          <w:p>
            <w:pPr>
              <w:widowControl/>
              <w:rPr>
                <w:rFonts w:hint="default" w:ascii="Times New Roman" w:hAnsi="Times New Roman" w:cs="Times New Roman"/>
                <w:b/>
                <w:kern w:val="0"/>
                <w:szCs w:val="21"/>
              </w:rPr>
            </w:pPr>
            <w:r>
              <w:rPr>
                <w:rFonts w:hint="default" w:ascii="Times New Roman" w:hAnsi="Times New Roman" w:cs="Times New Roman"/>
                <w:b/>
                <w:kern w:val="0"/>
                <w:szCs w:val="21"/>
              </w:rPr>
              <w:t>重要敏感目标：</w:t>
            </w:r>
          </w:p>
          <w:p>
            <w:pPr>
              <w:widowControl/>
              <w:rPr>
                <w:rFonts w:hint="eastAsia" w:ascii="Times New Roman" w:hAnsi="Times New Roman" w:eastAsia="宋体" w:cs="Times New Roman"/>
                <w:b/>
                <w:color w:val="000000"/>
                <w:kern w:val="0"/>
                <w:szCs w:val="21"/>
                <w:lang w:eastAsia="zh-CN"/>
              </w:rPr>
            </w:pPr>
            <w:r>
              <w:rPr>
                <w:rFonts w:hint="default" w:ascii="Times New Roman" w:hAnsi="Times New Roman" w:cs="Times New Roman"/>
                <w:color w:val="000000"/>
                <w:szCs w:val="21"/>
                <w:shd w:val="clear" w:color="auto" w:fill="FFFFFF"/>
              </w:rPr>
              <w:t>已划定的“千吨万人”饮用水源保护地（湖南武冈湘水水务有限公司东风水厂）武冈市双牌镇露水岩水厂地下水饮用水水源保护区</w:t>
            </w:r>
            <w:r>
              <w:rPr>
                <w:rFonts w:hint="eastAsia" w:cs="Times New Roman"/>
                <w:color w:val="00000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主要属性</w:t>
            </w:r>
          </w:p>
        </w:tc>
        <w:tc>
          <w:tcPr>
            <w:tcW w:w="12823" w:type="dxa"/>
            <w:gridSpan w:val="11"/>
            <w:vAlign w:val="center"/>
          </w:tcPr>
          <w:p>
            <w:pPr>
              <w:pStyle w:val="16"/>
              <w:spacing w:line="240" w:lineRule="auto"/>
              <w:jc w:val="left"/>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双牌镇：</w:t>
            </w:r>
          </w:p>
          <w:p>
            <w:pPr>
              <w:pStyle w:val="16"/>
              <w:spacing w:line="240" w:lineRule="auto"/>
              <w:ind w:firstLine="422" w:firstLineChars="200"/>
              <w:jc w:val="left"/>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生态红线：</w:t>
            </w:r>
            <w:r>
              <w:rPr>
                <w:rFonts w:hint="default" w:ascii="Times New Roman" w:hAnsi="Times New Roman" w:eastAsia="宋体" w:cs="Times New Roman"/>
                <w:color w:val="000000" w:themeColor="text1"/>
                <w:kern w:val="2"/>
                <w:sz w:val="21"/>
                <w:szCs w:val="21"/>
                <w14:textFill>
                  <w14:solidFill>
                    <w14:schemeClr w14:val="tx1"/>
                  </w14:solidFill>
                </w14:textFill>
              </w:rPr>
              <w:t>红线/一般生态空间；水源涵养重要区\三区三线生态红线\水土流失敏感区\生物多样性保护功能重要区；</w:t>
            </w:r>
          </w:p>
          <w:p>
            <w:pPr>
              <w:pStyle w:val="16"/>
              <w:spacing w:line="240" w:lineRule="auto"/>
              <w:ind w:firstLine="422" w:firstLineChars="200"/>
              <w:jc w:val="left"/>
              <w:rPr>
                <w:rFonts w:hint="default" w:ascii="Times New Roman" w:hAnsi="Times New Roman"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环境质量底线：</w:t>
            </w:r>
            <w:r>
              <w:rPr>
                <w:rFonts w:hint="default" w:ascii="Times New Roman" w:hAnsi="Times New Roman" w:eastAsia="宋体" w:cs="Times New Roman"/>
                <w:color w:val="000000" w:themeColor="text1"/>
                <w:kern w:val="2"/>
                <w:sz w:val="21"/>
                <w:szCs w:val="21"/>
                <w14:textFill>
                  <w14:solidFill>
                    <w14:schemeClr w14:val="tx1"/>
                  </w14:solidFill>
                </w14:textFill>
              </w:rPr>
              <w:t>水环境一般管控区；大气环境受体敏感重点管控区/大气环境弱扩散重点管控区；农用地优先保护区/建设用地重点管控区/其他重点管控区/一般管控区；矿区/中高风险企业用地；农产品主产区；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管控维度</w:t>
            </w:r>
          </w:p>
        </w:tc>
        <w:tc>
          <w:tcPr>
            <w:tcW w:w="9039" w:type="dxa"/>
            <w:gridSpan w:val="9"/>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kern w:val="0"/>
                <w:szCs w:val="21"/>
              </w:rPr>
              <w:t>管控要求</w:t>
            </w:r>
          </w:p>
        </w:tc>
        <w:tc>
          <w:tcPr>
            <w:tcW w:w="3784" w:type="dxa"/>
            <w:gridSpan w:val="2"/>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空间布局约束</w:t>
            </w:r>
          </w:p>
        </w:tc>
        <w:tc>
          <w:tcPr>
            <w:tcW w:w="9039"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3784" w:type="dxa"/>
            <w:gridSpan w:val="2"/>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pStyle w:val="19"/>
              <w:ind w:left="0" w:leftChars="0" w:firstLine="0" w:firstLineChars="0"/>
              <w:rPr>
                <w:rFonts w:hint="default"/>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污染物排放管控</w:t>
            </w:r>
          </w:p>
        </w:tc>
        <w:tc>
          <w:tcPr>
            <w:tcW w:w="9039"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（2.1）废水：</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3784" w:type="dxa"/>
            <w:gridSpan w:val="2"/>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环境风险防控</w:t>
            </w:r>
          </w:p>
        </w:tc>
        <w:tc>
          <w:tcPr>
            <w:tcW w:w="9039"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tc>
        <w:tc>
          <w:tcPr>
            <w:tcW w:w="3784" w:type="dxa"/>
            <w:gridSpan w:val="2"/>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资源开发效率要求</w:t>
            </w:r>
          </w:p>
        </w:tc>
        <w:tc>
          <w:tcPr>
            <w:tcW w:w="9039"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（4.3）土地资源：</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kern w:val="2"/>
                <w:sz w:val="2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kern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kern w:val="2"/>
                <w:sz w:val="21"/>
                <w:szCs w:val="21"/>
                <w14:textFill>
                  <w14:solidFill>
                    <w14:schemeClr w14:val="tx1"/>
                  </w14:solidFill>
                </w14:textFill>
              </w:rPr>
              <w:t>永久基本农田保护面积不低于42080.81公顷。</w:t>
            </w:r>
          </w:p>
        </w:tc>
        <w:tc>
          <w:tcPr>
            <w:tcW w:w="3784" w:type="dxa"/>
            <w:gridSpan w:val="2"/>
            <w:vMerge w:val="continue"/>
            <w:vAlign w:val="center"/>
          </w:tcPr>
          <w:p>
            <w:pPr>
              <w:rPr>
                <w:rFonts w:hint="default" w:ascii="Times New Roman" w:hAnsi="Times New Roman" w:cs="Times New Roman"/>
              </w:rPr>
            </w:pPr>
          </w:p>
        </w:tc>
      </w:tr>
    </w:tbl>
    <w:p>
      <w:pPr>
        <w:jc w:val="left"/>
        <w:rPr>
          <w:rFonts w:hint="default" w:ascii="Times New Roman" w:hAnsi="Times New Roman" w:cs="Times New Roman"/>
          <w:b/>
          <w:color w:val="000000"/>
          <w:szCs w:val="21"/>
        </w:rPr>
      </w:pPr>
    </w:p>
    <w:p>
      <w:pPr>
        <w:widowControl/>
        <w:jc w:val="left"/>
        <w:rPr>
          <w:rFonts w:hint="default" w:ascii="Times New Roman" w:hAnsi="Times New Roman" w:cs="Times New Roman"/>
          <w:b/>
          <w:color w:val="000000"/>
          <w:szCs w:val="21"/>
        </w:rPr>
      </w:pPr>
      <w:r>
        <w:rPr>
          <w:rFonts w:hint="default" w:ascii="Times New Roman" w:hAnsi="Times New Roman" w:cs="Times New Roman"/>
          <w:b/>
          <w:color w:val="000000"/>
          <w:szCs w:val="21"/>
        </w:rPr>
        <w:br w:type="page"/>
      </w:r>
    </w:p>
    <w:tbl>
      <w:tblPr>
        <w:tblStyle w:val="10"/>
        <w:tblW w:w="14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076"/>
        <w:gridCol w:w="709"/>
        <w:gridCol w:w="425"/>
        <w:gridCol w:w="567"/>
        <w:gridCol w:w="709"/>
        <w:gridCol w:w="1043"/>
        <w:gridCol w:w="1083"/>
        <w:gridCol w:w="993"/>
        <w:gridCol w:w="2647"/>
        <w:gridCol w:w="108"/>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环境管控单元编码</w:t>
            </w:r>
          </w:p>
        </w:tc>
        <w:tc>
          <w:tcPr>
            <w:tcW w:w="1076"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单元名称</w:t>
            </w:r>
          </w:p>
        </w:tc>
        <w:tc>
          <w:tcPr>
            <w:tcW w:w="1701" w:type="dxa"/>
            <w:gridSpan w:val="3"/>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行政区划</w:t>
            </w:r>
          </w:p>
        </w:tc>
        <w:tc>
          <w:tcPr>
            <w:tcW w:w="709"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单元分类</w:t>
            </w:r>
          </w:p>
        </w:tc>
        <w:tc>
          <w:tcPr>
            <w:tcW w:w="1043"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单元面积(km</w:t>
            </w:r>
            <w:r>
              <w:rPr>
                <w:rFonts w:hint="default" w:ascii="Times New Roman" w:hAnsi="Times New Roman" w:cs="Times New Roman"/>
                <w:b/>
                <w:color w:val="000000"/>
                <w:kern w:val="0"/>
                <w:szCs w:val="21"/>
                <w:vertAlign w:val="superscript"/>
              </w:rPr>
              <w:t>2</w:t>
            </w:r>
            <w:r>
              <w:rPr>
                <w:rFonts w:hint="default" w:ascii="Times New Roman" w:hAnsi="Times New Roman" w:cs="Times New Roman"/>
                <w:b/>
                <w:color w:val="000000"/>
                <w:kern w:val="0"/>
                <w:szCs w:val="21"/>
              </w:rPr>
              <w:t>)</w:t>
            </w:r>
          </w:p>
        </w:tc>
        <w:tc>
          <w:tcPr>
            <w:tcW w:w="1083"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涉及乡镇(街道)</w:t>
            </w:r>
          </w:p>
        </w:tc>
        <w:tc>
          <w:tcPr>
            <w:tcW w:w="993"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主体功能定位</w:t>
            </w:r>
          </w:p>
        </w:tc>
        <w:tc>
          <w:tcPr>
            <w:tcW w:w="2647"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经济产业布局</w:t>
            </w:r>
          </w:p>
        </w:tc>
        <w:tc>
          <w:tcPr>
            <w:tcW w:w="3060" w:type="dxa"/>
            <w:gridSpan w:val="2"/>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主要环境问题和</w:t>
            </w:r>
            <w:r>
              <w:rPr>
                <w:rFonts w:hint="default" w:ascii="Times New Roman" w:hAnsi="Times New Roman" w:cs="Times New Roman"/>
                <w:b/>
                <w:kern w:val="0"/>
                <w:szCs w:val="21"/>
              </w:rPr>
              <w:t>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67" w:type="dxa"/>
            <w:vMerge w:val="continue"/>
            <w:vAlign w:val="center"/>
          </w:tcPr>
          <w:p>
            <w:pPr>
              <w:rPr>
                <w:rFonts w:hint="default" w:ascii="Times New Roman" w:hAnsi="Times New Roman" w:cs="Times New Roman"/>
              </w:rPr>
            </w:pPr>
          </w:p>
        </w:tc>
        <w:tc>
          <w:tcPr>
            <w:tcW w:w="1076" w:type="dxa"/>
            <w:vMerge w:val="continue"/>
            <w:vAlign w:val="center"/>
          </w:tcPr>
          <w:p>
            <w:pPr>
              <w:rPr>
                <w:rFonts w:hint="default" w:ascii="Times New Roman" w:hAnsi="Times New Roman" w:cs="Times New Roman"/>
              </w:rPr>
            </w:pPr>
          </w:p>
        </w:tc>
        <w:tc>
          <w:tcPr>
            <w:tcW w:w="709"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省</w:t>
            </w:r>
          </w:p>
        </w:tc>
        <w:tc>
          <w:tcPr>
            <w:tcW w:w="425"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市</w:t>
            </w:r>
          </w:p>
        </w:tc>
        <w:tc>
          <w:tcPr>
            <w:tcW w:w="567"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县</w:t>
            </w:r>
          </w:p>
        </w:tc>
        <w:tc>
          <w:tcPr>
            <w:tcW w:w="709" w:type="dxa"/>
            <w:vMerge w:val="continue"/>
            <w:vAlign w:val="center"/>
          </w:tcPr>
          <w:p>
            <w:pPr>
              <w:rPr>
                <w:rFonts w:hint="default" w:ascii="Times New Roman" w:hAnsi="Times New Roman" w:cs="Times New Roman"/>
              </w:rPr>
            </w:pPr>
          </w:p>
        </w:tc>
        <w:tc>
          <w:tcPr>
            <w:tcW w:w="1043" w:type="dxa"/>
            <w:vMerge w:val="continue"/>
            <w:vAlign w:val="center"/>
          </w:tcPr>
          <w:p>
            <w:pPr>
              <w:rPr>
                <w:rFonts w:hint="default" w:ascii="Times New Roman" w:hAnsi="Times New Roman" w:cs="Times New Roman"/>
              </w:rPr>
            </w:pPr>
          </w:p>
        </w:tc>
        <w:tc>
          <w:tcPr>
            <w:tcW w:w="1083" w:type="dxa"/>
            <w:vMerge w:val="continue"/>
            <w:vAlign w:val="center"/>
          </w:tcPr>
          <w:p>
            <w:pPr>
              <w:rPr>
                <w:rFonts w:hint="default" w:ascii="Times New Roman" w:hAnsi="Times New Roman" w:cs="Times New Roman"/>
              </w:rPr>
            </w:pPr>
          </w:p>
        </w:tc>
        <w:tc>
          <w:tcPr>
            <w:tcW w:w="993" w:type="dxa"/>
            <w:vMerge w:val="continue"/>
            <w:vAlign w:val="center"/>
          </w:tcPr>
          <w:p>
            <w:pPr>
              <w:rPr>
                <w:rFonts w:hint="default" w:ascii="Times New Roman" w:hAnsi="Times New Roman" w:cs="Times New Roman"/>
              </w:rPr>
            </w:pPr>
          </w:p>
        </w:tc>
        <w:tc>
          <w:tcPr>
            <w:tcW w:w="2647" w:type="dxa"/>
            <w:vMerge w:val="continue"/>
            <w:vAlign w:val="center"/>
          </w:tcPr>
          <w:p>
            <w:pPr>
              <w:rPr>
                <w:rFonts w:hint="default" w:ascii="Times New Roman" w:hAnsi="Times New Roman" w:cs="Times New Roman"/>
              </w:rPr>
            </w:pPr>
          </w:p>
        </w:tc>
        <w:tc>
          <w:tcPr>
            <w:tcW w:w="3060" w:type="dxa"/>
            <w:gridSpan w:val="2"/>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ZH43058120002</w:t>
            </w:r>
          </w:p>
        </w:tc>
        <w:tc>
          <w:tcPr>
            <w:tcW w:w="107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湾头桥镇/迎春亭街道</w:t>
            </w:r>
          </w:p>
        </w:tc>
        <w:tc>
          <w:tcPr>
            <w:tcW w:w="7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湖南省</w:t>
            </w:r>
          </w:p>
        </w:tc>
        <w:tc>
          <w:tcPr>
            <w:tcW w:w="42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邵阳市</w:t>
            </w:r>
          </w:p>
        </w:tc>
        <w:tc>
          <w:tcPr>
            <w:tcW w:w="567"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武冈市</w:t>
            </w:r>
          </w:p>
        </w:tc>
        <w:tc>
          <w:tcPr>
            <w:tcW w:w="7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重点管控单元</w:t>
            </w:r>
          </w:p>
        </w:tc>
        <w:tc>
          <w:tcPr>
            <w:tcW w:w="1043" w:type="dxa"/>
            <w:vAlign w:val="center"/>
          </w:tcPr>
          <w:p>
            <w:pPr>
              <w:pStyle w:val="16"/>
              <w:jc w:val="center"/>
              <w:rPr>
                <w:rFonts w:hint="default" w:ascii="Times New Roman" w:hAnsi="Times New Roman" w:cs="Times New Roman"/>
              </w:rPr>
            </w:pPr>
            <w:r>
              <w:rPr>
                <w:rFonts w:hint="default" w:ascii="Times New Roman" w:hAnsi="Times New Roman" w:cs="Times New Roman"/>
                <w:kern w:val="2"/>
                <w:sz w:val="21"/>
                <w:szCs w:val="21"/>
              </w:rPr>
              <w:t>271.46</w:t>
            </w:r>
          </w:p>
        </w:tc>
        <w:tc>
          <w:tcPr>
            <w:tcW w:w="1083"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湾头桥镇/迎春亭街道</w:t>
            </w:r>
          </w:p>
        </w:tc>
        <w:tc>
          <w:tcPr>
            <w:tcW w:w="993" w:type="dxa"/>
            <w:vAlign w:val="center"/>
          </w:tcPr>
          <w:p>
            <w:pPr>
              <w:rPr>
                <w:rFonts w:hint="default" w:ascii="Times New Roman" w:hAnsi="Times New Roman" w:cs="Times New Roman"/>
                <w:color w:val="000000"/>
                <w:szCs w:val="21"/>
              </w:rPr>
            </w:pPr>
            <w:r>
              <w:rPr>
                <w:rFonts w:hint="default" w:ascii="Times New Roman" w:hAnsi="Times New Roman" w:cs="Times New Roman"/>
                <w:b/>
                <w:bCs/>
                <w:color w:val="000000"/>
                <w:kern w:val="2"/>
                <w:sz w:val="21"/>
                <w:szCs w:val="21"/>
              </w:rPr>
              <w:t>湾头桥镇</w:t>
            </w:r>
            <w:r>
              <w:rPr>
                <w:rFonts w:hint="default" w:ascii="Times New Roman" w:hAnsi="Times New Roman" w:cs="Times New Roman"/>
                <w:b/>
                <w:bCs/>
                <w:color w:val="000000"/>
                <w:kern w:val="2"/>
                <w:sz w:val="21"/>
                <w:szCs w:val="21"/>
                <w:lang w:eastAsia="zh-CN"/>
              </w:rPr>
              <w:t>、</w:t>
            </w:r>
            <w:r>
              <w:rPr>
                <w:rFonts w:hint="default" w:ascii="Times New Roman" w:hAnsi="Times New Roman" w:cs="Times New Roman"/>
                <w:b/>
                <w:bCs/>
                <w:color w:val="000000"/>
                <w:kern w:val="2"/>
                <w:sz w:val="21"/>
                <w:szCs w:val="21"/>
              </w:rPr>
              <w:t>迎春亭街道</w:t>
            </w:r>
            <w:r>
              <w:rPr>
                <w:rFonts w:hint="default" w:ascii="Times New Roman" w:hAnsi="Times New Roman" w:cs="Times New Roman"/>
                <w:b w:val="0"/>
                <w:bCs w:val="0"/>
                <w:color w:val="000000"/>
                <w:kern w:val="2"/>
                <w:sz w:val="21"/>
                <w:szCs w:val="21"/>
              </w:rPr>
              <w:t>：</w:t>
            </w:r>
            <w:r>
              <w:rPr>
                <w:rFonts w:hint="default" w:ascii="Times New Roman" w:hAnsi="Times New Roman" w:cs="Times New Roman"/>
                <w:color w:val="000000"/>
                <w:szCs w:val="21"/>
              </w:rPr>
              <w:t>城市化地区</w:t>
            </w:r>
          </w:p>
        </w:tc>
        <w:tc>
          <w:tcPr>
            <w:tcW w:w="2647" w:type="dxa"/>
            <w:vAlign w:val="center"/>
          </w:tcPr>
          <w:p>
            <w:pPr>
              <w:widowControl/>
              <w:rPr>
                <w:rFonts w:hint="default" w:ascii="Times New Roman" w:hAnsi="Times New Roman" w:cs="Times New Roman"/>
                <w:b/>
                <w:bCs/>
                <w:color w:val="000000"/>
                <w:szCs w:val="21"/>
              </w:rPr>
            </w:pPr>
            <w:r>
              <w:rPr>
                <w:rFonts w:hint="default" w:ascii="Times New Roman" w:hAnsi="Times New Roman" w:cs="Times New Roman"/>
                <w:b/>
                <w:bCs/>
                <w:color w:val="000000"/>
                <w:szCs w:val="21"/>
              </w:rPr>
              <w:t>湾头桥镇：</w:t>
            </w:r>
            <w:r>
              <w:rPr>
                <w:rFonts w:hint="default" w:ascii="Times New Roman" w:hAnsi="Times New Roman" w:cs="Times New Roman"/>
                <w:b w:val="0"/>
                <w:bCs w:val="0"/>
                <w:color w:val="000000"/>
                <w:szCs w:val="21"/>
              </w:rPr>
              <w:t>农业种植、畜禽养殖、食品加工、农副产品加工、矿山开采、建筑材料及砖瓦制造</w:t>
            </w:r>
          </w:p>
          <w:p>
            <w:pPr>
              <w:widowControl/>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迎春亭街道：</w:t>
            </w:r>
            <w:r>
              <w:rPr>
                <w:rFonts w:hint="default" w:ascii="Times New Roman" w:hAnsi="Times New Roman" w:cs="Times New Roman"/>
                <w:b w:val="0"/>
                <w:bCs w:val="0"/>
                <w:color w:val="000000"/>
                <w:szCs w:val="21"/>
              </w:rPr>
              <w:t>旅游业、食品加工、社会服务、农业种植、矿山开采、建筑材料及砖瓦制造</w:t>
            </w:r>
          </w:p>
        </w:tc>
        <w:tc>
          <w:tcPr>
            <w:tcW w:w="3060" w:type="dxa"/>
            <w:gridSpan w:val="2"/>
            <w:vAlign w:val="center"/>
          </w:tcPr>
          <w:p>
            <w:pPr>
              <w:widowControl/>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主要环境问题：</w:t>
            </w:r>
          </w:p>
          <w:p>
            <w:pPr>
              <w:widowControl/>
              <w:rPr>
                <w:rFonts w:hint="eastAsia" w:ascii="Times New Roman" w:hAnsi="Times New Roman" w:eastAsia="宋体" w:cs="Times New Roman"/>
                <w:kern w:val="0"/>
                <w:szCs w:val="21"/>
                <w:lang w:eastAsia="zh-CN"/>
              </w:rPr>
            </w:pPr>
            <w:r>
              <w:rPr>
                <w:rFonts w:hint="default" w:ascii="Times New Roman" w:hAnsi="Times New Roman" w:cs="Times New Roman"/>
                <w:b/>
                <w:bCs/>
                <w:color w:val="000000"/>
                <w:szCs w:val="21"/>
              </w:rPr>
              <w:t>湾头桥镇：</w:t>
            </w:r>
            <w:r>
              <w:rPr>
                <w:rFonts w:hint="default" w:ascii="Times New Roman" w:hAnsi="Times New Roman" w:cs="Times New Roman"/>
                <w:kern w:val="0"/>
                <w:szCs w:val="21"/>
              </w:rPr>
              <w:t>部分食品制造作坊和企业污染治理设施仍不到位</w:t>
            </w:r>
            <w:r>
              <w:rPr>
                <w:rFonts w:hint="eastAsia" w:cs="Times New Roman"/>
                <w:kern w:val="0"/>
                <w:szCs w:val="21"/>
                <w:lang w:eastAsia="zh-CN"/>
              </w:rPr>
              <w:t>。</w:t>
            </w:r>
          </w:p>
          <w:p>
            <w:pPr>
              <w:widowControl/>
              <w:rPr>
                <w:rFonts w:hint="eastAsia"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迎春亭街道：</w:t>
            </w:r>
            <w:r>
              <w:rPr>
                <w:rFonts w:hint="default" w:ascii="Times New Roman" w:hAnsi="Times New Roman" w:cs="Times New Roman"/>
                <w:color w:val="000000"/>
                <w:kern w:val="0"/>
                <w:szCs w:val="21"/>
              </w:rPr>
              <w:t>畜禽养殖污染问题、食品加工污染问题、餐饮油烟及噪声污染问题、娱乐场所噪声污染问题</w:t>
            </w:r>
            <w:r>
              <w:rPr>
                <w:rFonts w:hint="eastAsia" w:cs="Times New Roman"/>
                <w:color w:val="000000"/>
                <w:kern w:val="0"/>
                <w:szCs w:val="21"/>
                <w:lang w:eastAsia="zh-CN"/>
              </w:rPr>
              <w:t>。</w:t>
            </w:r>
          </w:p>
          <w:p>
            <w:pPr>
              <w:widowControl/>
              <w:rPr>
                <w:rFonts w:hint="default" w:ascii="Times New Roman" w:hAnsi="Times New Roman" w:cs="Times New Roman"/>
                <w:b/>
                <w:bCs/>
                <w:color w:val="000000"/>
                <w:szCs w:val="21"/>
              </w:rPr>
            </w:pPr>
            <w:r>
              <w:rPr>
                <w:rFonts w:hint="default" w:ascii="Times New Roman" w:hAnsi="Times New Roman" w:cs="Times New Roman"/>
                <w:b/>
                <w:bCs/>
                <w:color w:val="000000"/>
                <w:szCs w:val="21"/>
              </w:rPr>
              <w:t>重要敏感目标：</w:t>
            </w:r>
          </w:p>
          <w:p>
            <w:pPr>
              <w:widowControl/>
              <w:rPr>
                <w:rFonts w:hint="default" w:ascii="Times New Roman" w:hAnsi="Times New Roman" w:eastAsia="宋体" w:cs="Times New Roman"/>
                <w:lang w:eastAsia="zh-CN"/>
              </w:rPr>
            </w:pPr>
            <w:r>
              <w:rPr>
                <w:rFonts w:hint="default" w:ascii="Times New Roman" w:hAnsi="Times New Roman" w:cs="Times New Roman"/>
                <w:b/>
                <w:bCs/>
                <w:color w:val="000000"/>
                <w:szCs w:val="21"/>
              </w:rPr>
              <w:t>湾头桥镇：</w:t>
            </w:r>
            <w:r>
              <w:rPr>
                <w:rFonts w:hint="default" w:ascii="Times New Roman" w:hAnsi="Times New Roman" w:cs="Times New Roman"/>
                <w:color w:val="000000"/>
                <w:szCs w:val="21"/>
                <w:shd w:val="clear" w:color="auto" w:fill="FFFFFF"/>
              </w:rPr>
              <w:t>武冈市湾头桥镇幸福水库饮用水水源保护区</w:t>
            </w:r>
            <w:r>
              <w:rPr>
                <w:rFonts w:hint="default" w:ascii="Times New Roman" w:hAnsi="Times New Roman" w:cs="Times New Roman"/>
                <w:color w:val="00000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主要属性</w:t>
            </w:r>
          </w:p>
        </w:tc>
        <w:tc>
          <w:tcPr>
            <w:tcW w:w="12312" w:type="dxa"/>
            <w:gridSpan w:val="11"/>
            <w:vAlign w:val="center"/>
          </w:tcPr>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湾头桥镇：</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红线/一般生态空间；水源涵养重要区\三区三线生态红线\水土保持功能重要区\生物多样性保护功能重要区\水土流失敏感区\森林公园；</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水环境一般管控区；大气环境受体敏感重点管控区/大气环境弱扩散重点管控区；农用地优先保护区/建设用地重点管控区/其他重点管控区/一般管控区；矿区/中高风险企业用地；</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迎春亭街道：</w:t>
            </w:r>
          </w:p>
          <w:p>
            <w:pPr>
              <w:pStyle w:val="16"/>
              <w:spacing w:line="240" w:lineRule="auto"/>
              <w:ind w:firstLine="422"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一般生态空间；水源涵养重要区\水土流失敏感区\风景名胜区\生物多样性保护功能重要区\原生态红线；</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工业园区重点管控区/水环境城镇生活污染重点管控区/水环境一般管控区；工业园区、污水处理厂/污水处理厂；武冈经济开发区、武冈市第二污水处理厂/武冈市星威污水处理厂；大气环境优先保护区/大气环境高排放重点管控区/大气环境受体敏感重点管控区/大气环境弱扩散重点管控区；武冈古城—云山风景名胜区/武冈经济开发区；农用地优先保护区/其他重点管控区/一般管控区；矿区；武冈经济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Align w:val="center"/>
          </w:tcPr>
          <w:p>
            <w:pPr>
              <w:widowControl/>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管控维度</w:t>
            </w:r>
          </w:p>
        </w:tc>
        <w:tc>
          <w:tcPr>
            <w:tcW w:w="9360" w:type="dxa"/>
            <w:gridSpan w:val="10"/>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kern w:val="0"/>
                <w:szCs w:val="21"/>
              </w:rPr>
              <w:t>管控要求</w:t>
            </w:r>
          </w:p>
        </w:tc>
        <w:tc>
          <w:tcPr>
            <w:tcW w:w="2952"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867"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空间布局约束</w:t>
            </w:r>
          </w:p>
        </w:tc>
        <w:tc>
          <w:tcPr>
            <w:tcW w:w="9360" w:type="dxa"/>
            <w:gridSpan w:val="10"/>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2952" w:type="dxa"/>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pStyle w:val="19"/>
              <w:ind w:left="0" w:leftChars="0" w:firstLine="0" w:firstLineChars="0"/>
              <w:rPr>
                <w:rFonts w:hint="default"/>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污染物排放管控</w:t>
            </w:r>
          </w:p>
        </w:tc>
        <w:tc>
          <w:tcPr>
            <w:tcW w:w="9360" w:type="dxa"/>
            <w:gridSpan w:val="10"/>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（2.1）废水：</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spacing w:line="240" w:lineRule="auto"/>
              <w:ind w:firstLine="420" w:firstLineChars="200"/>
              <w:jc w:val="left"/>
              <w:rPr>
                <w:rFonts w:hint="default" w:ascii="Times New Roman" w:hAnsi="Times New Roman" w:cs="Times New Roman"/>
                <w:strike/>
                <w:color w:val="000000"/>
                <w:szCs w:val="21"/>
                <w:lang w:val="zh-CN"/>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2952" w:type="dxa"/>
            <w:vMerge w:val="continue"/>
            <w:vAlign w:val="center"/>
          </w:tcPr>
          <w:p>
            <w:pPr>
              <w:spacing w:line="240" w:lineRule="auto"/>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环境风险防控</w:t>
            </w:r>
          </w:p>
        </w:tc>
        <w:tc>
          <w:tcPr>
            <w:tcW w:w="9360" w:type="dxa"/>
            <w:gridSpan w:val="10"/>
            <w:vAlign w:val="center"/>
          </w:tcPr>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spacing w:line="240" w:lineRule="auto"/>
              <w:ind w:firstLine="420" w:firstLineChars="200"/>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tc>
        <w:tc>
          <w:tcPr>
            <w:tcW w:w="2952" w:type="dxa"/>
            <w:vMerge w:val="continue"/>
            <w:vAlign w:val="center"/>
          </w:tcPr>
          <w:p>
            <w:pPr>
              <w:spacing w:line="240" w:lineRule="auto"/>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资源开发效率要求</w:t>
            </w:r>
          </w:p>
        </w:tc>
        <w:tc>
          <w:tcPr>
            <w:tcW w:w="9360" w:type="dxa"/>
            <w:gridSpan w:val="10"/>
            <w:vAlign w:val="center"/>
          </w:tcPr>
          <w:p>
            <w:pPr>
              <w:pStyle w:val="16"/>
              <w:spacing w:line="240" w:lineRule="auto"/>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widowControl/>
              <w:spacing w:line="240" w:lineRule="auto"/>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szCs w:val="21"/>
                <w14:textFill>
                  <w14:solidFill>
                    <w14:schemeClr w14:val="tx1"/>
                  </w14:solidFill>
                </w14:textFill>
              </w:rPr>
              <w:t>（4.3）土地资源：</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永久基本农田保护面积不低于42080.81公顷。</w:t>
            </w:r>
          </w:p>
        </w:tc>
        <w:tc>
          <w:tcPr>
            <w:tcW w:w="2952" w:type="dxa"/>
            <w:vMerge w:val="continue"/>
            <w:vAlign w:val="center"/>
          </w:tcPr>
          <w:p>
            <w:pPr>
              <w:spacing w:line="240" w:lineRule="auto"/>
              <w:jc w:val="left"/>
              <w:rPr>
                <w:rFonts w:hint="default" w:ascii="Times New Roman" w:hAnsi="Times New Roman" w:cs="Times New Roman"/>
              </w:rPr>
            </w:pPr>
          </w:p>
        </w:tc>
      </w:tr>
    </w:tbl>
    <w:p>
      <w:pPr>
        <w:rPr>
          <w:rFonts w:hint="default" w:ascii="Times New Roman" w:hAnsi="Times New Roman" w:cs="Times New Roman"/>
        </w:rPr>
      </w:pPr>
      <w:r>
        <w:rPr>
          <w:rFonts w:hint="default" w:ascii="Times New Roman" w:hAnsi="Times New Roman" w:cs="Times New Roman"/>
        </w:rPr>
        <w:br w:type="page"/>
      </w:r>
    </w:p>
    <w:tbl>
      <w:tblPr>
        <w:tblStyle w:val="10"/>
        <w:tblW w:w="14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259"/>
        <w:gridCol w:w="481"/>
        <w:gridCol w:w="481"/>
        <w:gridCol w:w="481"/>
        <w:gridCol w:w="563"/>
        <w:gridCol w:w="710"/>
        <w:gridCol w:w="1470"/>
        <w:gridCol w:w="1350"/>
        <w:gridCol w:w="2191"/>
        <w:gridCol w:w="640"/>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Merge w:val="restart"/>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szCs w:val="21"/>
              </w:rPr>
              <w:br w:type="page"/>
            </w:r>
            <w:r>
              <w:rPr>
                <w:rFonts w:hint="default" w:ascii="Times New Roman" w:hAnsi="Times New Roman" w:cs="Times New Roman"/>
                <w:b/>
                <w:color w:val="000000"/>
                <w:kern w:val="0"/>
                <w:szCs w:val="21"/>
              </w:rPr>
              <w:t>环境管控单元编码</w:t>
            </w:r>
          </w:p>
        </w:tc>
        <w:tc>
          <w:tcPr>
            <w:tcW w:w="1259" w:type="dxa"/>
            <w:vMerge w:val="restart"/>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单元名称</w:t>
            </w:r>
          </w:p>
        </w:tc>
        <w:tc>
          <w:tcPr>
            <w:tcW w:w="1443" w:type="dxa"/>
            <w:gridSpan w:val="3"/>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行政区划</w:t>
            </w:r>
          </w:p>
        </w:tc>
        <w:tc>
          <w:tcPr>
            <w:tcW w:w="563" w:type="dxa"/>
            <w:vMerge w:val="restart"/>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单元分类</w:t>
            </w:r>
          </w:p>
        </w:tc>
        <w:tc>
          <w:tcPr>
            <w:tcW w:w="710"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单元面积(km</w:t>
            </w:r>
            <w:r>
              <w:rPr>
                <w:rFonts w:hint="default" w:ascii="Times New Roman" w:hAnsi="Times New Roman" w:cs="Times New Roman"/>
                <w:b/>
                <w:color w:val="000000"/>
                <w:kern w:val="0"/>
                <w:szCs w:val="21"/>
                <w:vertAlign w:val="superscript"/>
              </w:rPr>
              <w:t>2</w:t>
            </w:r>
            <w:r>
              <w:rPr>
                <w:rFonts w:hint="default" w:ascii="Times New Roman" w:hAnsi="Times New Roman" w:cs="Times New Roman"/>
                <w:b/>
                <w:color w:val="000000"/>
                <w:kern w:val="0"/>
                <w:szCs w:val="21"/>
              </w:rPr>
              <w:t>)</w:t>
            </w:r>
          </w:p>
        </w:tc>
        <w:tc>
          <w:tcPr>
            <w:tcW w:w="1470"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涉及乡镇(街道)</w:t>
            </w:r>
          </w:p>
        </w:tc>
        <w:tc>
          <w:tcPr>
            <w:tcW w:w="1350"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主体功能定位</w:t>
            </w:r>
          </w:p>
        </w:tc>
        <w:tc>
          <w:tcPr>
            <w:tcW w:w="2831" w:type="dxa"/>
            <w:gridSpan w:val="2"/>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经济产业布局</w:t>
            </w:r>
          </w:p>
        </w:tc>
        <w:tc>
          <w:tcPr>
            <w:tcW w:w="2869"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主要环境问题和</w:t>
            </w:r>
            <w:r>
              <w:rPr>
                <w:rFonts w:hint="default" w:ascii="Times New Roman" w:hAnsi="Times New Roman" w:cs="Times New Roman"/>
                <w:b/>
                <w:kern w:val="0"/>
                <w:szCs w:val="21"/>
              </w:rPr>
              <w:t>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84"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125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48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省</w:t>
            </w:r>
          </w:p>
        </w:tc>
        <w:tc>
          <w:tcPr>
            <w:tcW w:w="48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市</w:t>
            </w:r>
          </w:p>
        </w:tc>
        <w:tc>
          <w:tcPr>
            <w:tcW w:w="48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县</w:t>
            </w:r>
          </w:p>
        </w:tc>
        <w:tc>
          <w:tcPr>
            <w:tcW w:w="563"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710"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1470"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1350"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2831" w:type="dxa"/>
            <w:gridSpan w:val="2"/>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c>
          <w:tcPr>
            <w:tcW w:w="2869" w:type="dxa"/>
            <w:vMerge w:val="continue"/>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4" w:hRule="atLeast"/>
          <w:jc w:val="center"/>
        </w:trPr>
        <w:tc>
          <w:tcPr>
            <w:tcW w:w="1684"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ZH43058120003</w:t>
            </w:r>
          </w:p>
        </w:tc>
        <w:tc>
          <w:tcPr>
            <w:tcW w:w="1259"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color w:val="auto"/>
                <w:kern w:val="2"/>
                <w:sz w:val="21"/>
                <w:szCs w:val="21"/>
              </w:rPr>
              <w:t>辕门口街道/水西门街道/龙溪镇/文坪镇/法相岩街道</w:t>
            </w:r>
          </w:p>
        </w:tc>
        <w:tc>
          <w:tcPr>
            <w:tcW w:w="48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湖南省</w:t>
            </w:r>
          </w:p>
        </w:tc>
        <w:tc>
          <w:tcPr>
            <w:tcW w:w="48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邵阳市</w:t>
            </w:r>
          </w:p>
        </w:tc>
        <w:tc>
          <w:tcPr>
            <w:tcW w:w="48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武冈市</w:t>
            </w:r>
          </w:p>
        </w:tc>
        <w:tc>
          <w:tcPr>
            <w:tcW w:w="563"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重点管控单元</w:t>
            </w:r>
          </w:p>
        </w:tc>
        <w:tc>
          <w:tcPr>
            <w:tcW w:w="710"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kern w:val="2"/>
                <w:sz w:val="21"/>
                <w:szCs w:val="21"/>
              </w:rPr>
              <w:t>272.96</w:t>
            </w:r>
          </w:p>
        </w:tc>
        <w:tc>
          <w:tcPr>
            <w:tcW w:w="1470"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kern w:val="2"/>
                <w:sz w:val="21"/>
                <w:szCs w:val="21"/>
              </w:rPr>
              <w:t>辕门口街道/水西门街道/龙溪镇/文坪镇/法相岩街道</w:t>
            </w:r>
          </w:p>
        </w:tc>
        <w:tc>
          <w:tcPr>
            <w:tcW w:w="1350" w:type="dxa"/>
            <w:vAlign w:val="center"/>
          </w:tcPr>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辕门口街道：</w:t>
            </w:r>
            <w:r>
              <w:rPr>
                <w:rFonts w:hint="default" w:ascii="Times New Roman" w:hAnsi="Times New Roman" w:eastAsia="宋体" w:cs="Times New Roman"/>
                <w:kern w:val="2"/>
                <w:sz w:val="21"/>
                <w:szCs w:val="21"/>
              </w:rPr>
              <w:t>城市化地区</w:t>
            </w:r>
          </w:p>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水西门街：</w:t>
            </w:r>
            <w:r>
              <w:rPr>
                <w:rFonts w:hint="default" w:ascii="Times New Roman" w:hAnsi="Times New Roman" w:eastAsia="宋体" w:cs="Times New Roman"/>
                <w:kern w:val="2"/>
                <w:sz w:val="21"/>
                <w:szCs w:val="21"/>
              </w:rPr>
              <w:t>城市化地区</w:t>
            </w:r>
            <w:r>
              <w:rPr>
                <w:rFonts w:hint="default" w:ascii="Times New Roman" w:hAnsi="Times New Roman" w:eastAsia="宋体" w:cs="Times New Roman"/>
                <w:b/>
                <w:bCs/>
                <w:kern w:val="2"/>
                <w:sz w:val="21"/>
                <w:szCs w:val="21"/>
              </w:rPr>
              <w:t>：</w:t>
            </w:r>
          </w:p>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龙溪镇：</w:t>
            </w:r>
            <w:r>
              <w:rPr>
                <w:rFonts w:hint="default" w:ascii="Times New Roman" w:hAnsi="Times New Roman" w:eastAsia="宋体" w:cs="Times New Roman"/>
                <w:kern w:val="2"/>
                <w:sz w:val="21"/>
                <w:szCs w:val="21"/>
              </w:rPr>
              <w:t>城市化地区</w:t>
            </w:r>
          </w:p>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文坪镇：</w:t>
            </w:r>
            <w:r>
              <w:rPr>
                <w:rFonts w:hint="default" w:ascii="Times New Roman" w:hAnsi="Times New Roman" w:eastAsia="宋体" w:cs="Times New Roman"/>
                <w:kern w:val="2"/>
                <w:sz w:val="21"/>
                <w:szCs w:val="21"/>
              </w:rPr>
              <w:t>农产品主产区</w:t>
            </w:r>
          </w:p>
          <w:p>
            <w:pPr>
              <w:pStyle w:val="16"/>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法相岩街道：</w:t>
            </w:r>
            <w:r>
              <w:rPr>
                <w:rFonts w:hint="default" w:ascii="Times New Roman" w:hAnsi="Times New Roman" w:eastAsia="宋体" w:cs="Times New Roman"/>
                <w:kern w:val="2"/>
                <w:sz w:val="21"/>
                <w:szCs w:val="21"/>
              </w:rPr>
              <w:t>城市化地区</w:t>
            </w:r>
          </w:p>
        </w:tc>
        <w:tc>
          <w:tcPr>
            <w:tcW w:w="2831" w:type="dxa"/>
            <w:gridSpan w:val="2"/>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宋体" w:cs="Times New Roman"/>
                <w:color w:val="000000"/>
                <w:kern w:val="0"/>
                <w:szCs w:val="21"/>
                <w:lang w:eastAsia="zh-CN"/>
              </w:rPr>
            </w:pPr>
            <w:r>
              <w:rPr>
                <w:rFonts w:hint="default" w:ascii="Times New Roman" w:hAnsi="Times New Roman" w:cs="Times New Roman"/>
                <w:b/>
                <w:bCs/>
                <w:color w:val="000000"/>
                <w:szCs w:val="21"/>
              </w:rPr>
              <w:t>辕门口街道、水西门街：</w:t>
            </w:r>
            <w:r>
              <w:rPr>
                <w:rFonts w:hint="default" w:ascii="Times New Roman" w:hAnsi="Times New Roman" w:cs="Times New Roman"/>
                <w:color w:val="000000"/>
                <w:kern w:val="0"/>
                <w:szCs w:val="21"/>
              </w:rPr>
              <w:t>农业种植、畜禽养殖、食品加工、农副产品加工、水产养殖、机电、电子设备制造、制鞋、服装加工、旅游开发及旅游产品加工、社会服务、建筑材料及砖瓦制造、矿山开采、生物质资源综合利用、废旧资源利用、肥料制造、光伏发电等</w:t>
            </w:r>
            <w:r>
              <w:rPr>
                <w:rFonts w:hint="eastAsia" w:cs="Times New Roman"/>
                <w:color w:val="000000"/>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宋体" w:cs="Times New Roman"/>
                <w:color w:val="000000"/>
                <w:szCs w:val="21"/>
                <w:lang w:eastAsia="zh-CN"/>
              </w:rPr>
            </w:pPr>
            <w:r>
              <w:rPr>
                <w:rFonts w:hint="default" w:ascii="Times New Roman" w:hAnsi="Times New Roman" w:cs="Times New Roman"/>
                <w:b/>
                <w:bCs/>
                <w:color w:val="000000"/>
                <w:szCs w:val="21"/>
              </w:rPr>
              <w:t>龙溪镇：</w:t>
            </w:r>
            <w:r>
              <w:rPr>
                <w:rFonts w:hint="default" w:ascii="Times New Roman" w:hAnsi="Times New Roman" w:cs="Times New Roman"/>
                <w:color w:val="000000"/>
                <w:szCs w:val="21"/>
              </w:rPr>
              <w:t>农业种植、农副产品加工、矿山开采、畜禽养殖、建筑材料及砖瓦制造</w:t>
            </w:r>
            <w:r>
              <w:rPr>
                <w:rFonts w:hint="eastAsia" w:cs="Times New Roman"/>
                <w:color w:val="00000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文坪镇：</w:t>
            </w:r>
            <w:r>
              <w:rPr>
                <w:rFonts w:hint="default" w:ascii="Times New Roman" w:hAnsi="Times New Roman" w:cs="Times New Roman"/>
                <w:color w:val="000000"/>
                <w:kern w:val="0"/>
                <w:szCs w:val="21"/>
              </w:rPr>
              <w:t>农业种植、食品加工、建筑材料及砖瓦制造、矿山开采</w:t>
            </w:r>
            <w:r>
              <w:rPr>
                <w:rFonts w:hint="default" w:ascii="Times New Roman" w:hAnsi="Times New Roman" w:cs="Times New Roman"/>
                <w:color w:val="000000"/>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法相岩街道：</w:t>
            </w:r>
            <w:r>
              <w:rPr>
                <w:rFonts w:hint="default" w:ascii="Times New Roman" w:hAnsi="Times New Roman" w:cs="Times New Roman"/>
                <w:color w:val="000000"/>
                <w:kern w:val="0"/>
                <w:szCs w:val="21"/>
              </w:rPr>
              <w:t>农业种植、畜禽养殖、食品加工、农副产品加工、旅游业、服装加工、社会服务、建筑材料及砖瓦制造、矿山开采</w:t>
            </w:r>
            <w:r>
              <w:rPr>
                <w:rFonts w:hint="default" w:ascii="Times New Roman" w:hAnsi="Times New Roman" w:cs="Times New Roman"/>
                <w:color w:val="000000"/>
                <w:kern w:val="0"/>
                <w:szCs w:val="21"/>
                <w:lang w:eastAsia="zh-CN"/>
              </w:rPr>
              <w:t>。</w:t>
            </w:r>
          </w:p>
        </w:tc>
        <w:tc>
          <w:tcPr>
            <w:tcW w:w="2869" w:type="dxa"/>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主要环境问题：</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000000"/>
                <w:kern w:val="0"/>
                <w:szCs w:val="21"/>
                <w:lang w:eastAsia="zh-CN"/>
              </w:rPr>
            </w:pPr>
            <w:r>
              <w:rPr>
                <w:rFonts w:hint="default" w:ascii="Times New Roman" w:hAnsi="Times New Roman" w:cs="Times New Roman"/>
                <w:b/>
                <w:bCs/>
                <w:color w:val="000000"/>
                <w:szCs w:val="21"/>
              </w:rPr>
              <w:t>辕门口街道：</w:t>
            </w:r>
            <w:r>
              <w:rPr>
                <w:rFonts w:hint="default" w:ascii="Times New Roman" w:hAnsi="Times New Roman" w:cs="Times New Roman"/>
                <w:color w:val="000000"/>
                <w:kern w:val="0"/>
                <w:szCs w:val="21"/>
              </w:rPr>
              <w:t>畜禽养殖污染问题、小食品加工污染问题</w:t>
            </w:r>
            <w:r>
              <w:rPr>
                <w:rFonts w:hint="default" w:ascii="Times New Roman" w:hAnsi="Times New Roman" w:cs="Times New Roman"/>
                <w:color w:val="000000"/>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color w:val="000000"/>
                <w:kern w:val="0"/>
                <w:szCs w:val="21"/>
              </w:rPr>
            </w:pPr>
            <w:r>
              <w:rPr>
                <w:rFonts w:hint="default" w:ascii="Times New Roman" w:hAnsi="Times New Roman" w:cs="Times New Roman"/>
                <w:b/>
                <w:bCs/>
                <w:color w:val="000000"/>
                <w:szCs w:val="21"/>
              </w:rPr>
              <w:t>水西门街：</w:t>
            </w:r>
            <w:r>
              <w:rPr>
                <w:rFonts w:hint="default" w:ascii="Times New Roman" w:hAnsi="Times New Roman" w:cs="Times New Roman"/>
                <w:color w:val="000000"/>
                <w:kern w:val="0"/>
                <w:szCs w:val="21"/>
              </w:rPr>
              <w:t>部分食品制造作坊和企业污染治理设施不到位，城镇生活污水未得到全部处理，农村面源污染未得到有效治理；部分河道受到污染，历史遗留的煤矿退出后矿涌水污染未得到治理</w:t>
            </w:r>
            <w:r>
              <w:rPr>
                <w:rFonts w:hint="default" w:ascii="Times New Roman" w:hAnsi="Times New Roman" w:cs="Times New Roman"/>
                <w:color w:val="000000"/>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龙溪镇：</w:t>
            </w:r>
            <w:r>
              <w:rPr>
                <w:rFonts w:hint="default" w:ascii="Times New Roman" w:hAnsi="Times New Roman" w:cs="Times New Roman"/>
                <w:kern w:val="0"/>
                <w:szCs w:val="21"/>
              </w:rPr>
              <w:t>砖瓦窑企业不能全面达标排放、部分食品制造作坊和企业污染治理设施不到位</w:t>
            </w:r>
            <w:r>
              <w:rPr>
                <w:rFonts w:hint="default" w:ascii="Times New Roman" w:hAnsi="Times New Roman" w:cs="Times New Roman"/>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文坪镇：</w:t>
            </w:r>
            <w:r>
              <w:rPr>
                <w:rFonts w:hint="default" w:ascii="Times New Roman" w:hAnsi="Times New Roman" w:cs="Times New Roman"/>
                <w:kern w:val="0"/>
                <w:szCs w:val="21"/>
              </w:rPr>
              <w:t>砖瓦窑企业不能全面达标排放、部分食品制造作坊和企业污染治理设施不到位</w:t>
            </w:r>
            <w:r>
              <w:rPr>
                <w:rFonts w:hint="default" w:ascii="Times New Roman" w:hAnsi="Times New Roman" w:cs="Times New Roman"/>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宋体" w:cs="Times New Roman"/>
                <w:color w:val="000000"/>
                <w:kern w:val="0"/>
                <w:szCs w:val="21"/>
                <w:lang w:eastAsia="zh-CN"/>
              </w:rPr>
            </w:pPr>
            <w:r>
              <w:rPr>
                <w:rFonts w:hint="default" w:ascii="Times New Roman" w:hAnsi="Times New Roman" w:cs="Times New Roman"/>
                <w:b/>
                <w:bCs/>
                <w:color w:val="000000"/>
                <w:szCs w:val="21"/>
              </w:rPr>
              <w:t>法相岩街道：</w:t>
            </w:r>
            <w:r>
              <w:rPr>
                <w:rFonts w:hint="default" w:ascii="Times New Roman" w:hAnsi="Times New Roman" w:cs="Times New Roman"/>
                <w:color w:val="000000"/>
                <w:kern w:val="0"/>
                <w:szCs w:val="21"/>
              </w:rPr>
              <w:t>食品制造作坊和企业污染治理设施不到位，城镇生活污水未未得到全部处理，农村面源污染未得到有效治理；部分河道受到污染</w:t>
            </w:r>
            <w:r>
              <w:rPr>
                <w:rFonts w:hint="eastAsia" w:cs="Times New Roman"/>
                <w:color w:val="000000"/>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重要敏感目标：</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辕门口街道：</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b/>
                <w:bCs/>
                <w:color w:val="000000"/>
                <w:kern w:val="0"/>
                <w:szCs w:val="21"/>
              </w:rPr>
            </w:pPr>
            <w:r>
              <w:rPr>
                <w:rFonts w:hint="eastAsia" w:cs="Times New Roman"/>
                <w:color w:val="000000"/>
                <w:szCs w:val="21"/>
                <w:lang w:val="en-US" w:eastAsia="zh-CN"/>
              </w:rPr>
              <w:t>1、</w:t>
            </w:r>
            <w:r>
              <w:rPr>
                <w:rFonts w:hint="default" w:ascii="Times New Roman" w:hAnsi="Times New Roman" w:cs="Times New Roman"/>
                <w:color w:val="000000"/>
                <w:szCs w:val="21"/>
              </w:rPr>
              <w:t>云山自然保护区</w:t>
            </w:r>
            <w:r>
              <w:rPr>
                <w:rFonts w:hint="eastAsia" w:cs="Times New Roman"/>
                <w:color w:val="000000"/>
                <w:szCs w:val="21"/>
                <w:lang w:eastAsia="zh-CN"/>
              </w:rPr>
              <w:t>；</w:t>
            </w:r>
            <w:r>
              <w:rPr>
                <w:rFonts w:hint="eastAsia" w:cs="Times New Roman"/>
                <w:color w:val="000000"/>
                <w:szCs w:val="21"/>
                <w:lang w:val="en-US" w:eastAsia="zh-CN"/>
              </w:rPr>
              <w:t>2、</w:t>
            </w:r>
            <w:r>
              <w:rPr>
                <w:rFonts w:hint="default" w:ascii="Times New Roman" w:hAnsi="Times New Roman" w:cs="Times New Roman"/>
                <w:color w:val="000000"/>
                <w:szCs w:val="21"/>
              </w:rPr>
              <w:t>云山国家森林公园；</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eastAsia="宋体" w:cs="Times New Roman"/>
                <w:sz w:val="22"/>
                <w:szCs w:val="28"/>
                <w:lang w:eastAsia="zh-CN"/>
              </w:rPr>
            </w:pPr>
            <w:r>
              <w:rPr>
                <w:rFonts w:hint="default" w:ascii="Times New Roman" w:hAnsi="Times New Roman" w:cs="Times New Roman"/>
                <w:b/>
                <w:bCs/>
                <w:color w:val="000000"/>
                <w:szCs w:val="21"/>
              </w:rPr>
              <w:t>水西门街：</w:t>
            </w:r>
            <w:r>
              <w:rPr>
                <w:rFonts w:hint="default" w:ascii="Times New Roman" w:hAnsi="Times New Roman" w:cs="Times New Roman"/>
                <w:color w:val="000000"/>
                <w:kern w:val="0"/>
                <w:szCs w:val="21"/>
              </w:rPr>
              <w:t>1、古城—云山风景名胜区；2、水西门街道长塘水库饮用水水源保护区</w:t>
            </w:r>
            <w:r>
              <w:rPr>
                <w:rFonts w:hint="default" w:ascii="Times New Roman" w:hAnsi="Times New Roman" w:cs="Times New Roman"/>
                <w:color w:val="000000"/>
                <w:kern w:val="0"/>
                <w:szCs w:val="21"/>
                <w:lang w:eastAsia="zh-CN"/>
              </w:rPr>
              <w:t>；</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龙溪镇：</w:t>
            </w:r>
            <w:r>
              <w:rPr>
                <w:rFonts w:hint="default" w:ascii="Times New Roman" w:hAnsi="Times New Roman" w:cs="Times New Roman"/>
                <w:color w:val="000000"/>
                <w:kern w:val="0"/>
                <w:szCs w:val="21"/>
              </w:rPr>
              <w:t>1、云山自然保护区；2、云山国家森林公园；</w:t>
            </w:r>
          </w:p>
          <w:p>
            <w:pPr>
              <w:keepNext w:val="0"/>
              <w:keepLines w:val="0"/>
              <w:pageBreakBefore w:val="0"/>
              <w:widowControl/>
              <w:kinsoku/>
              <w:wordWrap/>
              <w:overflowPunct/>
              <w:topLinePunct w:val="0"/>
              <w:bidi w:val="0"/>
              <w:adjustRightInd w:val="0"/>
              <w:snapToGrid w:val="0"/>
              <w:spacing w:line="240" w:lineRule="auto"/>
              <w:textAlignment w:val="auto"/>
              <w:rPr>
                <w:rFonts w:hint="default" w:ascii="Times New Roman" w:hAnsi="Times New Roman" w:cs="Times New Roman"/>
                <w:sz w:val="22"/>
                <w:szCs w:val="28"/>
              </w:rPr>
            </w:pPr>
            <w:r>
              <w:rPr>
                <w:rFonts w:hint="default" w:ascii="Times New Roman" w:hAnsi="Times New Roman" w:cs="Times New Roman"/>
                <w:b/>
                <w:bCs/>
                <w:color w:val="000000"/>
                <w:szCs w:val="21"/>
              </w:rPr>
              <w:t>文坪镇：</w:t>
            </w:r>
            <w:r>
              <w:rPr>
                <w:rFonts w:hint="default" w:ascii="Times New Roman" w:hAnsi="Times New Roman" w:cs="Times New Roman"/>
                <w:color w:val="000000"/>
                <w:kern w:val="0"/>
                <w:szCs w:val="21"/>
              </w:rPr>
              <w:t>1、云山自然保护区；2、云山国家森林公园；3、古城—云山风景名胜区；4、文坪镇大圳灌渠饮用水水源保护区、文坪镇孔家团水库饮用水水源保护区</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主要属性</w:t>
            </w:r>
          </w:p>
        </w:tc>
        <w:tc>
          <w:tcPr>
            <w:tcW w:w="12495" w:type="dxa"/>
            <w:gridSpan w:val="11"/>
            <w:vAlign w:val="center"/>
          </w:tcPr>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辕门口街道：</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红线；森林公园\自然保护区；</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优先保护区/大气环境受体敏感重点管控区；湖南云山国家森林公园/湖南武冈云山省级自然保护区/武冈古城—云山风景名胜区；农用地优先保护区/建设用地重点管控区/一般管控区；中高风险企业用地；城市化地区；高污染燃料禁燃区；</w:t>
            </w:r>
          </w:p>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水西门街：</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红线/一般生态空间；水源涵养重要区\风景名胜区\水土流失敏感区\三区三线生态红线\生物多样性保护功能重要区\原生态红线；</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城镇生活污染重点管控区/水环境一般管控区；污水处理厂；武冈市星威污水处理厂（汇水）；大气环境优先保护区/大气环境受体敏感重点管控区/大气环境弱扩散重点管控区；武冈古城—云山风景名胜区；农用地优先保护区/建设用地重点管控区/一般管控区；中高风险企业用地；</w:t>
            </w:r>
          </w:p>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龙溪镇：</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红线/一般生态空间；水源涵养重要区\森林公园\水土流失敏感区\自然保护区\生物多样性保护功能重要区\原生态红线；</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工业园区重点管控区/水环境一般管控区；工业园区；武冈经济开发区；大气环境优先保护区/大气环境高排放重点管控区/大气环境受体敏感重点管控区/大气环境弱扩散重点管控区；湖南云山国家森林公园/湖南武冈云山省级自然保护区/武冈经济开发区；农用地优先保护区/建设用地重点管控区/其他重点管控区/一般管控区；矿区/中高风险企业用地；武冈经济开发区；城市化地区；</w:t>
            </w:r>
          </w:p>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文坪镇：</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红线/一般生态空间；水源涵养重要区\风景名胜区\水土流失敏感区\原生态红线\生物多样性保护功能重要区\自然保护区\石漠化敏感区\森林公园；</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优先保护区/大气环境受体敏感重点管控区/大气环境弱扩散重点管控区；湖南云山国家森林公园/湖南武冈云山省级自然保护区/武冈古城—云山风景名胜区；地优先保护区/农用地重点管控区/建设用地重点管控区/其他重点管控区/一般管控区；矿区/中高风险企业用地；</w:t>
            </w:r>
          </w:p>
          <w:p>
            <w:pPr>
              <w:pStyle w:val="16"/>
              <w:keepNext w:val="0"/>
              <w:keepLines w:val="0"/>
              <w:pageBreakBefore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法相岩街道：</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红线/一般生态空间；森林公园\自然保护区\水源涵养重要区\三区三线生态红线\生物多样性保护功能重要区\原生态红线\水土流失敏感区\石漠化敏感区；</w:t>
            </w:r>
          </w:p>
          <w:p>
            <w:pPr>
              <w:pStyle w:val="16"/>
              <w:keepNext w:val="0"/>
              <w:keepLines w:val="0"/>
              <w:pageBreakBefore w:val="0"/>
              <w:kinsoku/>
              <w:wordWrap/>
              <w:overflowPunct/>
              <w:topLinePunct w:val="0"/>
              <w:bidi w:val="0"/>
              <w:adjustRightInd w:val="0"/>
              <w:snapToGrid w:val="0"/>
              <w:spacing w:line="240" w:lineRule="auto"/>
              <w:ind w:firstLine="422" w:firstLineChars="200"/>
              <w:jc w:val="both"/>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工业污染重点管控区/水环境一般管控区；工业园区、重金属矿；武冈经济开发区、武冈市紫田铁矿；大气环境优先保护区/大气环境高排放重点管控区/大气环境受体敏感重点管控区/大气环境弱扩散重点管控区；湖南云山国家森林公园/湖南武冈云山省级自然保护区/武冈古城—云山风景名胜区/武冈经济开发区/武冈市经济开发区；农用地优先保护区/建设用地重点管控区/其他重点管控区/一般管控区；矿区/中高风险企业用地；武冈经济开发区；城市化地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管控维度</w:t>
            </w:r>
          </w:p>
        </w:tc>
        <w:tc>
          <w:tcPr>
            <w:tcW w:w="8986" w:type="dxa"/>
            <w:gridSpan w:val="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kern w:val="0"/>
                <w:szCs w:val="21"/>
              </w:rPr>
              <w:t>管控要求</w:t>
            </w:r>
          </w:p>
        </w:tc>
        <w:tc>
          <w:tcPr>
            <w:tcW w:w="3509" w:type="dxa"/>
            <w:gridSpan w:val="2"/>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空间布局约束</w:t>
            </w:r>
          </w:p>
        </w:tc>
        <w:tc>
          <w:tcPr>
            <w:tcW w:w="8986" w:type="dxa"/>
            <w:gridSpan w:val="9"/>
            <w:vAlign w:val="center"/>
          </w:tcPr>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3509" w:type="dxa"/>
            <w:gridSpan w:val="2"/>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污染物排放管控</w:t>
            </w:r>
          </w:p>
        </w:tc>
        <w:tc>
          <w:tcPr>
            <w:tcW w:w="8986" w:type="dxa"/>
            <w:gridSpan w:val="9"/>
            <w:vAlign w:val="center"/>
          </w:tcPr>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（2.1）废水：</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3509" w:type="dxa"/>
            <w:gridSpan w:val="2"/>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环境风险防控</w:t>
            </w:r>
          </w:p>
        </w:tc>
        <w:tc>
          <w:tcPr>
            <w:tcW w:w="8986" w:type="dxa"/>
            <w:gridSpan w:val="9"/>
            <w:vAlign w:val="center"/>
          </w:tcPr>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（3.3）推进重要江河源头区、重要水源地和水土流失重点防治区水土流失治理。</w:t>
            </w:r>
          </w:p>
        </w:tc>
        <w:tc>
          <w:tcPr>
            <w:tcW w:w="3509" w:type="dxa"/>
            <w:gridSpan w:val="2"/>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资源开发效率要求</w:t>
            </w:r>
          </w:p>
        </w:tc>
        <w:tc>
          <w:tcPr>
            <w:tcW w:w="8986" w:type="dxa"/>
            <w:gridSpan w:val="9"/>
            <w:vAlign w:val="center"/>
          </w:tcPr>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pStyle w:val="16"/>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（4.3）土地资源：</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kern w:val="2"/>
                <w:sz w:val="2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kern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kern w:val="2"/>
                <w:sz w:val="21"/>
                <w:szCs w:val="21"/>
                <w14:textFill>
                  <w14:solidFill>
                    <w14:schemeClr w14:val="tx1"/>
                  </w14:solidFill>
                </w14:textFill>
              </w:rPr>
              <w:t>永久基本农田保护面积不低于42080.81公顷。</w:t>
            </w:r>
          </w:p>
        </w:tc>
        <w:tc>
          <w:tcPr>
            <w:tcW w:w="3509" w:type="dxa"/>
            <w:gridSpan w:val="2"/>
            <w:vMerge w:val="continue"/>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rPr>
            </w:pPr>
          </w:p>
        </w:tc>
      </w:tr>
    </w:tbl>
    <w:p>
      <w:pPr>
        <w:jc w:val="left"/>
        <w:rPr>
          <w:rFonts w:hint="default" w:ascii="Times New Roman" w:hAnsi="Times New Roman" w:cs="Times New Roman"/>
          <w:b/>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28"/>
        <w:gridCol w:w="425"/>
        <w:gridCol w:w="425"/>
        <w:gridCol w:w="426"/>
        <w:gridCol w:w="992"/>
        <w:gridCol w:w="1033"/>
        <w:gridCol w:w="1387"/>
        <w:gridCol w:w="1439"/>
        <w:gridCol w:w="1897"/>
        <w:gridCol w:w="458"/>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szCs w:val="21"/>
              </w:rPr>
              <w:br w:type="page"/>
            </w:r>
            <w:r>
              <w:rPr>
                <w:rFonts w:hint="default" w:ascii="Times New Roman" w:hAnsi="Times New Roman" w:cs="Times New Roman"/>
                <w:b/>
                <w:color w:val="000000"/>
                <w:kern w:val="0"/>
                <w:szCs w:val="21"/>
              </w:rPr>
              <w:t>环境管控单元编码</w:t>
            </w:r>
          </w:p>
        </w:tc>
        <w:tc>
          <w:tcPr>
            <w:tcW w:w="1428"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单元名称</w:t>
            </w:r>
          </w:p>
        </w:tc>
        <w:tc>
          <w:tcPr>
            <w:tcW w:w="1276" w:type="dxa"/>
            <w:gridSpan w:val="3"/>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行政区划</w:t>
            </w:r>
          </w:p>
        </w:tc>
        <w:tc>
          <w:tcPr>
            <w:tcW w:w="992" w:type="dxa"/>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单元分类</w:t>
            </w:r>
          </w:p>
        </w:tc>
        <w:tc>
          <w:tcPr>
            <w:tcW w:w="1033"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单元面积(km</w:t>
            </w:r>
            <w:r>
              <w:rPr>
                <w:rFonts w:hint="default" w:ascii="Times New Roman" w:hAnsi="Times New Roman" w:cs="Times New Roman"/>
                <w:b/>
                <w:color w:val="000000"/>
                <w:kern w:val="0"/>
                <w:szCs w:val="21"/>
                <w:vertAlign w:val="superscript"/>
              </w:rPr>
              <w:t>2</w:t>
            </w:r>
            <w:r>
              <w:rPr>
                <w:rFonts w:hint="default" w:ascii="Times New Roman" w:hAnsi="Times New Roman" w:cs="Times New Roman"/>
                <w:b/>
                <w:color w:val="000000"/>
                <w:kern w:val="0"/>
                <w:szCs w:val="21"/>
              </w:rPr>
              <w:t>)</w:t>
            </w:r>
          </w:p>
        </w:tc>
        <w:tc>
          <w:tcPr>
            <w:tcW w:w="1387"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涉及乡镇(街道)</w:t>
            </w:r>
          </w:p>
        </w:tc>
        <w:tc>
          <w:tcPr>
            <w:tcW w:w="1439"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主体功能定位</w:t>
            </w:r>
          </w:p>
        </w:tc>
        <w:tc>
          <w:tcPr>
            <w:tcW w:w="2355" w:type="dxa"/>
            <w:gridSpan w:val="2"/>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经济产业布局</w:t>
            </w:r>
          </w:p>
        </w:tc>
        <w:tc>
          <w:tcPr>
            <w:tcW w:w="2578"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主要环境问题和</w:t>
            </w:r>
            <w:r>
              <w:rPr>
                <w:rFonts w:hint="default" w:ascii="Times New Roman" w:hAnsi="Times New Roman" w:cs="Times New Roman"/>
                <w:b/>
                <w:kern w:val="0"/>
                <w:szCs w:val="21"/>
              </w:rPr>
              <w:t>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86" w:type="dxa"/>
            <w:vMerge w:val="continue"/>
            <w:vAlign w:val="center"/>
          </w:tcPr>
          <w:p>
            <w:pPr>
              <w:rPr>
                <w:rFonts w:hint="default" w:ascii="Times New Roman" w:hAnsi="Times New Roman" w:cs="Times New Roman"/>
              </w:rPr>
            </w:pPr>
          </w:p>
        </w:tc>
        <w:tc>
          <w:tcPr>
            <w:tcW w:w="1428" w:type="dxa"/>
            <w:vMerge w:val="continue"/>
            <w:vAlign w:val="center"/>
          </w:tcPr>
          <w:p>
            <w:pPr>
              <w:rPr>
                <w:rFonts w:hint="default" w:ascii="Times New Roman" w:hAnsi="Times New Roman" w:cs="Times New Roman"/>
              </w:rPr>
            </w:pPr>
          </w:p>
        </w:tc>
        <w:tc>
          <w:tcPr>
            <w:tcW w:w="425"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省</w:t>
            </w:r>
          </w:p>
        </w:tc>
        <w:tc>
          <w:tcPr>
            <w:tcW w:w="425"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市</w:t>
            </w:r>
          </w:p>
        </w:tc>
        <w:tc>
          <w:tcPr>
            <w:tcW w:w="426"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县</w:t>
            </w:r>
          </w:p>
        </w:tc>
        <w:tc>
          <w:tcPr>
            <w:tcW w:w="992" w:type="dxa"/>
            <w:vMerge w:val="continue"/>
            <w:vAlign w:val="center"/>
          </w:tcPr>
          <w:p>
            <w:pPr>
              <w:rPr>
                <w:rFonts w:hint="default" w:ascii="Times New Roman" w:hAnsi="Times New Roman" w:cs="Times New Roman"/>
              </w:rPr>
            </w:pPr>
          </w:p>
        </w:tc>
        <w:tc>
          <w:tcPr>
            <w:tcW w:w="1033" w:type="dxa"/>
            <w:vMerge w:val="continue"/>
            <w:vAlign w:val="center"/>
          </w:tcPr>
          <w:p>
            <w:pPr>
              <w:rPr>
                <w:rFonts w:hint="default" w:ascii="Times New Roman" w:hAnsi="Times New Roman" w:cs="Times New Roman"/>
              </w:rPr>
            </w:pPr>
          </w:p>
        </w:tc>
        <w:tc>
          <w:tcPr>
            <w:tcW w:w="1387" w:type="dxa"/>
            <w:vMerge w:val="continue"/>
            <w:vAlign w:val="center"/>
          </w:tcPr>
          <w:p>
            <w:pPr>
              <w:rPr>
                <w:rFonts w:hint="default" w:ascii="Times New Roman" w:hAnsi="Times New Roman" w:cs="Times New Roman"/>
              </w:rPr>
            </w:pPr>
          </w:p>
        </w:tc>
        <w:tc>
          <w:tcPr>
            <w:tcW w:w="1439" w:type="dxa"/>
            <w:vMerge w:val="continue"/>
            <w:vAlign w:val="center"/>
          </w:tcPr>
          <w:p>
            <w:pPr>
              <w:rPr>
                <w:rFonts w:hint="default" w:ascii="Times New Roman" w:hAnsi="Times New Roman" w:cs="Times New Roman"/>
              </w:rPr>
            </w:pPr>
          </w:p>
        </w:tc>
        <w:tc>
          <w:tcPr>
            <w:tcW w:w="2355" w:type="dxa"/>
            <w:gridSpan w:val="2"/>
            <w:vMerge w:val="continue"/>
            <w:vAlign w:val="center"/>
          </w:tcPr>
          <w:p>
            <w:pPr>
              <w:rPr>
                <w:rFonts w:hint="default" w:ascii="Times New Roman" w:hAnsi="Times New Roman" w:cs="Times New Roman"/>
              </w:rPr>
            </w:pPr>
          </w:p>
        </w:tc>
        <w:tc>
          <w:tcPr>
            <w:tcW w:w="2578"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168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ZH43058130001</w:t>
            </w:r>
          </w:p>
        </w:tc>
        <w:tc>
          <w:tcPr>
            <w:tcW w:w="1428"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稠树塘镇/大甸镇/秦桥镇/司马冲镇</w:t>
            </w:r>
          </w:p>
        </w:tc>
        <w:tc>
          <w:tcPr>
            <w:tcW w:w="42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湖南省</w:t>
            </w:r>
          </w:p>
        </w:tc>
        <w:tc>
          <w:tcPr>
            <w:tcW w:w="42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邵阳市</w:t>
            </w:r>
          </w:p>
        </w:tc>
        <w:tc>
          <w:tcPr>
            <w:tcW w:w="42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武冈市</w:t>
            </w:r>
          </w:p>
        </w:tc>
        <w:tc>
          <w:tcPr>
            <w:tcW w:w="992"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一般管控单元</w:t>
            </w:r>
          </w:p>
        </w:tc>
        <w:tc>
          <w:tcPr>
            <w:tcW w:w="1033" w:type="dxa"/>
            <w:vAlign w:val="center"/>
          </w:tcPr>
          <w:p>
            <w:pPr>
              <w:pStyle w:val="16"/>
              <w:jc w:val="center"/>
              <w:rPr>
                <w:rFonts w:hint="default" w:ascii="Times New Roman" w:hAnsi="Times New Roman" w:eastAsia="宋体" w:cs="Times New Roman"/>
              </w:rPr>
            </w:pPr>
            <w:r>
              <w:rPr>
                <w:rFonts w:hint="default" w:ascii="Times New Roman" w:hAnsi="Times New Roman" w:eastAsia="宋体" w:cs="Times New Roman"/>
                <w:kern w:val="2"/>
                <w:sz w:val="21"/>
                <w:szCs w:val="21"/>
              </w:rPr>
              <w:t>323.88</w:t>
            </w:r>
          </w:p>
        </w:tc>
        <w:tc>
          <w:tcPr>
            <w:tcW w:w="1387"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稠树塘镇/大甸镇/秦桥镇/司马冲镇</w:t>
            </w:r>
          </w:p>
        </w:tc>
        <w:tc>
          <w:tcPr>
            <w:tcW w:w="1439" w:type="dxa"/>
            <w:vAlign w:val="center"/>
          </w:tcPr>
          <w:p>
            <w:pPr>
              <w:widowControl/>
              <w:rPr>
                <w:rFonts w:hint="default" w:ascii="Times New Roman" w:hAnsi="Times New Roman" w:cs="Times New Roman"/>
                <w:b/>
                <w:bCs/>
                <w:color w:val="000000"/>
                <w:szCs w:val="21"/>
              </w:rPr>
            </w:pPr>
            <w:r>
              <w:rPr>
                <w:rFonts w:hint="default" w:ascii="Times New Roman" w:hAnsi="Times New Roman" w:cs="Times New Roman"/>
                <w:b/>
                <w:bCs/>
                <w:color w:val="000000"/>
                <w:szCs w:val="21"/>
              </w:rPr>
              <w:t>稠树塘镇：</w:t>
            </w:r>
            <w:r>
              <w:rPr>
                <w:rFonts w:hint="default" w:ascii="Times New Roman" w:hAnsi="Times New Roman" w:cs="Times New Roman"/>
                <w:b w:val="0"/>
                <w:bCs w:val="0"/>
                <w:color w:val="000000"/>
                <w:szCs w:val="21"/>
              </w:rPr>
              <w:t>农产品主产区</w:t>
            </w:r>
          </w:p>
          <w:p>
            <w:pPr>
              <w:widowControl/>
              <w:rPr>
                <w:rFonts w:hint="default" w:ascii="Times New Roman" w:hAnsi="Times New Roman" w:cs="Times New Roman"/>
                <w:b w:val="0"/>
                <w:bCs w:val="0"/>
                <w:color w:val="000000"/>
                <w:szCs w:val="21"/>
              </w:rPr>
            </w:pPr>
            <w:r>
              <w:rPr>
                <w:rFonts w:hint="default" w:ascii="Times New Roman" w:hAnsi="Times New Roman" w:cs="Times New Roman"/>
                <w:b/>
                <w:bCs/>
                <w:color w:val="000000"/>
                <w:szCs w:val="21"/>
              </w:rPr>
              <w:t>大甸镇：</w:t>
            </w:r>
            <w:r>
              <w:rPr>
                <w:rFonts w:hint="default" w:ascii="Times New Roman" w:hAnsi="Times New Roman" w:cs="Times New Roman"/>
                <w:b w:val="0"/>
                <w:bCs w:val="0"/>
                <w:color w:val="000000"/>
                <w:szCs w:val="21"/>
              </w:rPr>
              <w:t>农产品主产区</w:t>
            </w:r>
          </w:p>
          <w:p>
            <w:pPr>
              <w:widowControl/>
              <w:rPr>
                <w:rFonts w:hint="default" w:ascii="Times New Roman" w:hAnsi="Times New Roman" w:cs="Times New Roman"/>
                <w:b w:val="0"/>
                <w:bCs w:val="0"/>
                <w:color w:val="000000"/>
                <w:szCs w:val="21"/>
              </w:rPr>
            </w:pPr>
            <w:r>
              <w:rPr>
                <w:rFonts w:hint="default" w:ascii="Times New Roman" w:hAnsi="Times New Roman" w:cs="Times New Roman"/>
                <w:b/>
                <w:bCs/>
                <w:color w:val="000000"/>
                <w:szCs w:val="21"/>
              </w:rPr>
              <w:t>秦桥镇：</w:t>
            </w:r>
            <w:r>
              <w:rPr>
                <w:rFonts w:hint="default" w:ascii="Times New Roman" w:hAnsi="Times New Roman" w:cs="Times New Roman"/>
                <w:b w:val="0"/>
                <w:bCs w:val="0"/>
                <w:color w:val="000000"/>
                <w:szCs w:val="21"/>
              </w:rPr>
              <w:t>农产品主产区</w:t>
            </w:r>
          </w:p>
          <w:p>
            <w:pPr>
              <w:widowControl/>
              <w:rPr>
                <w:rFonts w:hint="default" w:ascii="Times New Roman" w:hAnsi="Times New Roman" w:eastAsia="宋体" w:cs="Times New Roman"/>
                <w:szCs w:val="21"/>
              </w:rPr>
            </w:pPr>
            <w:r>
              <w:rPr>
                <w:rFonts w:hint="default" w:ascii="Times New Roman" w:hAnsi="Times New Roman" w:cs="Times New Roman"/>
                <w:b/>
                <w:bCs/>
                <w:color w:val="000000"/>
                <w:szCs w:val="21"/>
              </w:rPr>
              <w:t>司马冲镇：</w:t>
            </w:r>
            <w:r>
              <w:rPr>
                <w:rFonts w:hint="default" w:ascii="Times New Roman" w:hAnsi="Times New Roman" w:cs="Times New Roman"/>
                <w:b w:val="0"/>
                <w:bCs w:val="0"/>
                <w:color w:val="000000"/>
                <w:szCs w:val="21"/>
              </w:rPr>
              <w:t>农产品主产区</w:t>
            </w:r>
          </w:p>
        </w:tc>
        <w:tc>
          <w:tcPr>
            <w:tcW w:w="2355" w:type="dxa"/>
            <w:gridSpan w:val="2"/>
            <w:vAlign w:val="center"/>
          </w:tcPr>
          <w:p>
            <w:pPr>
              <w:widowControl/>
              <w:rPr>
                <w:rFonts w:hint="eastAsia" w:ascii="Times New Roman" w:hAnsi="Times New Roman" w:eastAsia="宋体" w:cs="Times New Roman"/>
                <w:color w:val="000000"/>
                <w:szCs w:val="21"/>
                <w:lang w:eastAsia="zh-CN"/>
              </w:rPr>
            </w:pPr>
            <w:r>
              <w:rPr>
                <w:rFonts w:hint="default" w:ascii="Times New Roman" w:hAnsi="Times New Roman" w:cs="Times New Roman"/>
                <w:b/>
                <w:bCs/>
                <w:color w:val="000000"/>
                <w:szCs w:val="21"/>
              </w:rPr>
              <w:t>稠树塘镇：</w:t>
            </w:r>
            <w:r>
              <w:rPr>
                <w:rFonts w:hint="default" w:ascii="Times New Roman" w:hAnsi="Times New Roman" w:cs="Times New Roman"/>
                <w:color w:val="000000"/>
                <w:szCs w:val="21"/>
              </w:rPr>
              <w:t>农业种植、畜禽养殖、食品加工、农副产品加工、光伏发电、电池塑料包装、家具加工、药材加工、机电、电子设备制造、制鞋、服装加工、肥料制造、竹木加工、机制炭加工、旅游开发及旅游产品加工、社会服务、建筑材料及砖瓦制造、矿山开采、风电、光伏、生物质资源综合利用、废旧资源利用</w:t>
            </w:r>
            <w:r>
              <w:rPr>
                <w:rFonts w:hint="eastAsia" w:cs="Times New Roman"/>
                <w:color w:val="000000"/>
                <w:szCs w:val="21"/>
                <w:lang w:eastAsia="zh-CN"/>
              </w:rPr>
              <w:t>；</w:t>
            </w:r>
          </w:p>
          <w:p>
            <w:pPr>
              <w:widowControl/>
              <w:rPr>
                <w:rFonts w:hint="eastAsia"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大甸镇：</w:t>
            </w:r>
            <w:r>
              <w:rPr>
                <w:rFonts w:hint="default" w:ascii="Times New Roman" w:hAnsi="Times New Roman" w:cs="Times New Roman"/>
                <w:color w:val="000000"/>
                <w:szCs w:val="21"/>
              </w:rPr>
              <w:t>农业种植、畜禽养殖、农副产品加工</w:t>
            </w:r>
            <w:r>
              <w:rPr>
                <w:rFonts w:hint="eastAsia" w:cs="Times New Roman"/>
                <w:color w:val="000000"/>
                <w:szCs w:val="21"/>
                <w:lang w:eastAsia="zh-CN"/>
              </w:rPr>
              <w:t>；</w:t>
            </w:r>
          </w:p>
          <w:p>
            <w:pPr>
              <w:widowControl/>
              <w:rPr>
                <w:rFonts w:hint="eastAsia"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秦桥镇：</w:t>
            </w:r>
            <w:r>
              <w:rPr>
                <w:rFonts w:hint="default" w:ascii="Times New Roman" w:hAnsi="Times New Roman" w:cs="Times New Roman"/>
                <w:color w:val="000000"/>
                <w:szCs w:val="21"/>
              </w:rPr>
              <w:t>农业种植、畜禽养殖、农副产品加工、矿山开采、建筑材料及砖瓦制造</w:t>
            </w:r>
            <w:r>
              <w:rPr>
                <w:rFonts w:hint="eastAsia" w:cs="Times New Roman"/>
                <w:color w:val="000000"/>
                <w:szCs w:val="21"/>
                <w:lang w:eastAsia="zh-CN"/>
              </w:rPr>
              <w:t>；</w:t>
            </w:r>
          </w:p>
          <w:p>
            <w:pPr>
              <w:widowControl/>
              <w:rPr>
                <w:rFonts w:hint="default" w:ascii="Times New Roman" w:hAnsi="Times New Roman" w:cs="Times New Roman"/>
                <w:b/>
                <w:bCs/>
                <w:color w:val="000000"/>
                <w:szCs w:val="21"/>
              </w:rPr>
            </w:pPr>
            <w:r>
              <w:rPr>
                <w:rFonts w:hint="default" w:ascii="Times New Roman" w:hAnsi="Times New Roman" w:cs="Times New Roman"/>
                <w:b/>
                <w:bCs/>
                <w:color w:val="000000"/>
                <w:szCs w:val="21"/>
              </w:rPr>
              <w:t>司马冲镇：</w:t>
            </w:r>
            <w:r>
              <w:rPr>
                <w:rFonts w:hint="default" w:ascii="Times New Roman" w:hAnsi="Times New Roman" w:cs="Times New Roman"/>
                <w:color w:val="000000"/>
                <w:kern w:val="0"/>
                <w:szCs w:val="21"/>
              </w:rPr>
              <w:t>农业种植、畜禽养殖、机制炭加工、建筑材料及砖瓦制造、矿山开采</w:t>
            </w:r>
          </w:p>
        </w:tc>
        <w:tc>
          <w:tcPr>
            <w:tcW w:w="2578" w:type="dxa"/>
            <w:vAlign w:val="center"/>
          </w:tcPr>
          <w:p>
            <w:pPr>
              <w:widowControl/>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主要环境问题：</w:t>
            </w:r>
          </w:p>
          <w:p>
            <w:pPr>
              <w:widowControl/>
              <w:rPr>
                <w:rFonts w:hint="default" w:ascii="Times New Roman" w:hAnsi="Times New Roman" w:cs="Times New Roman"/>
                <w:b/>
                <w:bCs/>
                <w:color w:val="000000"/>
                <w:szCs w:val="21"/>
              </w:rPr>
            </w:pPr>
            <w:r>
              <w:rPr>
                <w:rFonts w:hint="default" w:ascii="Times New Roman" w:hAnsi="Times New Roman" w:cs="Times New Roman"/>
                <w:b/>
                <w:bCs/>
                <w:color w:val="000000"/>
                <w:szCs w:val="21"/>
              </w:rPr>
              <w:t>稠树塘镇：</w:t>
            </w:r>
            <w:r>
              <w:rPr>
                <w:rFonts w:hint="default" w:ascii="Times New Roman" w:hAnsi="Times New Roman" w:cs="Times New Roman"/>
                <w:kern w:val="0"/>
                <w:szCs w:val="21"/>
              </w:rPr>
              <w:t>砖瓦窑企业不能全面达标排放；</w:t>
            </w:r>
          </w:p>
          <w:p>
            <w:pPr>
              <w:widowControl/>
              <w:rPr>
                <w:rFonts w:hint="default" w:ascii="Times New Roman" w:hAnsi="Times New Roman" w:cs="Times New Roman"/>
                <w:b/>
                <w:bCs/>
                <w:color w:val="000000"/>
                <w:szCs w:val="21"/>
              </w:rPr>
            </w:pPr>
            <w:r>
              <w:rPr>
                <w:rFonts w:hint="default" w:ascii="Times New Roman" w:hAnsi="Times New Roman" w:cs="Times New Roman"/>
                <w:b/>
                <w:bCs/>
                <w:color w:val="000000"/>
                <w:szCs w:val="21"/>
              </w:rPr>
              <w:t>大甸镇：</w:t>
            </w:r>
            <w:r>
              <w:rPr>
                <w:rFonts w:hint="default" w:ascii="Times New Roman" w:hAnsi="Times New Roman" w:cs="Times New Roman"/>
                <w:color w:val="000000"/>
                <w:kern w:val="0"/>
                <w:szCs w:val="21"/>
              </w:rPr>
              <w:t>畜禽养殖污染问题、小食品加工污染问题；</w:t>
            </w:r>
          </w:p>
          <w:p>
            <w:pPr>
              <w:widowControl/>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秦桥镇：</w:t>
            </w:r>
            <w:r>
              <w:rPr>
                <w:rFonts w:hint="default" w:ascii="Times New Roman" w:hAnsi="Times New Roman" w:cs="Times New Roman"/>
                <w:kern w:val="0"/>
                <w:szCs w:val="21"/>
              </w:rPr>
              <w:t>砖瓦窑企业不能全面达标排放</w:t>
            </w:r>
            <w:r>
              <w:rPr>
                <w:rFonts w:hint="default" w:ascii="Times New Roman" w:hAnsi="Times New Roman" w:cs="Times New Roman"/>
                <w:kern w:val="0"/>
                <w:szCs w:val="21"/>
                <w:lang w:eastAsia="zh-CN"/>
              </w:rPr>
              <w:t>。</w:t>
            </w:r>
          </w:p>
          <w:p>
            <w:pPr>
              <w:widowControl/>
              <w:rPr>
                <w:rFonts w:hint="default" w:ascii="Times New Roman" w:hAnsi="Times New Roman" w:cs="Times New Roman"/>
                <w:b/>
                <w:kern w:val="0"/>
                <w:szCs w:val="21"/>
              </w:rPr>
            </w:pPr>
            <w:r>
              <w:rPr>
                <w:rFonts w:hint="default" w:ascii="Times New Roman" w:hAnsi="Times New Roman" w:cs="Times New Roman"/>
                <w:b/>
                <w:kern w:val="0"/>
                <w:szCs w:val="21"/>
              </w:rPr>
              <w:t>重要敏感目标：</w:t>
            </w:r>
          </w:p>
          <w:p>
            <w:pPr>
              <w:widowControl/>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稠树塘镇：</w:t>
            </w:r>
            <w:r>
              <w:rPr>
                <w:rFonts w:hint="default" w:ascii="Times New Roman" w:hAnsi="Times New Roman" w:cs="Times New Roman"/>
                <w:kern w:val="0"/>
                <w:szCs w:val="21"/>
              </w:rPr>
              <w:t>稠树塘镇革命水库饮用水水源保护区、稠树塘镇大水江水库饮用水水源保护区</w:t>
            </w:r>
            <w:r>
              <w:rPr>
                <w:rFonts w:hint="default" w:ascii="Times New Roman" w:hAnsi="Times New Roman" w:cs="Times New Roman"/>
                <w:kern w:val="0"/>
                <w:szCs w:val="21"/>
                <w:lang w:eastAsia="zh-CN"/>
              </w:rPr>
              <w:t>；</w:t>
            </w:r>
          </w:p>
          <w:p>
            <w:pPr>
              <w:widowControl/>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大甸镇：</w:t>
            </w:r>
            <w:r>
              <w:rPr>
                <w:rFonts w:hint="default" w:ascii="Times New Roman" w:hAnsi="Times New Roman" w:cs="Times New Roman"/>
                <w:color w:val="000000"/>
                <w:szCs w:val="21"/>
                <w:shd w:val="clear" w:color="auto" w:fill="FFFFFF"/>
              </w:rPr>
              <w:t>大甸镇栈家冲水库饮用水水源保护区</w:t>
            </w:r>
            <w:r>
              <w:rPr>
                <w:rFonts w:hint="default" w:ascii="Times New Roman" w:hAnsi="Times New Roman" w:cs="Times New Roman"/>
                <w:color w:val="000000"/>
                <w:szCs w:val="21"/>
                <w:shd w:val="clear" w:color="auto" w:fill="FFFFFF"/>
                <w:lang w:eastAsia="zh-CN"/>
              </w:rPr>
              <w:t>；</w:t>
            </w:r>
          </w:p>
          <w:p>
            <w:pPr>
              <w:widowControl/>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秦桥镇：</w:t>
            </w:r>
            <w:r>
              <w:rPr>
                <w:rFonts w:hint="default" w:ascii="Times New Roman" w:hAnsi="Times New Roman" w:cs="Times New Roman"/>
                <w:color w:val="000000"/>
                <w:szCs w:val="21"/>
                <w:shd w:val="clear" w:color="auto" w:fill="FFFFFF"/>
              </w:rPr>
              <w:t>大水江水库饮用水水源保护区</w:t>
            </w:r>
            <w:r>
              <w:rPr>
                <w:rFonts w:hint="default" w:ascii="Times New Roman" w:hAnsi="Times New Roman" w:cs="Times New Roman"/>
                <w:kern w:val="0"/>
                <w:szCs w:val="21"/>
                <w:lang w:eastAsia="zh-CN"/>
              </w:rPr>
              <w:t>；</w:t>
            </w:r>
          </w:p>
          <w:p>
            <w:pPr>
              <w:widowControl/>
              <w:rPr>
                <w:rFonts w:hint="default" w:ascii="Times New Roman" w:hAnsi="Times New Roman" w:eastAsia="宋体" w:cs="Times New Roman"/>
                <w:b/>
                <w:kern w:val="0"/>
                <w:szCs w:val="21"/>
                <w:lang w:eastAsia="zh-CN"/>
              </w:rPr>
            </w:pPr>
            <w:r>
              <w:rPr>
                <w:rFonts w:hint="default" w:ascii="Times New Roman" w:hAnsi="Times New Roman" w:cs="Times New Roman"/>
                <w:b/>
                <w:bCs/>
                <w:color w:val="000000"/>
                <w:szCs w:val="21"/>
              </w:rPr>
              <w:t>司马冲镇：</w:t>
            </w:r>
            <w:r>
              <w:rPr>
                <w:rFonts w:hint="default" w:ascii="Times New Roman" w:hAnsi="Times New Roman" w:cs="Times New Roman"/>
              </w:rPr>
              <w:t>栈家冲水库饮用水水源保护区</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主要属性</w:t>
            </w:r>
          </w:p>
        </w:tc>
        <w:tc>
          <w:tcPr>
            <w:tcW w:w="12488" w:type="dxa"/>
            <w:gridSpan w:val="11"/>
            <w:vAlign w:val="center"/>
          </w:tcPr>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稠树塘镇：</w:t>
            </w:r>
          </w:p>
          <w:p>
            <w:pPr>
              <w:pStyle w:val="16"/>
              <w:spacing w:line="240" w:lineRule="auto"/>
              <w:ind w:firstLine="422"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一般生态空间；水源涵养重要区\水土流失敏感区\原生态红线\生物多样性保护功能重要区；</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水环境一般管控区；大气环境受体敏感重点管控区；农用地优先保护区/农用地重点管控区/其他重点管控区/一般管控区；矿区；农产品主产区；</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大甸镇：</w:t>
            </w:r>
          </w:p>
          <w:p>
            <w:pPr>
              <w:pStyle w:val="16"/>
              <w:spacing w:line="240" w:lineRule="auto"/>
              <w:ind w:firstLine="422"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一般生态空间；水源涵养重要区\原生态红线\水土流失敏感区；</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水环境一般管控区；大气环境受体敏感重点管控区/大气环境弱扩散重点管控区；农用地优先保护区/农用地重点管控区/其他重点管控区/一般管控区；矿区；</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秦桥镇：</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红线/一般生态空间；水源涵养重要区\三区三线生态红线\水土流失敏感区\生物多样性保护功能重要区\原生态红线\石漠化敏感区；</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水环境一般管控区；大气环境受体敏感重点管控区；农用地优先保护区/其他重点管控区/一般管控区；矿区；农产品主产区；</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司马冲镇：</w:t>
            </w:r>
          </w:p>
          <w:p>
            <w:pPr>
              <w:pStyle w:val="16"/>
              <w:spacing w:line="240" w:lineRule="auto"/>
              <w:ind w:firstLine="422"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一般生态空间；水源涵养重要区\原生态红线\水土流失敏感区\生物多样性保护功能重要；</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水环境一般管控区；大气环境受体敏感重点管控区/大气环境弱扩散重点管控区；农用地优先保护区/农用地重点管控区/建设用地重点管控区/其他重点管控区/一般管控区；矿区/中高风险企业用地；农产品主产区；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Align w:val="center"/>
          </w:tcPr>
          <w:p>
            <w:pPr>
              <w:widowControl/>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管控维度</w:t>
            </w:r>
          </w:p>
        </w:tc>
        <w:tc>
          <w:tcPr>
            <w:tcW w:w="9452" w:type="dxa"/>
            <w:gridSpan w:val="9"/>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kern w:val="0"/>
                <w:szCs w:val="21"/>
              </w:rPr>
              <w:t>管控要求</w:t>
            </w:r>
          </w:p>
        </w:tc>
        <w:tc>
          <w:tcPr>
            <w:tcW w:w="3036" w:type="dxa"/>
            <w:gridSpan w:val="2"/>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86"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空间布局约束</w:t>
            </w:r>
          </w:p>
        </w:tc>
        <w:tc>
          <w:tcPr>
            <w:tcW w:w="9452"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spacing w:line="240" w:lineRule="auto"/>
              <w:ind w:firstLine="0" w:firstLineChars="0"/>
              <w:jc w:val="left"/>
              <w:rPr>
                <w:rFonts w:hint="default" w:ascii="Times New Roman" w:hAnsi="Times New Roman" w:cs="Times New Roman"/>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3036" w:type="dxa"/>
            <w:gridSpan w:val="2"/>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rPr>
                <w:rFonts w:hint="default" w:ascii="Times New Roman" w:hAnsi="Times New Roman" w:cs="Times New Roman"/>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6"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污染物排放管控</w:t>
            </w:r>
          </w:p>
        </w:tc>
        <w:tc>
          <w:tcPr>
            <w:tcW w:w="9452"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（2.1）废水：</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spacing w:line="240" w:lineRule="auto"/>
              <w:ind w:firstLine="420" w:firstLineChars="200"/>
              <w:jc w:val="left"/>
              <w:rPr>
                <w:rFonts w:hint="default" w:ascii="Times New Roman" w:hAnsi="Times New Roman" w:cs="Times New Roman"/>
                <w:color w:val="000000" w:themeColor="text1"/>
                <w:kern w:val="2"/>
                <w:sz w:val="21"/>
                <w:szCs w:val="21"/>
                <w:lang w:val="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3036" w:type="dxa"/>
            <w:gridSpan w:val="2"/>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环境风险防控</w:t>
            </w:r>
          </w:p>
        </w:tc>
        <w:tc>
          <w:tcPr>
            <w:tcW w:w="9452" w:type="dxa"/>
            <w:gridSpan w:val="9"/>
            <w:vAlign w:val="center"/>
          </w:tcPr>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p>
            <w:pPr>
              <w:pStyle w:val="16"/>
              <w:spacing w:line="240" w:lineRule="auto"/>
              <w:ind w:firstLine="420" w:firstLineChars="200"/>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（3.3）推进重要江河源头区、重要水源地和水土流失重点防治区水土流失治理。</w:t>
            </w:r>
          </w:p>
        </w:tc>
        <w:tc>
          <w:tcPr>
            <w:tcW w:w="3036" w:type="dxa"/>
            <w:gridSpan w:val="2"/>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资源开发效率要求</w:t>
            </w:r>
          </w:p>
        </w:tc>
        <w:tc>
          <w:tcPr>
            <w:tcW w:w="9452" w:type="dxa"/>
            <w:gridSpan w:val="9"/>
            <w:vAlign w:val="center"/>
          </w:tcPr>
          <w:p>
            <w:pPr>
              <w:pStyle w:val="16"/>
              <w:spacing w:line="240" w:lineRule="auto"/>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widowControl/>
              <w:spacing w:line="240" w:lineRule="auto"/>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szCs w:val="21"/>
                <w14:textFill>
                  <w14:solidFill>
                    <w14:schemeClr w14:val="tx1"/>
                  </w14:solidFill>
                </w14:textFill>
              </w:rPr>
              <w:t>（4.3）土地资源：</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永久基本农田保护面积不低于42080.81公顷。</w:t>
            </w:r>
          </w:p>
        </w:tc>
        <w:tc>
          <w:tcPr>
            <w:tcW w:w="3036" w:type="dxa"/>
            <w:gridSpan w:val="2"/>
            <w:vMerge w:val="continue"/>
            <w:vAlign w:val="center"/>
          </w:tcPr>
          <w:p>
            <w:pPr>
              <w:rPr>
                <w:rFonts w:hint="default" w:ascii="Times New Roman" w:hAnsi="Times New Roman" w:cs="Times New Roman"/>
              </w:rPr>
            </w:pPr>
          </w:p>
        </w:tc>
      </w:tr>
    </w:tbl>
    <w:p>
      <w:pPr>
        <w:spacing w:line="360" w:lineRule="auto"/>
        <w:jc w:val="left"/>
        <w:rPr>
          <w:rFonts w:hint="default" w:ascii="Times New Roman" w:hAnsi="Times New Roman" w:cs="Times New Roman"/>
          <w:b/>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425"/>
        <w:gridCol w:w="426"/>
        <w:gridCol w:w="425"/>
        <w:gridCol w:w="850"/>
        <w:gridCol w:w="993"/>
        <w:gridCol w:w="1701"/>
        <w:gridCol w:w="1615"/>
        <w:gridCol w:w="2302"/>
        <w:gridCol w:w="22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widowControl/>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szCs w:val="21"/>
              </w:rPr>
              <w:br w:type="page"/>
            </w:r>
            <w:r>
              <w:rPr>
                <w:rFonts w:hint="default" w:ascii="Times New Roman" w:hAnsi="Times New Roman" w:cs="Times New Roman"/>
                <w:b/>
                <w:color w:val="000000"/>
                <w:kern w:val="0"/>
                <w:szCs w:val="21"/>
              </w:rPr>
              <w:t>环境管控单元编码</w:t>
            </w:r>
          </w:p>
        </w:tc>
        <w:tc>
          <w:tcPr>
            <w:tcW w:w="992" w:type="dxa"/>
            <w:vMerge w:val="restart"/>
            <w:vAlign w:val="center"/>
          </w:tcPr>
          <w:p>
            <w:pPr>
              <w:widowControl/>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单元名称</w:t>
            </w:r>
          </w:p>
        </w:tc>
        <w:tc>
          <w:tcPr>
            <w:tcW w:w="1276" w:type="dxa"/>
            <w:gridSpan w:val="3"/>
            <w:vAlign w:val="center"/>
          </w:tcPr>
          <w:p>
            <w:pPr>
              <w:widowControl/>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行政区划</w:t>
            </w:r>
          </w:p>
        </w:tc>
        <w:tc>
          <w:tcPr>
            <w:tcW w:w="850" w:type="dxa"/>
            <w:vMerge w:val="restart"/>
            <w:vAlign w:val="center"/>
          </w:tcPr>
          <w:p>
            <w:pPr>
              <w:widowControl/>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单元分类</w:t>
            </w:r>
          </w:p>
        </w:tc>
        <w:tc>
          <w:tcPr>
            <w:tcW w:w="993" w:type="dxa"/>
            <w:vMerge w:val="restart"/>
            <w:vAlign w:val="center"/>
          </w:tcPr>
          <w:p>
            <w:pPr>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单元面积(km</w:t>
            </w:r>
            <w:r>
              <w:rPr>
                <w:rFonts w:hint="default" w:ascii="Times New Roman" w:hAnsi="Times New Roman" w:cs="Times New Roman"/>
                <w:b/>
                <w:color w:val="000000"/>
                <w:kern w:val="0"/>
                <w:szCs w:val="21"/>
                <w:vertAlign w:val="superscript"/>
              </w:rPr>
              <w:t>2</w:t>
            </w:r>
            <w:r>
              <w:rPr>
                <w:rFonts w:hint="default" w:ascii="Times New Roman" w:hAnsi="Times New Roman" w:cs="Times New Roman"/>
                <w:b/>
                <w:color w:val="000000"/>
                <w:kern w:val="0"/>
                <w:szCs w:val="21"/>
              </w:rPr>
              <w:t>)</w:t>
            </w:r>
          </w:p>
        </w:tc>
        <w:tc>
          <w:tcPr>
            <w:tcW w:w="1701" w:type="dxa"/>
            <w:vMerge w:val="restart"/>
            <w:vAlign w:val="center"/>
          </w:tcPr>
          <w:p>
            <w:pPr>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涉及乡镇(街道)</w:t>
            </w:r>
          </w:p>
        </w:tc>
        <w:tc>
          <w:tcPr>
            <w:tcW w:w="1615" w:type="dxa"/>
            <w:vMerge w:val="restart"/>
            <w:vAlign w:val="center"/>
          </w:tcPr>
          <w:p>
            <w:pPr>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主体功能定位</w:t>
            </w:r>
          </w:p>
        </w:tc>
        <w:tc>
          <w:tcPr>
            <w:tcW w:w="2524" w:type="dxa"/>
            <w:gridSpan w:val="2"/>
            <w:vMerge w:val="restart"/>
            <w:vAlign w:val="center"/>
          </w:tcPr>
          <w:p>
            <w:pPr>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经济产业布局</w:t>
            </w:r>
          </w:p>
        </w:tc>
        <w:tc>
          <w:tcPr>
            <w:tcW w:w="3151" w:type="dxa"/>
            <w:vMerge w:val="restart"/>
            <w:vAlign w:val="center"/>
          </w:tcPr>
          <w:p>
            <w:pPr>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主要环境问题和</w:t>
            </w:r>
            <w:r>
              <w:rPr>
                <w:rFonts w:hint="default" w:ascii="Times New Roman" w:hAnsi="Times New Roman" w:cs="Times New Roman"/>
                <w:b/>
                <w:kern w:val="0"/>
                <w:szCs w:val="21"/>
              </w:rPr>
              <w:t>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vMerge w:val="continue"/>
            <w:vAlign w:val="center"/>
          </w:tcPr>
          <w:p>
            <w:pPr>
              <w:spacing w:line="240" w:lineRule="auto"/>
              <w:rPr>
                <w:rFonts w:hint="default" w:ascii="Times New Roman" w:hAnsi="Times New Roman" w:cs="Times New Roman"/>
              </w:rPr>
            </w:pPr>
          </w:p>
        </w:tc>
        <w:tc>
          <w:tcPr>
            <w:tcW w:w="992" w:type="dxa"/>
            <w:vMerge w:val="continue"/>
            <w:vAlign w:val="center"/>
          </w:tcPr>
          <w:p>
            <w:pPr>
              <w:spacing w:line="240" w:lineRule="auto"/>
              <w:rPr>
                <w:rFonts w:hint="default" w:ascii="Times New Roman" w:hAnsi="Times New Roman" w:cs="Times New Roman"/>
              </w:rPr>
            </w:pPr>
          </w:p>
        </w:tc>
        <w:tc>
          <w:tcPr>
            <w:tcW w:w="425" w:type="dxa"/>
            <w:vAlign w:val="center"/>
          </w:tcPr>
          <w:p>
            <w:pPr>
              <w:spacing w:line="240" w:lineRule="auto"/>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省</w:t>
            </w:r>
          </w:p>
        </w:tc>
        <w:tc>
          <w:tcPr>
            <w:tcW w:w="426" w:type="dxa"/>
            <w:vAlign w:val="center"/>
          </w:tcPr>
          <w:p>
            <w:pPr>
              <w:spacing w:line="240" w:lineRule="auto"/>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市</w:t>
            </w:r>
          </w:p>
        </w:tc>
        <w:tc>
          <w:tcPr>
            <w:tcW w:w="425" w:type="dxa"/>
            <w:vAlign w:val="center"/>
          </w:tcPr>
          <w:p>
            <w:pPr>
              <w:spacing w:line="240" w:lineRule="auto"/>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县</w:t>
            </w:r>
          </w:p>
        </w:tc>
        <w:tc>
          <w:tcPr>
            <w:tcW w:w="850" w:type="dxa"/>
            <w:vMerge w:val="continue"/>
            <w:vAlign w:val="center"/>
          </w:tcPr>
          <w:p>
            <w:pPr>
              <w:spacing w:line="240" w:lineRule="auto"/>
              <w:rPr>
                <w:rFonts w:hint="default" w:ascii="Times New Roman" w:hAnsi="Times New Roman" w:cs="Times New Roman"/>
              </w:rPr>
            </w:pPr>
          </w:p>
        </w:tc>
        <w:tc>
          <w:tcPr>
            <w:tcW w:w="993" w:type="dxa"/>
            <w:vMerge w:val="continue"/>
            <w:vAlign w:val="center"/>
          </w:tcPr>
          <w:p>
            <w:pPr>
              <w:spacing w:line="240" w:lineRule="auto"/>
              <w:rPr>
                <w:rFonts w:hint="default" w:ascii="Times New Roman" w:hAnsi="Times New Roman" w:cs="Times New Roman"/>
              </w:rPr>
            </w:pPr>
          </w:p>
        </w:tc>
        <w:tc>
          <w:tcPr>
            <w:tcW w:w="1701" w:type="dxa"/>
            <w:vMerge w:val="continue"/>
            <w:vAlign w:val="center"/>
          </w:tcPr>
          <w:p>
            <w:pPr>
              <w:spacing w:line="240" w:lineRule="auto"/>
              <w:rPr>
                <w:rFonts w:hint="default" w:ascii="Times New Roman" w:hAnsi="Times New Roman" w:cs="Times New Roman"/>
              </w:rPr>
            </w:pPr>
          </w:p>
        </w:tc>
        <w:tc>
          <w:tcPr>
            <w:tcW w:w="1615" w:type="dxa"/>
            <w:vMerge w:val="continue"/>
            <w:vAlign w:val="center"/>
          </w:tcPr>
          <w:p>
            <w:pPr>
              <w:spacing w:line="240" w:lineRule="auto"/>
              <w:rPr>
                <w:rFonts w:hint="default" w:ascii="Times New Roman" w:hAnsi="Times New Roman" w:cs="Times New Roman"/>
              </w:rPr>
            </w:pPr>
          </w:p>
        </w:tc>
        <w:tc>
          <w:tcPr>
            <w:tcW w:w="2524" w:type="dxa"/>
            <w:gridSpan w:val="2"/>
            <w:vMerge w:val="continue"/>
            <w:vAlign w:val="center"/>
          </w:tcPr>
          <w:p>
            <w:pPr>
              <w:spacing w:line="240" w:lineRule="auto"/>
              <w:rPr>
                <w:rFonts w:hint="default" w:ascii="Times New Roman" w:hAnsi="Times New Roman" w:cs="Times New Roman"/>
              </w:rPr>
            </w:pPr>
          </w:p>
        </w:tc>
        <w:tc>
          <w:tcPr>
            <w:tcW w:w="3151" w:type="dxa"/>
            <w:vMerge w:val="continue"/>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ZH43058130002</w:t>
            </w:r>
          </w:p>
        </w:tc>
        <w:tc>
          <w:tcPr>
            <w:tcW w:w="992"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邓家铺镇/荆竹铺镇/马坪乡/水浸坪乡/晏田乡</w:t>
            </w:r>
          </w:p>
        </w:tc>
        <w:tc>
          <w:tcPr>
            <w:tcW w:w="425"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湖南省</w:t>
            </w:r>
          </w:p>
        </w:tc>
        <w:tc>
          <w:tcPr>
            <w:tcW w:w="426"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邵阳市</w:t>
            </w:r>
          </w:p>
        </w:tc>
        <w:tc>
          <w:tcPr>
            <w:tcW w:w="425"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武冈市</w:t>
            </w:r>
          </w:p>
        </w:tc>
        <w:tc>
          <w:tcPr>
            <w:tcW w:w="850"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一般管控单元</w:t>
            </w:r>
          </w:p>
        </w:tc>
        <w:tc>
          <w:tcPr>
            <w:tcW w:w="993" w:type="dxa"/>
            <w:vAlign w:val="center"/>
          </w:tcPr>
          <w:p>
            <w:pPr>
              <w:pStyle w:val="16"/>
              <w:spacing w:line="240" w:lineRule="auto"/>
              <w:jc w:val="center"/>
              <w:rPr>
                <w:rFonts w:hint="default" w:ascii="Times New Roman" w:hAnsi="Times New Roman" w:cs="Times New Roman"/>
              </w:rPr>
            </w:pPr>
            <w:r>
              <w:rPr>
                <w:rFonts w:hint="default" w:ascii="Times New Roman" w:hAnsi="Times New Roman" w:cs="Times New Roman"/>
                <w:kern w:val="2"/>
                <w:sz w:val="21"/>
                <w:szCs w:val="21"/>
              </w:rPr>
              <w:t>388.85</w:t>
            </w:r>
          </w:p>
        </w:tc>
        <w:tc>
          <w:tcPr>
            <w:tcW w:w="1701" w:type="dxa"/>
            <w:vAlign w:val="center"/>
          </w:tcPr>
          <w:p>
            <w:pPr>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邓家铺镇/荆竹铺镇/马坪乡/水浸坪乡/晏田乡</w:t>
            </w:r>
          </w:p>
        </w:tc>
        <w:tc>
          <w:tcPr>
            <w:tcW w:w="1615" w:type="dxa"/>
            <w:vAlign w:val="center"/>
          </w:tcPr>
          <w:p>
            <w:pPr>
              <w:pStyle w:val="16"/>
              <w:spacing w:line="240" w:lineRule="auto"/>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邓家铺镇：</w:t>
            </w:r>
            <w:r>
              <w:rPr>
                <w:rFonts w:hint="default" w:ascii="Times New Roman" w:hAnsi="Times New Roman" w:eastAsia="宋体" w:cs="Times New Roman"/>
                <w:kern w:val="2"/>
                <w:sz w:val="21"/>
                <w:szCs w:val="21"/>
              </w:rPr>
              <w:t>城市化地区</w:t>
            </w:r>
            <w:r>
              <w:rPr>
                <w:rFonts w:hint="default" w:ascii="Times New Roman" w:hAnsi="Times New Roman" w:eastAsia="宋体" w:cs="Times New Roman"/>
                <w:kern w:val="2"/>
                <w:sz w:val="21"/>
                <w:szCs w:val="21"/>
                <w:lang w:eastAsia="zh-CN"/>
              </w:rPr>
              <w:t>；</w:t>
            </w:r>
          </w:p>
          <w:p>
            <w:pPr>
              <w:pStyle w:val="16"/>
              <w:spacing w:line="240" w:lineRule="auto"/>
              <w:jc w:val="center"/>
              <w:rPr>
                <w:rFonts w:hint="default" w:ascii="Times New Roman" w:hAnsi="Times New Roman" w:eastAsia="宋体" w:cs="Times New Roman"/>
                <w:szCs w:val="21"/>
              </w:rPr>
            </w:pPr>
            <w:r>
              <w:rPr>
                <w:rFonts w:hint="default" w:ascii="Times New Roman" w:hAnsi="Times New Roman" w:eastAsia="宋体" w:cs="Times New Roman"/>
                <w:b/>
                <w:bCs/>
                <w:kern w:val="2"/>
                <w:sz w:val="21"/>
                <w:szCs w:val="21"/>
              </w:rPr>
              <w:t>荆竹铺镇</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马坪乡</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水浸坪乡</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晏田乡：</w:t>
            </w:r>
            <w:r>
              <w:rPr>
                <w:rFonts w:hint="default" w:ascii="Times New Roman" w:hAnsi="Times New Roman" w:eastAsia="宋体" w:cs="Times New Roman"/>
                <w:kern w:val="2"/>
                <w:sz w:val="21"/>
                <w:szCs w:val="21"/>
              </w:rPr>
              <w:t>农产品主产区</w:t>
            </w:r>
          </w:p>
        </w:tc>
        <w:tc>
          <w:tcPr>
            <w:tcW w:w="2524" w:type="dxa"/>
            <w:gridSpan w:val="2"/>
            <w:vAlign w:val="center"/>
          </w:tcPr>
          <w:p>
            <w:pPr>
              <w:widowControl/>
              <w:spacing w:line="240" w:lineRule="auto"/>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bCs/>
                <w:kern w:val="2"/>
                <w:sz w:val="21"/>
                <w:szCs w:val="21"/>
              </w:rPr>
              <w:t>邓家铺镇：</w:t>
            </w:r>
            <w:r>
              <w:rPr>
                <w:rFonts w:hint="default" w:ascii="Times New Roman" w:hAnsi="Times New Roman" w:eastAsia="宋体" w:cs="Times New Roman"/>
                <w:b w:val="0"/>
                <w:bCs w:val="0"/>
                <w:kern w:val="2"/>
                <w:sz w:val="21"/>
                <w:szCs w:val="21"/>
              </w:rPr>
              <w:t>社会服务、旅游、食品加工、建筑材料及砖瓦制造、矿山开采</w:t>
            </w:r>
          </w:p>
          <w:p>
            <w:pPr>
              <w:widowControl/>
              <w:spacing w:line="240" w:lineRule="auto"/>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bCs/>
                <w:kern w:val="2"/>
                <w:sz w:val="21"/>
                <w:szCs w:val="21"/>
              </w:rPr>
              <w:t>荆竹铺镇：</w:t>
            </w:r>
            <w:r>
              <w:rPr>
                <w:rFonts w:hint="default" w:ascii="Times New Roman" w:hAnsi="Times New Roman" w:eastAsia="宋体" w:cs="Times New Roman"/>
                <w:b w:val="0"/>
                <w:bCs w:val="0"/>
                <w:kern w:val="2"/>
                <w:sz w:val="21"/>
                <w:szCs w:val="21"/>
              </w:rPr>
              <w:t>农业种植、农副产品加工、畜禽养殖、建筑材料及砖瓦制造、矿山开采</w:t>
            </w:r>
          </w:p>
          <w:p>
            <w:pPr>
              <w:widowControl/>
              <w:spacing w:line="240" w:lineRule="auto"/>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bCs/>
                <w:kern w:val="2"/>
                <w:sz w:val="21"/>
                <w:szCs w:val="21"/>
              </w:rPr>
              <w:t>马坪乡：</w:t>
            </w:r>
            <w:r>
              <w:rPr>
                <w:rFonts w:hint="default" w:ascii="Times New Roman" w:hAnsi="Times New Roman" w:eastAsia="宋体" w:cs="Times New Roman"/>
                <w:b w:val="0"/>
                <w:bCs w:val="0"/>
                <w:kern w:val="2"/>
                <w:sz w:val="21"/>
                <w:szCs w:val="21"/>
              </w:rPr>
              <w:t>农业种植、农副产品加工、畜禽养殖</w:t>
            </w:r>
          </w:p>
          <w:p>
            <w:pPr>
              <w:widowControl/>
              <w:spacing w:line="240" w:lineRule="auto"/>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bCs/>
                <w:kern w:val="2"/>
                <w:sz w:val="21"/>
                <w:szCs w:val="21"/>
              </w:rPr>
              <w:t>水浸坪乡：</w:t>
            </w:r>
            <w:r>
              <w:rPr>
                <w:rFonts w:hint="default" w:ascii="Times New Roman" w:hAnsi="Times New Roman" w:eastAsia="宋体" w:cs="Times New Roman"/>
                <w:b w:val="0"/>
                <w:bCs w:val="0"/>
                <w:kern w:val="2"/>
                <w:sz w:val="21"/>
                <w:szCs w:val="21"/>
              </w:rPr>
              <w:t>农业种植、农副产品加工、畜禽养殖、建筑材料及砖瓦制造、矿山开采</w:t>
            </w:r>
          </w:p>
          <w:p>
            <w:pPr>
              <w:widowControl/>
              <w:spacing w:line="240" w:lineRule="auto"/>
              <w:rPr>
                <w:rFonts w:hint="default" w:ascii="Times New Roman" w:hAnsi="Times New Roman" w:cs="Times New Roman"/>
                <w:strike/>
                <w:color w:val="000000"/>
                <w:kern w:val="0"/>
                <w:szCs w:val="21"/>
              </w:rPr>
            </w:pPr>
            <w:r>
              <w:rPr>
                <w:rFonts w:hint="default" w:ascii="Times New Roman" w:hAnsi="Times New Roman" w:eastAsia="宋体" w:cs="Times New Roman"/>
                <w:b/>
                <w:bCs/>
                <w:kern w:val="2"/>
                <w:sz w:val="21"/>
                <w:szCs w:val="21"/>
              </w:rPr>
              <w:t>晏田乡：</w:t>
            </w:r>
            <w:r>
              <w:rPr>
                <w:rFonts w:hint="default" w:ascii="Times New Roman" w:hAnsi="Times New Roman" w:eastAsia="宋体" w:cs="Times New Roman"/>
                <w:b w:val="0"/>
                <w:bCs w:val="0"/>
                <w:kern w:val="2"/>
                <w:sz w:val="21"/>
                <w:szCs w:val="21"/>
              </w:rPr>
              <w:t>农业种植、农副产品加工、畜禽养殖、建筑材料及砖瓦制造、矿山开采</w:t>
            </w:r>
          </w:p>
        </w:tc>
        <w:tc>
          <w:tcPr>
            <w:tcW w:w="3151" w:type="dxa"/>
            <w:vAlign w:val="center"/>
          </w:tcPr>
          <w:p>
            <w:pPr>
              <w:pStyle w:val="16"/>
              <w:spacing w:line="240" w:lineRule="auto"/>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主要环境问题：</w:t>
            </w:r>
          </w:p>
          <w:p>
            <w:pPr>
              <w:pStyle w:val="16"/>
              <w:spacing w:line="240" w:lineRule="auto"/>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邓家铺镇</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荆竹铺镇</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马坪乡</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水浸坪乡</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晏田乡：</w:t>
            </w:r>
            <w:r>
              <w:rPr>
                <w:rFonts w:hint="default" w:ascii="Times New Roman" w:hAnsi="Times New Roman" w:eastAsia="宋体" w:cs="Times New Roman"/>
                <w:sz w:val="21"/>
                <w:szCs w:val="21"/>
              </w:rPr>
              <w:t>畜禽养殖污染问题、小食品加工污染问题</w:t>
            </w:r>
            <w:r>
              <w:rPr>
                <w:rFonts w:hint="default" w:ascii="Times New Roman" w:hAnsi="Times New Roman" w:eastAsia="宋体" w:cs="Times New Roman"/>
                <w:sz w:val="21"/>
                <w:szCs w:val="21"/>
                <w:lang w:eastAsia="zh-CN"/>
              </w:rPr>
              <w:t>；</w:t>
            </w:r>
          </w:p>
          <w:p>
            <w:pPr>
              <w:pStyle w:val="16"/>
              <w:spacing w:line="240" w:lineRule="auto"/>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重要敏感目标：</w:t>
            </w:r>
          </w:p>
          <w:p>
            <w:pPr>
              <w:pStyle w:val="16"/>
              <w:spacing w:line="240" w:lineRule="auto"/>
              <w:jc w:val="both"/>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b/>
                <w:bCs/>
                <w:kern w:val="2"/>
                <w:sz w:val="21"/>
                <w:szCs w:val="21"/>
              </w:rPr>
              <w:t>邓家铺镇：</w:t>
            </w:r>
            <w:r>
              <w:rPr>
                <w:rFonts w:hint="default" w:ascii="Times New Roman" w:hAnsi="Times New Roman" w:eastAsia="宋体" w:cs="Times New Roman"/>
                <w:sz w:val="21"/>
                <w:szCs w:val="21"/>
                <w:shd w:val="clear" w:color="auto" w:fill="FFFFFF"/>
              </w:rPr>
              <w:t>邓家铺镇东风水库饮用水水源保护区、邓家铺镇大塘冲水库饮用水水源保护区</w:t>
            </w:r>
            <w:r>
              <w:rPr>
                <w:rFonts w:hint="default" w:ascii="Times New Roman" w:hAnsi="Times New Roman" w:eastAsia="宋体" w:cs="Times New Roman"/>
                <w:sz w:val="21"/>
                <w:szCs w:val="21"/>
                <w:shd w:val="clear" w:color="auto" w:fill="FFFFFF"/>
                <w:lang w:eastAsia="zh-CN"/>
              </w:rPr>
              <w:t>；</w:t>
            </w:r>
          </w:p>
          <w:p>
            <w:pPr>
              <w:pStyle w:val="16"/>
              <w:spacing w:line="240" w:lineRule="auto"/>
              <w:jc w:val="both"/>
              <w:rPr>
                <w:rFonts w:hint="eastAsia" w:ascii="Times New Roman" w:hAnsi="Times New Roman" w:eastAsia="宋体" w:cs="Times New Roman"/>
                <w:b/>
                <w:bCs/>
                <w:kern w:val="2"/>
                <w:sz w:val="21"/>
                <w:szCs w:val="21"/>
                <w:lang w:val="en-US" w:eastAsia="zh-CN"/>
              </w:rPr>
            </w:pPr>
            <w:r>
              <w:rPr>
                <w:rFonts w:hint="default" w:ascii="Times New Roman" w:hAnsi="Times New Roman" w:eastAsia="宋体" w:cs="Times New Roman"/>
                <w:b/>
                <w:bCs/>
                <w:kern w:val="2"/>
                <w:sz w:val="21"/>
                <w:szCs w:val="21"/>
              </w:rPr>
              <w:t>荆竹铺镇</w:t>
            </w:r>
            <w:r>
              <w:rPr>
                <w:rFonts w:hint="eastAsia" w:ascii="Times New Roman" w:hAnsi="Times New Roman" w:eastAsia="宋体" w:cs="Times New Roman"/>
                <w:b/>
                <w:bCs/>
                <w:kern w:val="2"/>
                <w:sz w:val="21"/>
                <w:szCs w:val="21"/>
                <w:lang w:val="en-US" w:eastAsia="zh-CN"/>
              </w:rPr>
              <w:t>/</w:t>
            </w:r>
            <w:r>
              <w:rPr>
                <w:rFonts w:hint="default" w:ascii="Times New Roman" w:hAnsi="Times New Roman" w:eastAsia="宋体" w:cs="Times New Roman"/>
                <w:b/>
                <w:bCs/>
                <w:kern w:val="2"/>
                <w:sz w:val="21"/>
                <w:szCs w:val="21"/>
              </w:rPr>
              <w:t>马坪乡：</w:t>
            </w:r>
            <w:r>
              <w:rPr>
                <w:rFonts w:hint="default" w:ascii="Times New Roman" w:hAnsi="Times New Roman" w:eastAsia="宋体" w:cs="Times New Roman"/>
                <w:sz w:val="21"/>
                <w:szCs w:val="21"/>
                <w:shd w:val="clear" w:color="auto" w:fill="FFFFFF"/>
              </w:rPr>
              <w:t>马坪乡金龙岩地下水饮用水水源保护区</w:t>
            </w:r>
            <w:r>
              <w:rPr>
                <w:rFonts w:hint="eastAsia" w:ascii="Times New Roman" w:hAnsi="Times New Roman" w:eastAsia="宋体" w:cs="Times New Roman"/>
                <w:sz w:val="21"/>
                <w:szCs w:val="21"/>
                <w:shd w:val="clear" w:color="auto" w:fill="FFFFFF"/>
                <w:lang w:val="en-US" w:eastAsia="zh-CN"/>
              </w:rPr>
              <w:t>;</w:t>
            </w:r>
          </w:p>
          <w:p>
            <w:pPr>
              <w:pStyle w:val="16"/>
              <w:spacing w:line="240" w:lineRule="auto"/>
              <w:jc w:val="both"/>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b/>
                <w:bCs/>
                <w:kern w:val="2"/>
                <w:sz w:val="21"/>
                <w:szCs w:val="21"/>
              </w:rPr>
              <w:t>水浸坪乡：</w:t>
            </w:r>
            <w:r>
              <w:rPr>
                <w:rFonts w:hint="default" w:ascii="Times New Roman" w:hAnsi="Times New Roman" w:eastAsia="宋体" w:cs="Times New Roman"/>
                <w:sz w:val="21"/>
                <w:szCs w:val="21"/>
                <w:shd w:val="clear" w:color="auto" w:fill="FFFFFF"/>
              </w:rPr>
              <w:t>：邓家铺镇大塘冲水库饮用水水源保护区、水浸坪乡隆兴岩地下水饮用水水源保护区</w:t>
            </w:r>
            <w:r>
              <w:rPr>
                <w:rFonts w:hint="default" w:ascii="Times New Roman" w:hAnsi="Times New Roman" w:eastAsia="宋体" w:cs="Times New Roman"/>
                <w:sz w:val="21"/>
                <w:szCs w:val="21"/>
                <w:shd w:val="clear" w:color="auto" w:fill="FFFFFF"/>
                <w:lang w:eastAsia="zh-CN"/>
              </w:rPr>
              <w:t>；</w:t>
            </w:r>
          </w:p>
          <w:p>
            <w:pPr>
              <w:pStyle w:val="16"/>
              <w:spacing w:line="240" w:lineRule="auto"/>
              <w:jc w:val="both"/>
              <w:rPr>
                <w:rFonts w:hint="default" w:ascii="Times New Roman" w:hAnsi="Times New Roman" w:eastAsia="宋体" w:cs="Times New Roman"/>
              </w:rPr>
            </w:pPr>
            <w:r>
              <w:rPr>
                <w:rFonts w:hint="default" w:ascii="Times New Roman" w:hAnsi="Times New Roman" w:eastAsia="宋体" w:cs="Times New Roman"/>
                <w:b/>
                <w:bCs/>
                <w:kern w:val="2"/>
                <w:sz w:val="21"/>
                <w:szCs w:val="21"/>
              </w:rPr>
              <w:t>晏田乡：</w:t>
            </w:r>
            <w:r>
              <w:rPr>
                <w:rFonts w:hint="default" w:ascii="Times New Roman" w:hAnsi="Times New Roman" w:eastAsia="宋体" w:cs="Times New Roman"/>
                <w:sz w:val="21"/>
                <w:szCs w:val="21"/>
                <w:shd w:val="clear" w:color="auto" w:fill="FFFFFF"/>
              </w:rPr>
              <w:t>已划定的“千吨万人”饮用水源保护地（湖南武冈湘水水务有限公司东风水厂）</w:t>
            </w:r>
            <w:r>
              <w:rPr>
                <w:rFonts w:hint="default" w:ascii="Times New Roman" w:hAnsi="Times New Roman" w:eastAsia="宋体" w:cs="Times New Roman"/>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240" w:lineRule="auto"/>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主要属性</w:t>
            </w:r>
          </w:p>
        </w:tc>
        <w:tc>
          <w:tcPr>
            <w:tcW w:w="13102" w:type="dxa"/>
            <w:gridSpan w:val="11"/>
            <w:vAlign w:val="center"/>
          </w:tcPr>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邓家铺镇：</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红线/一般生态空间；水源涵养重要区\三区三线生态红线\水土流失敏感区\生物多样性保护功能重要区\原生态红线；</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水环境一般管控区；大气环境受体敏感重点管控区/大气环境弱扩散重点管控区；农用地优先保护区/农用地重点管控区/建设用地重点管控区/其他重点管控区/一般管控区；矿区/中高风险企业用地；城市化地区；</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荆竹铺镇：</w:t>
            </w:r>
          </w:p>
          <w:p>
            <w:pPr>
              <w:pStyle w:val="16"/>
              <w:spacing w:line="240" w:lineRule="auto"/>
              <w:ind w:firstLine="422"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红线/一般生态空间；水源涵养重要区\三区三线生态红线\水土流失敏感区\生物多样性保护功能重要区；</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水环境一般管控区；大气环境受体敏感重点管控区/大气环境弱扩散重点管控区；农用地优先保护区/其他重点管控区/一般管控区；矿区；</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马坪乡：</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红线/一般生态空间；水源涵养重要区\三区三线生态红线\水土流失敏感区\生物多样性保护功能重要区\原生态红线；</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水环境一般管控区；大气环境受体敏感重点管控区/大气环境弱扩散重点管控区；农用地优先保护区/一般管控区；农产品主产区；</w:t>
            </w:r>
          </w:p>
          <w:p>
            <w:pPr>
              <w:pStyle w:val="16"/>
              <w:spacing w:line="240" w:lineRule="auto"/>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水浸坪乡：</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红线/一般生态空间；水源涵养重要区\水土流失敏感区\三区三线生态红线\原生态红线\生物多样性保护功能重要区；</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水环境一般管控区大气环境弱扩散重点管控区；农用地优先保护区/农用地重点管控区/其他重点管控区/一般管控区；矿区；农产品主产区；</w:t>
            </w:r>
          </w:p>
          <w:p>
            <w:pPr>
              <w:spacing w:line="240" w:lineRule="auto"/>
              <w:jc w:val="left"/>
              <w:rPr>
                <w:rFonts w:hint="default" w:ascii="Times New Roman" w:hAnsi="Times New Roman" w:cs="Times New Roman"/>
                <w:b/>
                <w:bCs/>
                <w:color w:val="000000"/>
                <w:szCs w:val="21"/>
              </w:rPr>
            </w:pPr>
            <w:r>
              <w:rPr>
                <w:rFonts w:hint="default" w:ascii="Times New Roman" w:hAnsi="Times New Roman" w:cs="Times New Roman"/>
                <w:b/>
                <w:bCs/>
                <w:color w:val="000000"/>
                <w:szCs w:val="21"/>
              </w:rPr>
              <w:t>晏田乡：</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一般生态空间；水源涵养重要区\水土流失敏感区；</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水环境一般管控区；大气环境受体敏感重点管控区；农用地优先保护区/其他重点管控区/一般管控区；矿区；农产品主产区；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240" w:lineRule="auto"/>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管控维度</w:t>
            </w:r>
          </w:p>
        </w:tc>
        <w:tc>
          <w:tcPr>
            <w:tcW w:w="9729" w:type="dxa"/>
            <w:gridSpan w:val="9"/>
            <w:vAlign w:val="center"/>
          </w:tcPr>
          <w:p>
            <w:pPr>
              <w:spacing w:line="240" w:lineRule="auto"/>
              <w:jc w:val="center"/>
              <w:rPr>
                <w:rFonts w:hint="default" w:ascii="Times New Roman" w:hAnsi="Times New Roman" w:cs="Times New Roman"/>
                <w:b/>
                <w:color w:val="000000"/>
                <w:szCs w:val="21"/>
              </w:rPr>
            </w:pPr>
            <w:r>
              <w:rPr>
                <w:rFonts w:hint="default" w:ascii="Times New Roman" w:hAnsi="Times New Roman" w:cs="Times New Roman"/>
                <w:b/>
                <w:color w:val="000000"/>
                <w:kern w:val="0"/>
                <w:szCs w:val="21"/>
              </w:rPr>
              <w:t>管控要求</w:t>
            </w:r>
          </w:p>
        </w:tc>
        <w:tc>
          <w:tcPr>
            <w:tcW w:w="3373" w:type="dxa"/>
            <w:gridSpan w:val="2"/>
            <w:vAlign w:val="center"/>
          </w:tcPr>
          <w:p>
            <w:pPr>
              <w:spacing w:line="240" w:lineRule="auto"/>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846" w:type="dxa"/>
            <w:vAlign w:val="center"/>
          </w:tcPr>
          <w:p>
            <w:pPr>
              <w:widowControl/>
              <w:spacing w:line="240" w:lineRule="auto"/>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空间布局约束</w:t>
            </w:r>
          </w:p>
        </w:tc>
        <w:tc>
          <w:tcPr>
            <w:tcW w:w="9729"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3373" w:type="dxa"/>
            <w:gridSpan w:val="2"/>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pStyle w:val="19"/>
              <w:ind w:left="0" w:leftChars="0" w:firstLine="0" w:firstLineChars="0"/>
              <w:rPr>
                <w:rFonts w:hint="default"/>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240" w:lineRule="auto"/>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污染物排放管控</w:t>
            </w:r>
          </w:p>
        </w:tc>
        <w:tc>
          <w:tcPr>
            <w:tcW w:w="9729"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（2.1）废水：</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spacing w:line="240" w:lineRule="auto"/>
              <w:ind w:firstLine="420" w:firstLineChars="200"/>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3373" w:type="dxa"/>
            <w:gridSpan w:val="2"/>
            <w:vMerge w:val="continue"/>
            <w:vAlign w:val="center"/>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240" w:lineRule="auto"/>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环境风险防控</w:t>
            </w:r>
          </w:p>
        </w:tc>
        <w:tc>
          <w:tcPr>
            <w:tcW w:w="9729" w:type="dxa"/>
            <w:gridSpan w:val="9"/>
            <w:vAlign w:val="center"/>
          </w:tcPr>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p>
            <w:pPr>
              <w:pStyle w:val="16"/>
              <w:spacing w:line="240" w:lineRule="auto"/>
              <w:ind w:firstLine="420" w:firstLineChars="200"/>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（3.3）推进重要江河源头区、重要水源地和水土流失重点防治区水土流失治理。</w:t>
            </w:r>
          </w:p>
        </w:tc>
        <w:tc>
          <w:tcPr>
            <w:tcW w:w="3373" w:type="dxa"/>
            <w:gridSpan w:val="2"/>
            <w:vMerge w:val="continue"/>
            <w:vAlign w:val="center"/>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240" w:lineRule="auto"/>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资源开发效率要求</w:t>
            </w:r>
          </w:p>
        </w:tc>
        <w:tc>
          <w:tcPr>
            <w:tcW w:w="9729" w:type="dxa"/>
            <w:gridSpan w:val="9"/>
            <w:vAlign w:val="center"/>
          </w:tcPr>
          <w:p>
            <w:pPr>
              <w:pStyle w:val="16"/>
              <w:spacing w:line="240" w:lineRule="auto"/>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widowControl/>
              <w:spacing w:line="240" w:lineRule="auto"/>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szCs w:val="21"/>
                <w14:textFill>
                  <w14:solidFill>
                    <w14:schemeClr w14:val="tx1"/>
                  </w14:solidFill>
                </w14:textFill>
              </w:rPr>
              <w:t>（4.3）土地资源：</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永久基本农田保护面积不低于42080.81公顷。</w:t>
            </w:r>
          </w:p>
        </w:tc>
        <w:tc>
          <w:tcPr>
            <w:tcW w:w="3373" w:type="dxa"/>
            <w:gridSpan w:val="2"/>
            <w:vMerge w:val="continue"/>
            <w:vAlign w:val="center"/>
          </w:tcPr>
          <w:p>
            <w:pPr>
              <w:spacing w:line="240" w:lineRule="auto"/>
              <w:rPr>
                <w:rFonts w:hint="default" w:ascii="Times New Roman" w:hAnsi="Times New Roman" w:cs="Times New Roman"/>
              </w:rPr>
            </w:pPr>
          </w:p>
        </w:tc>
      </w:tr>
    </w:tbl>
    <w:p>
      <w:pPr>
        <w:spacing w:line="360" w:lineRule="auto"/>
        <w:jc w:val="left"/>
        <w:outlineLvl w:val="0"/>
        <w:rPr>
          <w:rFonts w:hint="default" w:ascii="Times New Roman" w:hAnsi="Times New Roman" w:cs="Times New Roman"/>
          <w:b/>
          <w:color w:val="000000"/>
          <w:szCs w:val="21"/>
        </w:rPr>
        <w:sectPr>
          <w:pgSz w:w="16838" w:h="11906" w:orient="landscape"/>
          <w:pgMar w:top="1800" w:right="1440" w:bottom="1800" w:left="1440" w:header="851" w:footer="992" w:gutter="0"/>
          <w:pgNumType w:fmt="decimal"/>
          <w:cols w:space="720" w:num="1"/>
          <w:docGrid w:type="line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427"/>
        <w:gridCol w:w="427"/>
        <w:gridCol w:w="427"/>
        <w:gridCol w:w="427"/>
        <w:gridCol w:w="427"/>
        <w:gridCol w:w="794"/>
        <w:gridCol w:w="1402"/>
        <w:gridCol w:w="1276"/>
        <w:gridCol w:w="2745"/>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环境管控单元编码</w:t>
            </w:r>
          </w:p>
        </w:tc>
        <w:tc>
          <w:tcPr>
            <w:tcW w:w="0" w:type="auto"/>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单元名称</w:t>
            </w:r>
          </w:p>
        </w:tc>
        <w:tc>
          <w:tcPr>
            <w:tcW w:w="0" w:type="auto"/>
            <w:gridSpan w:val="3"/>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行政区划</w:t>
            </w:r>
          </w:p>
        </w:tc>
        <w:tc>
          <w:tcPr>
            <w:tcW w:w="0" w:type="auto"/>
            <w:vMerge w:val="restart"/>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单元分类</w:t>
            </w:r>
          </w:p>
        </w:tc>
        <w:tc>
          <w:tcPr>
            <w:tcW w:w="0" w:type="auto"/>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单元面积(km</w:t>
            </w:r>
            <w:r>
              <w:rPr>
                <w:rFonts w:hint="default" w:ascii="Times New Roman" w:hAnsi="Times New Roman" w:cs="Times New Roman"/>
                <w:b/>
                <w:color w:val="000000"/>
                <w:kern w:val="0"/>
                <w:szCs w:val="21"/>
                <w:vertAlign w:val="superscript"/>
              </w:rPr>
              <w:t>2</w:t>
            </w:r>
            <w:r>
              <w:rPr>
                <w:rFonts w:hint="default" w:ascii="Times New Roman" w:hAnsi="Times New Roman" w:cs="Times New Roman"/>
                <w:b/>
                <w:color w:val="000000"/>
                <w:kern w:val="0"/>
                <w:szCs w:val="21"/>
              </w:rPr>
              <w:t>)</w:t>
            </w:r>
          </w:p>
        </w:tc>
        <w:tc>
          <w:tcPr>
            <w:tcW w:w="1325"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涉及乡镇(街道)</w:t>
            </w:r>
          </w:p>
        </w:tc>
        <w:tc>
          <w:tcPr>
            <w:tcW w:w="1223"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主体功能定位</w:t>
            </w:r>
          </w:p>
        </w:tc>
        <w:tc>
          <w:tcPr>
            <w:tcW w:w="2820"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经济产业布局</w:t>
            </w:r>
          </w:p>
        </w:tc>
        <w:tc>
          <w:tcPr>
            <w:tcW w:w="4226" w:type="dxa"/>
            <w:vMerge w:val="restart"/>
            <w:vAlign w:val="center"/>
          </w:tcPr>
          <w:p>
            <w:pPr>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主要环境问题和</w:t>
            </w:r>
            <w:r>
              <w:rPr>
                <w:rFonts w:hint="default" w:ascii="Times New Roman" w:hAnsi="Times New Roman" w:cs="Times New Roman"/>
                <w:b/>
                <w:kern w:val="0"/>
                <w:szCs w:val="21"/>
              </w:rPr>
              <w:t>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Merge w:val="continue"/>
            <w:vAlign w:val="center"/>
          </w:tcPr>
          <w:p>
            <w:pPr>
              <w:rPr>
                <w:rFonts w:hint="default" w:ascii="Times New Roman" w:hAnsi="Times New Roman" w:cs="Times New Roman"/>
              </w:rPr>
            </w:pPr>
          </w:p>
        </w:tc>
        <w:tc>
          <w:tcPr>
            <w:tcW w:w="0" w:type="auto"/>
            <w:vMerge w:val="continue"/>
            <w:vAlign w:val="center"/>
          </w:tcPr>
          <w:p>
            <w:pPr>
              <w:rPr>
                <w:rFonts w:hint="default" w:ascii="Times New Roman" w:hAnsi="Times New Roman" w:cs="Times New Roman"/>
              </w:rPr>
            </w:pPr>
          </w:p>
        </w:tc>
        <w:tc>
          <w:tcPr>
            <w:tcW w:w="0" w:type="auto"/>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省</w:t>
            </w:r>
          </w:p>
        </w:tc>
        <w:tc>
          <w:tcPr>
            <w:tcW w:w="0" w:type="auto"/>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市</w:t>
            </w:r>
          </w:p>
        </w:tc>
        <w:tc>
          <w:tcPr>
            <w:tcW w:w="0" w:type="auto"/>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县</w:t>
            </w:r>
          </w:p>
        </w:tc>
        <w:tc>
          <w:tcPr>
            <w:tcW w:w="0" w:type="auto"/>
            <w:vMerge w:val="continue"/>
            <w:vAlign w:val="center"/>
          </w:tcPr>
          <w:p>
            <w:pPr>
              <w:rPr>
                <w:rFonts w:hint="default" w:ascii="Times New Roman" w:hAnsi="Times New Roman" w:cs="Times New Roman"/>
              </w:rPr>
            </w:pPr>
          </w:p>
        </w:tc>
        <w:tc>
          <w:tcPr>
            <w:tcW w:w="0" w:type="auto"/>
            <w:vMerge w:val="continue"/>
            <w:vAlign w:val="center"/>
          </w:tcPr>
          <w:p>
            <w:pPr>
              <w:rPr>
                <w:rFonts w:hint="default" w:ascii="Times New Roman" w:hAnsi="Times New Roman" w:cs="Times New Roman"/>
              </w:rPr>
            </w:pPr>
          </w:p>
        </w:tc>
        <w:tc>
          <w:tcPr>
            <w:tcW w:w="1325" w:type="dxa"/>
            <w:vMerge w:val="continue"/>
            <w:vAlign w:val="center"/>
          </w:tcPr>
          <w:p>
            <w:pPr>
              <w:rPr>
                <w:rFonts w:hint="default" w:ascii="Times New Roman" w:hAnsi="Times New Roman" w:cs="Times New Roman"/>
              </w:rPr>
            </w:pPr>
          </w:p>
        </w:tc>
        <w:tc>
          <w:tcPr>
            <w:tcW w:w="1223" w:type="dxa"/>
            <w:vMerge w:val="continue"/>
            <w:vAlign w:val="center"/>
          </w:tcPr>
          <w:p>
            <w:pPr>
              <w:rPr>
                <w:rFonts w:hint="default" w:ascii="Times New Roman" w:hAnsi="Times New Roman" w:cs="Times New Roman"/>
              </w:rPr>
            </w:pPr>
          </w:p>
        </w:tc>
        <w:tc>
          <w:tcPr>
            <w:tcW w:w="2820" w:type="dxa"/>
            <w:vMerge w:val="continue"/>
            <w:vAlign w:val="center"/>
          </w:tcPr>
          <w:p>
            <w:pPr>
              <w:rPr>
                <w:rFonts w:hint="default" w:ascii="Times New Roman" w:hAnsi="Times New Roman" w:cs="Times New Roman"/>
              </w:rPr>
            </w:pPr>
          </w:p>
        </w:tc>
        <w:tc>
          <w:tcPr>
            <w:tcW w:w="4226"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ZH43058130003</w:t>
            </w:r>
          </w:p>
        </w:tc>
        <w:tc>
          <w:tcPr>
            <w:tcW w:w="0" w:type="auto"/>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邓元泰镇</w:t>
            </w:r>
          </w:p>
        </w:tc>
        <w:tc>
          <w:tcPr>
            <w:tcW w:w="0" w:type="auto"/>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湖南省</w:t>
            </w:r>
          </w:p>
        </w:tc>
        <w:tc>
          <w:tcPr>
            <w:tcW w:w="0" w:type="auto"/>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邵阳市</w:t>
            </w:r>
          </w:p>
        </w:tc>
        <w:tc>
          <w:tcPr>
            <w:tcW w:w="0" w:type="auto"/>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武冈市</w:t>
            </w:r>
          </w:p>
        </w:tc>
        <w:tc>
          <w:tcPr>
            <w:tcW w:w="0" w:type="auto"/>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一般管控单元</w:t>
            </w:r>
          </w:p>
        </w:tc>
        <w:tc>
          <w:tcPr>
            <w:tcW w:w="0" w:type="auto"/>
            <w:vAlign w:val="center"/>
          </w:tcPr>
          <w:p>
            <w:pPr>
              <w:pStyle w:val="16"/>
              <w:rPr>
                <w:rFonts w:hint="default" w:ascii="Times New Roman" w:hAnsi="Times New Roman" w:cs="Times New Roman"/>
              </w:rPr>
            </w:pPr>
            <w:r>
              <w:rPr>
                <w:rFonts w:hint="default" w:ascii="Times New Roman" w:hAnsi="Times New Roman" w:cs="Times New Roman"/>
                <w:kern w:val="2"/>
                <w:sz w:val="21"/>
                <w:szCs w:val="21"/>
              </w:rPr>
              <w:t>144.57</w:t>
            </w:r>
          </w:p>
        </w:tc>
        <w:tc>
          <w:tcPr>
            <w:tcW w:w="1325"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邓元泰镇</w:t>
            </w:r>
          </w:p>
        </w:tc>
        <w:tc>
          <w:tcPr>
            <w:tcW w:w="1223" w:type="dxa"/>
            <w:vAlign w:val="center"/>
          </w:tcPr>
          <w:p>
            <w:pPr>
              <w:pStyle w:val="16"/>
              <w:jc w:val="center"/>
              <w:rPr>
                <w:rFonts w:hint="default" w:ascii="Times New Roman" w:hAnsi="Times New Roman" w:eastAsia="宋体" w:cs="Times New Roman"/>
              </w:rPr>
            </w:pPr>
            <w:r>
              <w:rPr>
                <w:rFonts w:hint="default" w:ascii="Times New Roman" w:hAnsi="Times New Roman" w:eastAsia="宋体" w:cs="Times New Roman"/>
                <w:kern w:val="2"/>
                <w:sz w:val="21"/>
                <w:szCs w:val="21"/>
              </w:rPr>
              <w:t>城市化地区</w:t>
            </w:r>
          </w:p>
        </w:tc>
        <w:tc>
          <w:tcPr>
            <w:tcW w:w="2820" w:type="dxa"/>
            <w:vAlign w:val="center"/>
          </w:tcPr>
          <w:p>
            <w:pPr>
              <w:widowControl/>
              <w:jc w:val="left"/>
              <w:rPr>
                <w:rFonts w:hint="default" w:ascii="Times New Roman" w:hAnsi="Times New Roman" w:cs="Times New Roman"/>
                <w:strike/>
                <w:color w:val="000000"/>
                <w:kern w:val="0"/>
                <w:szCs w:val="21"/>
              </w:rPr>
            </w:pPr>
            <w:r>
              <w:rPr>
                <w:rFonts w:hint="default" w:ascii="Times New Roman" w:hAnsi="Times New Roman" w:cs="Times New Roman"/>
                <w:color w:val="000000"/>
                <w:kern w:val="0"/>
                <w:szCs w:val="21"/>
              </w:rPr>
              <w:t>农业种植、畜禽养殖、食品加工、农副产品加工、矿产开采、机电、电子设备制造、制鞋、服装加工、旅游开发及旅游产品加工、社会服务、建筑材料及砖瓦制造、光伏发电、生物质资源综合利用、废旧资源利用、建筑材料及砖瓦制造、矿山开采</w:t>
            </w:r>
          </w:p>
        </w:tc>
        <w:tc>
          <w:tcPr>
            <w:tcW w:w="4226" w:type="dxa"/>
            <w:vAlign w:val="center"/>
          </w:tcPr>
          <w:p>
            <w:pPr>
              <w:widowControl/>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主要环境问题：</w:t>
            </w:r>
          </w:p>
          <w:p>
            <w:pPr>
              <w:widowControl/>
              <w:rPr>
                <w:rFonts w:hint="default" w:ascii="Times New Roman" w:hAnsi="Times New Roman" w:cs="Times New Roman"/>
                <w:b/>
                <w:color w:val="000000"/>
                <w:kern w:val="0"/>
                <w:szCs w:val="21"/>
              </w:rPr>
            </w:pPr>
            <w:r>
              <w:rPr>
                <w:rFonts w:hint="default" w:ascii="Times New Roman" w:hAnsi="Times New Roman" w:cs="Times New Roman"/>
                <w:color w:val="000000"/>
                <w:kern w:val="0"/>
                <w:szCs w:val="21"/>
              </w:rPr>
              <w:t>畜禽养殖污染问题、小食品加工污染问题</w:t>
            </w:r>
            <w:r>
              <w:rPr>
                <w:rFonts w:hint="default" w:ascii="Times New Roman" w:hAnsi="Times New Roman" w:cs="Times New Roman"/>
                <w:color w:val="000000"/>
                <w:kern w:val="0"/>
                <w:szCs w:val="21"/>
                <w:lang w:eastAsia="zh-CN"/>
              </w:rPr>
              <w:t>。</w:t>
            </w:r>
          </w:p>
          <w:p>
            <w:pPr>
              <w:widowControl/>
              <w:rPr>
                <w:rFonts w:hint="default" w:ascii="Times New Roman" w:hAnsi="Times New Roman" w:cs="Times New Roman"/>
                <w:b/>
                <w:kern w:val="0"/>
                <w:szCs w:val="21"/>
              </w:rPr>
            </w:pPr>
            <w:r>
              <w:rPr>
                <w:rFonts w:hint="default" w:ascii="Times New Roman" w:hAnsi="Times New Roman" w:cs="Times New Roman"/>
                <w:b/>
                <w:kern w:val="0"/>
                <w:szCs w:val="21"/>
              </w:rPr>
              <w:t>重要敏感目标：</w:t>
            </w:r>
          </w:p>
          <w:p>
            <w:pPr>
              <w:widowControl/>
              <w:numPr>
                <w:ilvl w:val="0"/>
                <w:numId w:val="0"/>
              </w:numPr>
              <w:rPr>
                <w:rFonts w:hint="eastAsia" w:cs="Times New Roman"/>
                <w:color w:val="000000"/>
                <w:kern w:val="0"/>
                <w:szCs w:val="21"/>
                <w:lang w:val="en-US" w:eastAsia="zh-CN"/>
              </w:rPr>
            </w:pPr>
            <w:r>
              <w:rPr>
                <w:rFonts w:hint="eastAsia" w:cs="Times New Roman"/>
                <w:color w:val="000000"/>
                <w:kern w:val="0"/>
                <w:szCs w:val="21"/>
                <w:lang w:val="en-US" w:eastAsia="zh-CN"/>
              </w:rPr>
              <w:t>1、</w:t>
            </w:r>
            <w:r>
              <w:rPr>
                <w:rFonts w:hint="default" w:ascii="Times New Roman" w:hAnsi="Times New Roman" w:cs="Times New Roman"/>
                <w:color w:val="000000"/>
                <w:kern w:val="0"/>
                <w:szCs w:val="21"/>
              </w:rPr>
              <w:t>邓元泰镇新塘冲水库饮用水水源保护区</w:t>
            </w:r>
            <w:r>
              <w:rPr>
                <w:rFonts w:hint="eastAsia" w:cs="Times New Roman"/>
                <w:color w:val="000000"/>
                <w:kern w:val="0"/>
                <w:szCs w:val="21"/>
                <w:lang w:val="en-US" w:eastAsia="zh-CN"/>
              </w:rPr>
              <w:t>；</w:t>
            </w:r>
          </w:p>
          <w:p>
            <w:pPr>
              <w:widowControl/>
              <w:numPr>
                <w:ilvl w:val="0"/>
                <w:numId w:val="0"/>
              </w:numPr>
              <w:rPr>
                <w:rFonts w:hint="eastAsia" w:ascii="Times New Roman" w:hAnsi="Times New Roman" w:eastAsia="宋体" w:cs="Times New Roman"/>
                <w:color w:val="000000"/>
                <w:kern w:val="0"/>
                <w:szCs w:val="21"/>
                <w:lang w:eastAsia="zh-CN"/>
              </w:rPr>
            </w:pPr>
            <w:r>
              <w:rPr>
                <w:rFonts w:hint="eastAsia" w:cs="Times New Roman"/>
                <w:color w:val="000000"/>
                <w:kern w:val="0"/>
                <w:szCs w:val="21"/>
                <w:lang w:val="en-US" w:eastAsia="zh-CN"/>
              </w:rPr>
              <w:t>2、</w:t>
            </w:r>
            <w:r>
              <w:rPr>
                <w:rFonts w:hint="default" w:ascii="Times New Roman" w:hAnsi="Times New Roman" w:cs="Times New Roman"/>
                <w:color w:val="000000"/>
                <w:kern w:val="0"/>
                <w:szCs w:val="21"/>
              </w:rPr>
              <w:t>邓元泰镇石板塘水库饮用水水源保护区</w:t>
            </w:r>
            <w:r>
              <w:rPr>
                <w:rFonts w:hint="eastAsia" w:cs="Times New Roman"/>
                <w:color w:val="000000"/>
                <w:kern w:val="0"/>
                <w:szCs w:val="21"/>
                <w:lang w:eastAsia="zh-CN"/>
              </w:rPr>
              <w:t>；</w:t>
            </w:r>
          </w:p>
          <w:p>
            <w:pPr>
              <w:widowControl/>
              <w:rPr>
                <w:rFonts w:hint="default" w:ascii="Times New Roman" w:hAnsi="Times New Roman" w:cs="Times New Roman"/>
                <w:color w:val="000000"/>
                <w:kern w:val="0"/>
                <w:szCs w:val="21"/>
              </w:rPr>
            </w:pPr>
            <w:r>
              <w:rPr>
                <w:rFonts w:hint="eastAsia" w:cs="Times New Roman"/>
                <w:color w:val="000000"/>
                <w:kern w:val="0"/>
                <w:szCs w:val="21"/>
                <w:lang w:val="en-US" w:eastAsia="zh-CN"/>
              </w:rPr>
              <w:t>3、</w:t>
            </w:r>
            <w:r>
              <w:rPr>
                <w:rFonts w:hint="default" w:ascii="Times New Roman" w:hAnsi="Times New Roman" w:cs="Times New Roman"/>
                <w:color w:val="000000"/>
                <w:kern w:val="0"/>
                <w:szCs w:val="21"/>
              </w:rPr>
              <w:t>云山自然保护区；</w:t>
            </w:r>
          </w:p>
          <w:p>
            <w:pPr>
              <w:widowControl/>
              <w:rPr>
                <w:rFonts w:hint="default" w:ascii="Times New Roman" w:hAnsi="Times New Roman" w:cs="Times New Roman"/>
                <w:b/>
                <w:color w:val="000000"/>
                <w:kern w:val="0"/>
                <w:szCs w:val="21"/>
              </w:rPr>
            </w:pPr>
            <w:r>
              <w:rPr>
                <w:rFonts w:hint="eastAsia" w:cs="Times New Roman"/>
                <w:color w:val="000000"/>
                <w:kern w:val="0"/>
                <w:szCs w:val="21"/>
                <w:lang w:val="en-US" w:eastAsia="zh-CN"/>
              </w:rPr>
              <w:t>4、</w:t>
            </w:r>
            <w:r>
              <w:rPr>
                <w:rFonts w:hint="default" w:ascii="Times New Roman" w:hAnsi="Times New Roman" w:cs="Times New Roman"/>
                <w:color w:val="000000"/>
                <w:kern w:val="0"/>
                <w:szCs w:val="21"/>
              </w:rPr>
              <w:t>云山国家森林公园</w:t>
            </w:r>
            <w:r>
              <w:rPr>
                <w:rFonts w:hint="default" w:ascii="Times New Roman" w:hAnsi="Times New Roman"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主要属性</w:t>
            </w:r>
          </w:p>
        </w:tc>
        <w:tc>
          <w:tcPr>
            <w:tcW w:w="0" w:type="auto"/>
            <w:gridSpan w:val="10"/>
            <w:vAlign w:val="center"/>
          </w:tcPr>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生态红线：</w:t>
            </w:r>
            <w:r>
              <w:rPr>
                <w:rFonts w:hint="default" w:ascii="Times New Roman" w:hAnsi="Times New Roman" w:eastAsia="宋体" w:cs="Times New Roman"/>
                <w:kern w:val="2"/>
                <w:sz w:val="21"/>
                <w:szCs w:val="21"/>
              </w:rPr>
              <w:t>红线/一般生态空间；水源涵养重要区\风景名胜区\森林公园\生物多样性保护功能重要区\水土流失敏感区\三区三线生态红线\原生态红线；</w:t>
            </w:r>
          </w:p>
          <w:p>
            <w:pPr>
              <w:pStyle w:val="16"/>
              <w:spacing w:line="240" w:lineRule="auto"/>
              <w:ind w:firstLine="422" w:firstLineChars="20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环境质量底线：</w:t>
            </w:r>
            <w:r>
              <w:rPr>
                <w:rFonts w:hint="default" w:ascii="Times New Roman" w:hAnsi="Times New Roman" w:eastAsia="宋体" w:cs="Times New Roman"/>
                <w:kern w:val="2"/>
                <w:sz w:val="21"/>
                <w:szCs w:val="21"/>
              </w:rPr>
              <w:t>水环境优先保护区/水环境一般管控区；源头水、水源地（县级以上）、重金属矿；威溪源头水域（九龙村）、邵阳武冈市威溪水库饮用水水源保护区、武冈市宝庆矿业投资有限公司周塘铁矿；大气环境优先保护区/大气环境受体敏感重点管控区/大气环境弱扩散重点管控区；湖南云山国家森林公园/武冈古城—云山风景名胜区；农用地优先保护区/建设用地重点管控区/其他重点管控区/一般管控区；矿区/中高风险企业用地；城市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管控维度</w:t>
            </w:r>
          </w:p>
        </w:tc>
        <w:tc>
          <w:tcPr>
            <w:tcW w:w="8297" w:type="dxa"/>
            <w:gridSpan w:val="9"/>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kern w:val="0"/>
                <w:szCs w:val="21"/>
              </w:rPr>
              <w:t>管控要求</w:t>
            </w:r>
          </w:p>
        </w:tc>
        <w:tc>
          <w:tcPr>
            <w:tcW w:w="4226"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空间布局约束</w:t>
            </w:r>
          </w:p>
        </w:tc>
        <w:tc>
          <w:tcPr>
            <w:tcW w:w="8297"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14:textFill>
                  <w14:solidFill>
                    <w14:schemeClr w14:val="tx1"/>
                  </w14:solidFill>
                </w14:textFill>
              </w:rPr>
              <w:t>）沿江岸线1公里范围内严禁新建、扩建化工园区、化工生产项目。</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14:textFill>
                  <w14:solidFill>
                    <w14:schemeClr w14:val="tx1"/>
                  </w14:solidFill>
                </w14:textFill>
              </w:rPr>
              <w:t>）严格涉重金属重点行业环境准入，落实重点重金属污染物排放量“等量置换”和“减量替换”原则。</w:t>
            </w:r>
          </w:p>
          <w:p>
            <w:pPr>
              <w:pStyle w:val="16"/>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14:textFill>
                  <w14:solidFill>
                    <w14:schemeClr w14:val="tx1"/>
                  </w14:solidFill>
                </w14:textFill>
              </w:rPr>
              <w:t>）禁燃区内禁止新建、扩建、改建使用高污染燃料的项目和措施。</w:t>
            </w:r>
          </w:p>
        </w:tc>
        <w:tc>
          <w:tcPr>
            <w:tcW w:w="4226" w:type="dxa"/>
            <w:vMerge w:val="restart"/>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）（2.1.1）（2.1.2）（2.2.1）（2.2.2）（2.2.3）（2.3.1）（2.3.2）（2.3.3）（</w:t>
            </w:r>
            <w:r>
              <w:rPr>
                <w:rFonts w:hint="default" w:ascii="Times New Roman" w:hAnsi="Times New Roman" w:eastAsia="宋体" w:cs="Times New Roman"/>
                <w:lang w:val="en-US" w:eastAsia="zh-CN"/>
              </w:rPr>
              <w:t>2.3.4</w:t>
            </w:r>
            <w:r>
              <w:rPr>
                <w:rFonts w:hint="default" w:ascii="Times New Roman" w:hAnsi="Times New Roman" w:eastAsia="宋体" w:cs="Times New Roman"/>
              </w:rPr>
              <w:t>）（3.1）（3.2）（4.1.1）（4.1.2）（4.1.3）《武冈市“十四五”生态环境保护规划》</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）《武冈市人民政府关于划定禁止使用高污染燃料区域的通告》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（4.2）《邵阳市水利局 邵阳市发展和改革委员会关于印发“十四五”用水量和强度双控目标的通知》</w:t>
            </w:r>
          </w:p>
          <w:p>
            <w:pPr>
              <w:rPr>
                <w:rFonts w:hint="default" w:ascii="Times New Roman" w:hAnsi="Times New Roman" w:cs="Times New Roman"/>
              </w:rPr>
            </w:pPr>
            <w:r>
              <w:rPr>
                <w:rFonts w:hint="default" w:ascii="Times New Roman" w:hAnsi="Times New Roman" w:eastAsia="宋体" w:cs="Times New Roman"/>
              </w:rPr>
              <w:t>（4.3）《武冈市国土空间总体规划》（2021年</w:t>
            </w:r>
            <w:r>
              <w:rPr>
                <w:rFonts w:hint="eastAsia" w:eastAsia="宋体" w:cs="Times New Roman"/>
                <w:lang w:eastAsia="zh-CN"/>
              </w:rPr>
              <w:t>—</w:t>
            </w:r>
            <w:r>
              <w:rPr>
                <w:rFonts w:hint="default" w:ascii="Times New Roman" w:hAnsi="Times New Roman" w:eastAsia="宋体" w:cs="Times New Roma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污染物排放管控</w:t>
            </w:r>
          </w:p>
        </w:tc>
        <w:tc>
          <w:tcPr>
            <w:tcW w:w="8297" w:type="dxa"/>
            <w:gridSpan w:val="9"/>
            <w:vAlign w:val="center"/>
          </w:tcPr>
          <w:p>
            <w:pPr>
              <w:pStyle w:val="16"/>
              <w:spacing w:line="240" w:lineRule="auto"/>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（2.1）废水：</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（2.1.1）补齐城乡污水收集和处理设施短板，加强生活源污染治理。</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（2.1.2）加强涉重金属行业企业废水治理，推进重点行业氨氮和总磷排放总量控制。</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（2.2）废气：</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（2.2.1）重点涉气排放企业逐步取消烟气旁路，因安全原因无法取消的，安装在线监管系统。</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（2.2.2）加强汽修行业 VOCs 综合治理，加大餐饮油烟污染治理力度。</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（2.2.3）加强污水处理厂和垃圾填埋场甲烷排放控制和回收利用。</w:t>
            </w:r>
          </w:p>
          <w:p>
            <w:pPr>
              <w:pStyle w:val="16"/>
              <w:spacing w:line="240" w:lineRule="auto"/>
              <w:ind w:firstLine="0" w:firstLineChars="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（2.3）固体废物：</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（2.3.1）全面提升建筑垃圾资源化率。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（2.3.2）全面禁止露天焚烧秸秆等农林废弃物，推广生物质成型燃料技术，提高农作物秸秆综合利用的效率。</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（2.3.3）加强生活垃圾分类，推广可回收物利用、焚烧发电、生物处理等资源化利用方式。</w:t>
            </w:r>
          </w:p>
          <w:p>
            <w:pPr>
              <w:pStyle w:val="16"/>
              <w:spacing w:line="240" w:lineRule="auto"/>
              <w:ind w:firstLine="420" w:firstLineChars="200"/>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2.3.4</w:t>
            </w:r>
            <w:r>
              <w:rPr>
                <w:rFonts w:hint="default" w:ascii="Times New Roman" w:hAnsi="Times New Roman" w:cs="Times New Roman" w:eastAsiaTheme="minorEastAsia"/>
                <w:color w:val="000000" w:themeColor="text1"/>
                <w:kern w:val="2"/>
                <w:sz w:val="21"/>
                <w:szCs w:val="21"/>
                <w14:textFill>
                  <w14:solidFill>
                    <w14:schemeClr w14:val="tx1"/>
                  </w14:solidFill>
                </w14:textFill>
              </w:rPr>
              <w:t>）全面禁止废塑料进口，推广使用可降解塑料制品、塑料替代产品。</w:t>
            </w:r>
          </w:p>
        </w:tc>
        <w:tc>
          <w:tcPr>
            <w:tcW w:w="4226" w:type="dxa"/>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环境风险防控</w:t>
            </w:r>
          </w:p>
        </w:tc>
        <w:tc>
          <w:tcPr>
            <w:tcW w:w="8297" w:type="dxa"/>
            <w:gridSpan w:val="9"/>
            <w:vAlign w:val="center"/>
          </w:tcPr>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（3.1）未达到土壤污染风险评估报告要求的地块，禁止开工建设与风险管控、修复无关的项目。</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（3.2）列入建设用地土壤污染风险管控和修复名录的地块，不得作为住宅、公共管理与公共服务用地。</w:t>
            </w:r>
          </w:p>
          <w:p>
            <w:pPr>
              <w:pStyle w:val="16"/>
              <w:spacing w:line="240" w:lineRule="auto"/>
              <w:ind w:firstLine="420" w:firstLineChars="200"/>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（3.3）推进重要江河源头区、重要水源地和水土流失重点防治区水土流失治理。</w:t>
            </w:r>
          </w:p>
        </w:tc>
        <w:tc>
          <w:tcPr>
            <w:tcW w:w="4226" w:type="dxa"/>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1" w:type="dxa"/>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eastAsiaTheme="minorEastAsia"/>
                <w:color w:val="000000"/>
                <w:szCs w:val="21"/>
              </w:rPr>
              <w:t>资源开发效率要求</w:t>
            </w:r>
          </w:p>
        </w:tc>
        <w:tc>
          <w:tcPr>
            <w:tcW w:w="8297" w:type="dxa"/>
            <w:gridSpan w:val="9"/>
            <w:vAlign w:val="center"/>
          </w:tcPr>
          <w:p>
            <w:pPr>
              <w:pStyle w:val="16"/>
              <w:spacing w:line="240" w:lineRule="auto"/>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（4.1.1）加大了天然气、液化气、太阳能等清洁能源的供应和推广力度，逐步提高城市清洁能源使用比重。</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（4.1.2）加快推进以风电、光伏发电为主的新能源发展，统筹发展水能、氢能、地热、生物质等优质清洁能源。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（4.1.3）推行清洁能源替代，逐步改善农村用能结构，提倡使用太阳能、石油液化气、电、沼气等清洁能源。</w:t>
            </w:r>
          </w:p>
          <w:p>
            <w:pPr>
              <w:pStyle w:val="16"/>
              <w:spacing w:line="240" w:lineRule="auto"/>
              <w:ind w:firstLine="420" w:firstLineChars="200"/>
              <w:jc w:val="left"/>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（4.2）水资源：到2025年，武冈市用水总量</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控制在</w:t>
            </w:r>
            <w:r>
              <w:rPr>
                <w:rFonts w:hint="default" w:ascii="Times New Roman" w:hAnsi="Times New Roman" w:cs="Times New Roman" w:eastAsiaTheme="minorEastAsia"/>
                <w:color w:val="000000" w:themeColor="text1"/>
                <w:kern w:val="2"/>
                <w:sz w:val="21"/>
                <w:szCs w:val="21"/>
                <w14:textFill>
                  <w14:solidFill>
                    <w14:schemeClr w14:val="tx1"/>
                  </w14:solidFill>
                </w14:textFill>
              </w:rPr>
              <w:t>3.099亿立方米，万元地区生产总值用水量比2020年下降20.21%，万元工业增加值用水量比2020年下降11.21%，农田灌溉水有效利用系数</w:t>
            </w:r>
            <w:r>
              <w:rPr>
                <w:rFonts w:hint="default" w:ascii="Times New Roman" w:hAnsi="Times New Roman" w:cs="Times New Roman" w:eastAsiaTheme="minorEastAsia"/>
                <w:color w:val="000000" w:themeColor="text1"/>
                <w:kern w:val="2"/>
                <w:sz w:val="21"/>
                <w:szCs w:val="21"/>
                <w:lang w:val="en-US" w:eastAsia="zh-CN"/>
                <w14:textFill>
                  <w14:solidFill>
                    <w14:schemeClr w14:val="tx1"/>
                  </w14:solidFill>
                </w14:textFill>
              </w:rPr>
              <w:t>为</w:t>
            </w:r>
            <w:r>
              <w:rPr>
                <w:rFonts w:hint="default" w:ascii="Times New Roman" w:hAnsi="Times New Roman" w:cs="Times New Roman" w:eastAsiaTheme="minorEastAsia"/>
                <w:color w:val="000000" w:themeColor="text1"/>
                <w:kern w:val="2"/>
                <w:sz w:val="21"/>
                <w:szCs w:val="21"/>
                <w14:textFill>
                  <w14:solidFill>
                    <w14:schemeClr w14:val="tx1"/>
                  </w14:solidFill>
                </w14:textFill>
              </w:rPr>
              <w:t>0.56。</w:t>
            </w:r>
          </w:p>
          <w:p>
            <w:pPr>
              <w:widowControl/>
              <w:spacing w:line="240" w:lineRule="auto"/>
              <w:jc w:val="left"/>
              <w:rPr>
                <w:rFonts w:hint="default" w:ascii="Times New Roman" w:hAnsi="Times New Roman" w:cs="Times New Roman"/>
                <w:strike/>
                <w:color w:val="000000"/>
                <w:szCs w:val="21"/>
              </w:rPr>
            </w:pPr>
            <w:r>
              <w:rPr>
                <w:rFonts w:hint="default" w:ascii="Times New Roman" w:hAnsi="Times New Roman" w:cs="Times New Roman" w:eastAsiaTheme="minorEastAsia"/>
                <w:color w:val="000000" w:themeColor="text1"/>
                <w:szCs w:val="21"/>
                <w14:textFill>
                  <w14:solidFill>
                    <w14:schemeClr w14:val="tx1"/>
                  </w14:solidFill>
                </w14:textFill>
              </w:rPr>
              <w:t>（4.3）土地资源：</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武冈</w:t>
            </w:r>
            <w:r>
              <w:rPr>
                <w:rFonts w:hint="default" w:ascii="Times New Roman" w:hAnsi="Times New Roman" w:cs="Times New Roman" w:eastAsiaTheme="minorEastAsia"/>
                <w:color w:val="000000" w:themeColor="text1"/>
                <w:szCs w:val="21"/>
                <w14:textFill>
                  <w14:solidFill>
                    <w14:schemeClr w14:val="tx1"/>
                  </w14:solidFill>
                </w14:textFill>
              </w:rPr>
              <w:t>市耕地保护目标不低于47495.22公顷</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永久基本农田保护面积不低于42080.81公顷。</w:t>
            </w:r>
          </w:p>
        </w:tc>
        <w:tc>
          <w:tcPr>
            <w:tcW w:w="4226" w:type="dxa"/>
            <w:vMerge w:val="continue"/>
            <w:vAlign w:val="center"/>
          </w:tcPr>
          <w:p>
            <w:pPr>
              <w:rPr>
                <w:rFonts w:hint="default" w:ascii="Times New Roman" w:hAnsi="Times New Roman" w:cs="Times New Roman"/>
              </w:rPr>
            </w:pPr>
          </w:p>
        </w:tc>
      </w:tr>
    </w:tbl>
    <w:p/>
    <w:sectPr>
      <w:footerReference r:id="rId1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8Jls8BAACr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EOb8JIzJyy9+OX7t8uPX5efX9my&#10;XL1KEvUeK6q881Qbh7cwUPkcRwom5kMbbPoSJ0Z5Evh8FVgNkcl0ab1ar0tKScrNDuEXD9d9wPhO&#10;gWXJqHmgF8zCitMHjGPpXJK6ObjVxuRXNO6vAGGOEZXXYLqdmIwTJysO+2Git4fmTOx6WoWaO9p8&#10;zsx7R0qnrZmNMBv72Tj6oA9dXqvUHf2bY6SR8qSpwwhLDJNDb5i5TvuWluRPP1c9/G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L/wmWzwEAAKsDAAAOAAAAAAAAAAEAIAAAAB4BAABkcnMv&#10;ZTJvRG9jLnhtbFBLBQYAAAAABgAGAFkBAABf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rPr>
                              <w:sz w:val="21"/>
                            </w:rPr>
                            <w:fldChar w:fldCharType="begin"/>
                          </w:r>
                          <w:r>
                            <w:rPr>
                              <w:sz w:val="21"/>
                            </w:rPr>
                            <w:instrText xml:space="preserve"> PAGE   \* MERGEFORMAT </w:instrText>
                          </w:r>
                          <w:r>
                            <w:rPr>
                              <w:sz w:val="21"/>
                            </w:rPr>
                            <w:fldChar w:fldCharType="separate"/>
                          </w:r>
                          <w:r>
                            <w:rPr>
                              <w:sz w:val="21"/>
                              <w:lang w:val="zh-CN"/>
                            </w:rPr>
                            <w:t>161</w:t>
                          </w:r>
                          <w:r>
                            <w:rPr>
                              <w:sz w:val="21"/>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ItWc4BAACr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YY2gSRxwtKLX75/u/z4dfn5lS3L&#10;1U2SqA9YUeVjoNo43PuByuc4UjAxH1qw6UucGOUJ7XwVWA2RyXRpvVqvS0pJys0O4RdP1wNgfKu8&#10;ZcmoOdALZmHF6T3GsXQuSd2cf9DG5Fc07q8AYY4Rlddgup2YjBMnKw77YaK3982Z2PW0CjV3tPmc&#10;mXeOlKZp42zAbOxn4xhAH7q8Vqk7hrtjpJHypKnDCEsMk0NvmLlO+5aW5E8/Vz39Y9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kCLVnOAQAAqwMAAA4AAAAAAAAAAQAgAAAAHgEAAGRycy9l&#10;Mm9Eb2MueG1sUEsFBgAAAAAGAAYAWQEAAF4FAAAAAA==&#10;">
              <v:fill on="f" focussize="0,0"/>
              <v:stroke on="f"/>
              <v:imagedata o:title=""/>
              <o:lock v:ext="edit" aspectratio="f"/>
              <v:textbox inset="0mm,0mm,0mm,0mm" style="mso-fit-shape-to-text:t;">
                <w:txbxContent>
                  <w:p>
                    <w:pPr>
                      <w:pStyle w:val="5"/>
                      <w:jc w:val="center"/>
                    </w:pPr>
                    <w:r>
                      <w:rPr>
                        <w:sz w:val="21"/>
                      </w:rPr>
                      <w:fldChar w:fldCharType="begin"/>
                    </w:r>
                    <w:r>
                      <w:rPr>
                        <w:sz w:val="21"/>
                      </w:rPr>
                      <w:instrText xml:space="preserve"> PAGE   \* MERGEFORMAT </w:instrText>
                    </w:r>
                    <w:r>
                      <w:rPr>
                        <w:sz w:val="21"/>
                      </w:rPr>
                      <w:fldChar w:fldCharType="separate"/>
                    </w:r>
                    <w:r>
                      <w:rPr>
                        <w:sz w:val="21"/>
                        <w:lang w:val="zh-CN"/>
                      </w:rPr>
                      <w:t>161</w:t>
                    </w:r>
                    <w:r>
                      <w:rPr>
                        <w:sz w:val="21"/>
                        <w:lang w:val="zh-CN"/>
                      </w:rPr>
                      <w:fldChar w:fldCharType="end"/>
                    </w:r>
                  </w:p>
                </w:txbxContent>
              </v:textbox>
            </v:shape>
          </w:pict>
        </mc:Fallback>
      </mc:AlternateContent>
    </w:r>
  </w:p>
  <w:p>
    <w:pPr>
      <w:pStyle w:val="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Pr>
        <w:rFonts w:ascii="Times New Roman" w:hAnsi="Times New Roman"/>
        <w:sz w:val="21"/>
        <w:lang w:val="zh-CN"/>
      </w:rPr>
      <w:t>154</w:t>
    </w:r>
    <w:r>
      <w:rPr>
        <w:rFonts w:ascii="Times New Roman" w:hAnsi="Times New Roman"/>
        <w:sz w:val="21"/>
        <w:lang w:val="zh-CN"/>
      </w:rPr>
      <w:fldChar w:fldCharType="end"/>
    </w:r>
  </w:p>
  <w:p>
    <w:pPr>
      <w:pStyle w:val="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rPr>
                              <w:sz w:val="21"/>
                            </w:rPr>
                            <w:fldChar w:fldCharType="begin"/>
                          </w:r>
                          <w:r>
                            <w:rPr>
                              <w:sz w:val="21"/>
                            </w:rPr>
                            <w:instrText xml:space="preserve"> PAGE   \* MERGEFORMAT </w:instrText>
                          </w:r>
                          <w:r>
                            <w:rPr>
                              <w:sz w:val="21"/>
                            </w:rPr>
                            <w:fldChar w:fldCharType="separate"/>
                          </w:r>
                          <w:r>
                            <w:rPr>
                              <w:sz w:val="21"/>
                              <w:lang w:val="zh-CN"/>
                            </w:rPr>
                            <w:t>334</w:t>
                          </w:r>
                          <w:r>
                            <w:rPr>
                              <w:sz w:val="21"/>
                              <w:lang w:val="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a6kM4BAACr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R1uQkWJZQZf/PLzx+XXn8vv72Rd&#10;VnWSaPDQYOW9x9o4vnMjli9xwGBiPspg0hc5EcyjwOerwGKMhKdLdVXXJaY45hYH8YuH6z5AfC+c&#10;IcloacAXzMKy00eIU+lSkrpZd6e0zq+o7T8BxJwiIq/BfDsxmSZOVhz340xv77ozshtwFVpqcfMp&#10;0R8sKp22ZjHCYuwX4+iDOvR5rVJ38LfHiCPlSVOHCRYZJgffMHOd9y0tyWM/Vz38Y9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oWupDOAQAAqwMAAA4AAAAAAAAAAQAgAAAAHgEAAGRycy9l&#10;Mm9Eb2MueG1sUEsFBgAAAAAGAAYAWQEAAF4FAAAAAA==&#10;">
              <v:fill on="f" focussize="0,0"/>
              <v:stroke on="f"/>
              <v:imagedata o:title=""/>
              <o:lock v:ext="edit" aspectratio="f"/>
              <v:textbox inset="0mm,0mm,0mm,0mm" style="mso-fit-shape-to-text:t;">
                <w:txbxContent>
                  <w:p>
                    <w:pPr>
                      <w:pStyle w:val="5"/>
                      <w:jc w:val="center"/>
                    </w:pPr>
                    <w:r>
                      <w:rPr>
                        <w:sz w:val="21"/>
                      </w:rPr>
                      <w:fldChar w:fldCharType="begin"/>
                    </w:r>
                    <w:r>
                      <w:rPr>
                        <w:sz w:val="21"/>
                      </w:rPr>
                      <w:instrText xml:space="preserve"> PAGE   \* MERGEFORMAT </w:instrText>
                    </w:r>
                    <w:r>
                      <w:rPr>
                        <w:sz w:val="21"/>
                      </w:rPr>
                      <w:fldChar w:fldCharType="separate"/>
                    </w:r>
                    <w:r>
                      <w:rPr>
                        <w:sz w:val="21"/>
                        <w:lang w:val="zh-CN"/>
                      </w:rPr>
                      <w:t>334</w:t>
                    </w:r>
                    <w:r>
                      <w:rPr>
                        <w:sz w:val="21"/>
                        <w:lang w:val="zh-CN"/>
                      </w:rPr>
                      <w:fldChar w:fldCharType="end"/>
                    </w:r>
                  </w:p>
                </w:txbxContent>
              </v:textbox>
            </v:shape>
          </w:pict>
        </mc:Fallback>
      </mc:AlternateContent>
    </w:r>
  </w:p>
  <w:p>
    <w:pPr>
      <w:pStyle w:val="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Pr>
                              <w:rFonts w:ascii="Times New Roman" w:hAnsi="Times New Roman"/>
                              <w:sz w:val="21"/>
                              <w:lang w:val="zh-CN"/>
                            </w:rPr>
                            <w:t>1</w:t>
                          </w:r>
                          <w:r>
                            <w:rPr>
                              <w:rFonts w:ascii="Times New Roman" w:hAnsi="Times New Roman"/>
                              <w:sz w:val="21"/>
                              <w:lang w:val="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E7coBAACd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TeUOG5x4pcf3y8/f19+fSPL&#10;avU6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8E7coBAACdAwAADgAAAAAAAAABACAAAAAeAQAAZHJzL2Uyb0Rv&#10;Yy54bWxQSwUGAAAAAAYABgBZAQAAWgUAAAAA&#10;">
              <v:fill on="f" focussize="0,0"/>
              <v:stroke on="f"/>
              <v:imagedata o:title=""/>
              <o:lock v:ext="edit" aspectratio="f"/>
              <v:textbox inset="0mm,0mm,0mm,0mm" style="mso-fit-shape-to-text:t;">
                <w:txbxContent>
                  <w:p>
                    <w:pPr>
                      <w:pStyle w:val="5"/>
                      <w:jc w:val="cente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Pr>
                        <w:rFonts w:ascii="Times New Roman" w:hAnsi="Times New Roman"/>
                        <w:sz w:val="21"/>
                        <w:lang w:val="zh-CN"/>
                      </w:rPr>
                      <w:t>1</w:t>
                    </w:r>
                    <w:r>
                      <w:rPr>
                        <w:rFonts w:ascii="Times New Roman" w:hAnsi="Times New Roman"/>
                        <w:sz w:val="21"/>
                        <w:lang w:val="zh-CN"/>
                      </w:rPr>
                      <w:fldChar w:fldCharType="end"/>
                    </w:r>
                  </w:p>
                </w:txbxContent>
              </v:textbox>
            </v:shape>
          </w:pict>
        </mc:Fallback>
      </mc:AlternateContent>
    </w:r>
  </w:p>
  <w:p>
    <w:pPr>
      <w:pStyle w:val="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2"/>
                              <w:szCs w:val="32"/>
                            </w:rPr>
                          </w:pP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rPr>
                        <w:sz w:val="22"/>
                        <w:szCs w:val="32"/>
                      </w:rPr>
                    </w:pP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A6AAD"/>
    <w:multiLevelType w:val="singleLevel"/>
    <w:tmpl w:val="809A6AAD"/>
    <w:lvl w:ilvl="0" w:tentative="0">
      <w:start w:val="1"/>
      <w:numFmt w:val="bullet"/>
      <w:lvlText w:val=""/>
      <w:lvlJc w:val="left"/>
      <w:pPr>
        <w:ind w:left="420" w:hanging="420"/>
      </w:pPr>
      <w:rPr>
        <w:rFonts w:hint="default" w:ascii="Wingdings" w:hAnsi="Wingdings"/>
      </w:rPr>
    </w:lvl>
  </w:abstractNum>
  <w:abstractNum w:abstractNumId="1">
    <w:nsid w:val="837797B6"/>
    <w:multiLevelType w:val="singleLevel"/>
    <w:tmpl w:val="837797B6"/>
    <w:lvl w:ilvl="0" w:tentative="0">
      <w:start w:val="1"/>
      <w:numFmt w:val="decimal"/>
      <w:suff w:val="nothing"/>
      <w:lvlText w:val="%1、"/>
      <w:lvlJc w:val="left"/>
    </w:lvl>
  </w:abstractNum>
  <w:abstractNum w:abstractNumId="2">
    <w:nsid w:val="844255E6"/>
    <w:multiLevelType w:val="singleLevel"/>
    <w:tmpl w:val="844255E6"/>
    <w:lvl w:ilvl="0" w:tentative="0">
      <w:start w:val="1"/>
      <w:numFmt w:val="decimal"/>
      <w:lvlText w:val="%1."/>
      <w:lvlJc w:val="left"/>
      <w:pPr>
        <w:tabs>
          <w:tab w:val="left" w:pos="312"/>
        </w:tabs>
      </w:pPr>
    </w:lvl>
  </w:abstractNum>
  <w:abstractNum w:abstractNumId="3">
    <w:nsid w:val="870283E1"/>
    <w:multiLevelType w:val="singleLevel"/>
    <w:tmpl w:val="870283E1"/>
    <w:lvl w:ilvl="0" w:tentative="0">
      <w:start w:val="1"/>
      <w:numFmt w:val="decimal"/>
      <w:suff w:val="nothing"/>
      <w:lvlText w:val="%1、"/>
      <w:lvlJc w:val="left"/>
    </w:lvl>
  </w:abstractNum>
  <w:abstractNum w:abstractNumId="4">
    <w:nsid w:val="8A235A91"/>
    <w:multiLevelType w:val="singleLevel"/>
    <w:tmpl w:val="8A235A91"/>
    <w:lvl w:ilvl="0" w:tentative="0">
      <w:start w:val="1"/>
      <w:numFmt w:val="bullet"/>
      <w:lvlText w:val=""/>
      <w:lvlJc w:val="left"/>
      <w:pPr>
        <w:ind w:left="420" w:hanging="420"/>
      </w:pPr>
      <w:rPr>
        <w:rFonts w:hint="default" w:ascii="Wingdings" w:hAnsi="Wingdings"/>
      </w:rPr>
    </w:lvl>
  </w:abstractNum>
  <w:abstractNum w:abstractNumId="5">
    <w:nsid w:val="8D37C454"/>
    <w:multiLevelType w:val="singleLevel"/>
    <w:tmpl w:val="8D37C454"/>
    <w:lvl w:ilvl="0" w:tentative="0">
      <w:start w:val="1"/>
      <w:numFmt w:val="decimal"/>
      <w:suff w:val="nothing"/>
      <w:lvlText w:val="%1、"/>
      <w:lvlJc w:val="left"/>
    </w:lvl>
  </w:abstractNum>
  <w:abstractNum w:abstractNumId="6">
    <w:nsid w:val="928E4572"/>
    <w:multiLevelType w:val="singleLevel"/>
    <w:tmpl w:val="928E4572"/>
    <w:lvl w:ilvl="0" w:tentative="0">
      <w:start w:val="1"/>
      <w:numFmt w:val="bullet"/>
      <w:lvlText w:val=""/>
      <w:lvlJc w:val="left"/>
      <w:pPr>
        <w:ind w:left="420" w:hanging="420"/>
      </w:pPr>
      <w:rPr>
        <w:rFonts w:hint="default" w:ascii="Wingdings" w:hAnsi="Wingdings"/>
      </w:rPr>
    </w:lvl>
  </w:abstractNum>
  <w:abstractNum w:abstractNumId="7">
    <w:nsid w:val="960ABC15"/>
    <w:multiLevelType w:val="singleLevel"/>
    <w:tmpl w:val="960ABC15"/>
    <w:lvl w:ilvl="0" w:tentative="0">
      <w:start w:val="1"/>
      <w:numFmt w:val="bullet"/>
      <w:lvlText w:val=""/>
      <w:lvlJc w:val="left"/>
      <w:pPr>
        <w:ind w:left="420" w:hanging="420"/>
      </w:pPr>
      <w:rPr>
        <w:rFonts w:hint="default" w:ascii="Wingdings" w:hAnsi="Wingdings"/>
      </w:rPr>
    </w:lvl>
  </w:abstractNum>
  <w:abstractNum w:abstractNumId="8">
    <w:nsid w:val="9C3D165C"/>
    <w:multiLevelType w:val="singleLevel"/>
    <w:tmpl w:val="9C3D165C"/>
    <w:lvl w:ilvl="0" w:tentative="0">
      <w:start w:val="1"/>
      <w:numFmt w:val="bullet"/>
      <w:lvlText w:val=""/>
      <w:lvlJc w:val="left"/>
      <w:pPr>
        <w:ind w:left="420" w:hanging="420"/>
      </w:pPr>
      <w:rPr>
        <w:rFonts w:hint="default" w:ascii="Wingdings" w:hAnsi="Wingdings"/>
      </w:rPr>
    </w:lvl>
  </w:abstractNum>
  <w:abstractNum w:abstractNumId="9">
    <w:nsid w:val="A57837F9"/>
    <w:multiLevelType w:val="singleLevel"/>
    <w:tmpl w:val="A57837F9"/>
    <w:lvl w:ilvl="0" w:tentative="0">
      <w:start w:val="1"/>
      <w:numFmt w:val="decimal"/>
      <w:suff w:val="nothing"/>
      <w:lvlText w:val="%1、"/>
      <w:lvlJc w:val="left"/>
    </w:lvl>
  </w:abstractNum>
  <w:abstractNum w:abstractNumId="10">
    <w:nsid w:val="A627BED5"/>
    <w:multiLevelType w:val="singleLevel"/>
    <w:tmpl w:val="A627BED5"/>
    <w:lvl w:ilvl="0" w:tentative="0">
      <w:start w:val="1"/>
      <w:numFmt w:val="bullet"/>
      <w:lvlText w:val=""/>
      <w:lvlJc w:val="left"/>
      <w:pPr>
        <w:ind w:left="420" w:hanging="420"/>
      </w:pPr>
      <w:rPr>
        <w:rFonts w:hint="default" w:ascii="Wingdings" w:hAnsi="Wingdings"/>
      </w:rPr>
    </w:lvl>
  </w:abstractNum>
  <w:abstractNum w:abstractNumId="11">
    <w:nsid w:val="AD5839E0"/>
    <w:multiLevelType w:val="singleLevel"/>
    <w:tmpl w:val="AD5839E0"/>
    <w:lvl w:ilvl="0" w:tentative="0">
      <w:start w:val="1"/>
      <w:numFmt w:val="decimal"/>
      <w:suff w:val="nothing"/>
      <w:lvlText w:val="%1、"/>
      <w:lvlJc w:val="left"/>
    </w:lvl>
  </w:abstractNum>
  <w:abstractNum w:abstractNumId="12">
    <w:nsid w:val="B1F2E584"/>
    <w:multiLevelType w:val="singleLevel"/>
    <w:tmpl w:val="B1F2E584"/>
    <w:lvl w:ilvl="0" w:tentative="0">
      <w:start w:val="1"/>
      <w:numFmt w:val="bullet"/>
      <w:lvlText w:val=""/>
      <w:lvlJc w:val="left"/>
      <w:pPr>
        <w:ind w:left="420" w:hanging="420"/>
      </w:pPr>
      <w:rPr>
        <w:rFonts w:hint="default" w:ascii="Wingdings" w:hAnsi="Wingdings"/>
      </w:rPr>
    </w:lvl>
  </w:abstractNum>
  <w:abstractNum w:abstractNumId="13">
    <w:nsid w:val="B5D6F9A4"/>
    <w:multiLevelType w:val="singleLevel"/>
    <w:tmpl w:val="B5D6F9A4"/>
    <w:lvl w:ilvl="0" w:tentative="0">
      <w:start w:val="1"/>
      <w:numFmt w:val="bullet"/>
      <w:lvlText w:val=""/>
      <w:lvlJc w:val="left"/>
      <w:pPr>
        <w:ind w:left="420" w:hanging="420"/>
      </w:pPr>
      <w:rPr>
        <w:rFonts w:hint="default" w:ascii="Wingdings" w:hAnsi="Wingdings"/>
      </w:rPr>
    </w:lvl>
  </w:abstractNum>
  <w:abstractNum w:abstractNumId="14">
    <w:nsid w:val="B7DCFF39"/>
    <w:multiLevelType w:val="singleLevel"/>
    <w:tmpl w:val="B7DCFF39"/>
    <w:lvl w:ilvl="0" w:tentative="0">
      <w:start w:val="1"/>
      <w:numFmt w:val="decimal"/>
      <w:suff w:val="nothing"/>
      <w:lvlText w:val="%1、"/>
      <w:lvlJc w:val="left"/>
    </w:lvl>
  </w:abstractNum>
  <w:abstractNum w:abstractNumId="15">
    <w:nsid w:val="C2664994"/>
    <w:multiLevelType w:val="multilevel"/>
    <w:tmpl w:val="C2664994"/>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6">
    <w:nsid w:val="C368348D"/>
    <w:multiLevelType w:val="singleLevel"/>
    <w:tmpl w:val="C368348D"/>
    <w:lvl w:ilvl="0" w:tentative="0">
      <w:start w:val="1"/>
      <w:numFmt w:val="bullet"/>
      <w:lvlText w:val=""/>
      <w:lvlJc w:val="left"/>
      <w:pPr>
        <w:ind w:left="420" w:hanging="420"/>
      </w:pPr>
      <w:rPr>
        <w:rFonts w:hint="default" w:ascii="Wingdings" w:hAnsi="Wingdings"/>
      </w:rPr>
    </w:lvl>
  </w:abstractNum>
  <w:abstractNum w:abstractNumId="17">
    <w:nsid w:val="C3A3AB10"/>
    <w:multiLevelType w:val="singleLevel"/>
    <w:tmpl w:val="C3A3AB10"/>
    <w:lvl w:ilvl="0" w:tentative="0">
      <w:start w:val="1"/>
      <w:numFmt w:val="decimal"/>
      <w:suff w:val="nothing"/>
      <w:lvlText w:val="%1、"/>
      <w:lvlJc w:val="left"/>
    </w:lvl>
  </w:abstractNum>
  <w:abstractNum w:abstractNumId="18">
    <w:nsid w:val="D094A08A"/>
    <w:multiLevelType w:val="singleLevel"/>
    <w:tmpl w:val="D094A08A"/>
    <w:lvl w:ilvl="0" w:tentative="0">
      <w:start w:val="1"/>
      <w:numFmt w:val="bullet"/>
      <w:lvlText w:val=""/>
      <w:lvlJc w:val="left"/>
      <w:pPr>
        <w:ind w:left="420" w:hanging="420"/>
      </w:pPr>
      <w:rPr>
        <w:rFonts w:hint="default" w:ascii="Wingdings" w:hAnsi="Wingdings"/>
      </w:rPr>
    </w:lvl>
  </w:abstractNum>
  <w:abstractNum w:abstractNumId="19">
    <w:nsid w:val="D1CF2CD5"/>
    <w:multiLevelType w:val="singleLevel"/>
    <w:tmpl w:val="D1CF2CD5"/>
    <w:lvl w:ilvl="0" w:tentative="0">
      <w:start w:val="1"/>
      <w:numFmt w:val="bullet"/>
      <w:lvlText w:val=""/>
      <w:lvlJc w:val="left"/>
      <w:pPr>
        <w:ind w:left="420" w:hanging="420"/>
      </w:pPr>
      <w:rPr>
        <w:rFonts w:hint="default" w:ascii="Wingdings" w:hAnsi="Wingdings"/>
      </w:rPr>
    </w:lvl>
  </w:abstractNum>
  <w:abstractNum w:abstractNumId="20">
    <w:nsid w:val="D4055983"/>
    <w:multiLevelType w:val="singleLevel"/>
    <w:tmpl w:val="D4055983"/>
    <w:lvl w:ilvl="0" w:tentative="0">
      <w:start w:val="1"/>
      <w:numFmt w:val="bullet"/>
      <w:lvlText w:val=""/>
      <w:lvlJc w:val="left"/>
      <w:pPr>
        <w:ind w:left="420" w:hanging="420"/>
      </w:pPr>
      <w:rPr>
        <w:rFonts w:hint="default" w:ascii="Wingdings" w:hAnsi="Wingdings"/>
      </w:rPr>
    </w:lvl>
  </w:abstractNum>
  <w:abstractNum w:abstractNumId="21">
    <w:nsid w:val="D61746ED"/>
    <w:multiLevelType w:val="singleLevel"/>
    <w:tmpl w:val="D61746ED"/>
    <w:lvl w:ilvl="0" w:tentative="0">
      <w:start w:val="1"/>
      <w:numFmt w:val="decimal"/>
      <w:suff w:val="nothing"/>
      <w:lvlText w:val="%1、"/>
      <w:lvlJc w:val="left"/>
    </w:lvl>
  </w:abstractNum>
  <w:abstractNum w:abstractNumId="22">
    <w:nsid w:val="D82C86AD"/>
    <w:multiLevelType w:val="singleLevel"/>
    <w:tmpl w:val="D82C86AD"/>
    <w:lvl w:ilvl="0" w:tentative="0">
      <w:start w:val="1"/>
      <w:numFmt w:val="bullet"/>
      <w:lvlText w:val=""/>
      <w:lvlJc w:val="left"/>
      <w:pPr>
        <w:ind w:left="420" w:hanging="420"/>
      </w:pPr>
      <w:rPr>
        <w:rFonts w:hint="default" w:ascii="Wingdings" w:hAnsi="Wingdings"/>
      </w:rPr>
    </w:lvl>
  </w:abstractNum>
  <w:abstractNum w:abstractNumId="23">
    <w:nsid w:val="DE917D6C"/>
    <w:multiLevelType w:val="singleLevel"/>
    <w:tmpl w:val="DE917D6C"/>
    <w:lvl w:ilvl="0" w:tentative="0">
      <w:start w:val="1"/>
      <w:numFmt w:val="decimal"/>
      <w:suff w:val="nothing"/>
      <w:lvlText w:val="%1、"/>
      <w:lvlJc w:val="left"/>
    </w:lvl>
  </w:abstractNum>
  <w:abstractNum w:abstractNumId="24">
    <w:nsid w:val="E27A92B5"/>
    <w:multiLevelType w:val="singleLevel"/>
    <w:tmpl w:val="E27A92B5"/>
    <w:lvl w:ilvl="0" w:tentative="0">
      <w:start w:val="1"/>
      <w:numFmt w:val="bullet"/>
      <w:lvlText w:val=""/>
      <w:lvlJc w:val="left"/>
      <w:pPr>
        <w:ind w:left="420" w:hanging="420"/>
      </w:pPr>
      <w:rPr>
        <w:rFonts w:hint="default" w:ascii="Wingdings" w:hAnsi="Wingdings"/>
      </w:rPr>
    </w:lvl>
  </w:abstractNum>
  <w:abstractNum w:abstractNumId="25">
    <w:nsid w:val="E2B5C315"/>
    <w:multiLevelType w:val="singleLevel"/>
    <w:tmpl w:val="E2B5C315"/>
    <w:lvl w:ilvl="0" w:tentative="0">
      <w:start w:val="1"/>
      <w:numFmt w:val="decimal"/>
      <w:lvlText w:val="%1."/>
      <w:lvlJc w:val="left"/>
      <w:pPr>
        <w:tabs>
          <w:tab w:val="left" w:pos="312"/>
        </w:tabs>
      </w:pPr>
    </w:lvl>
  </w:abstractNum>
  <w:abstractNum w:abstractNumId="26">
    <w:nsid w:val="EDAEF2F8"/>
    <w:multiLevelType w:val="singleLevel"/>
    <w:tmpl w:val="EDAEF2F8"/>
    <w:lvl w:ilvl="0" w:tentative="0">
      <w:start w:val="1"/>
      <w:numFmt w:val="bullet"/>
      <w:lvlText w:val=""/>
      <w:lvlJc w:val="left"/>
      <w:pPr>
        <w:ind w:left="420" w:hanging="420"/>
      </w:pPr>
      <w:rPr>
        <w:rFonts w:hint="default" w:ascii="Wingdings" w:hAnsi="Wingdings"/>
      </w:rPr>
    </w:lvl>
  </w:abstractNum>
  <w:abstractNum w:abstractNumId="27">
    <w:nsid w:val="F6D0EA1E"/>
    <w:multiLevelType w:val="singleLevel"/>
    <w:tmpl w:val="F6D0EA1E"/>
    <w:lvl w:ilvl="0" w:tentative="0">
      <w:start w:val="1"/>
      <w:numFmt w:val="bullet"/>
      <w:lvlText w:val=""/>
      <w:lvlJc w:val="left"/>
      <w:pPr>
        <w:ind w:left="420" w:hanging="420"/>
      </w:pPr>
      <w:rPr>
        <w:rFonts w:hint="default" w:ascii="Wingdings" w:hAnsi="Wingdings"/>
      </w:rPr>
    </w:lvl>
  </w:abstractNum>
  <w:abstractNum w:abstractNumId="28">
    <w:nsid w:val="FADEBAB6"/>
    <w:multiLevelType w:val="singleLevel"/>
    <w:tmpl w:val="FADEBAB6"/>
    <w:lvl w:ilvl="0" w:tentative="0">
      <w:start w:val="1"/>
      <w:numFmt w:val="bullet"/>
      <w:lvlText w:val=""/>
      <w:lvlJc w:val="left"/>
      <w:pPr>
        <w:ind w:left="420" w:hanging="420"/>
      </w:pPr>
      <w:rPr>
        <w:rFonts w:hint="default" w:ascii="Wingdings" w:hAnsi="Wingdings"/>
      </w:rPr>
    </w:lvl>
  </w:abstractNum>
  <w:abstractNum w:abstractNumId="29">
    <w:nsid w:val="FFBCD782"/>
    <w:multiLevelType w:val="singleLevel"/>
    <w:tmpl w:val="FFBCD782"/>
    <w:lvl w:ilvl="0" w:tentative="0">
      <w:start w:val="1"/>
      <w:numFmt w:val="decimal"/>
      <w:suff w:val="nothing"/>
      <w:lvlText w:val="%1、"/>
      <w:lvlJc w:val="left"/>
    </w:lvl>
  </w:abstractNum>
  <w:abstractNum w:abstractNumId="30">
    <w:nsid w:val="0620C0D7"/>
    <w:multiLevelType w:val="singleLevel"/>
    <w:tmpl w:val="0620C0D7"/>
    <w:lvl w:ilvl="0" w:tentative="0">
      <w:start w:val="1"/>
      <w:numFmt w:val="decimal"/>
      <w:suff w:val="nothing"/>
      <w:lvlText w:val="%1、"/>
      <w:lvlJc w:val="left"/>
    </w:lvl>
  </w:abstractNum>
  <w:abstractNum w:abstractNumId="31">
    <w:nsid w:val="06BD43F8"/>
    <w:multiLevelType w:val="multilevel"/>
    <w:tmpl w:val="06BD43F8"/>
    <w:lvl w:ilvl="0" w:tentative="0">
      <w:start w:val="1"/>
      <w:numFmt w:val="decimal"/>
      <w:lvlText w:val="%1."/>
      <w:lvlJc w:val="left"/>
      <w:pPr>
        <w:tabs>
          <w:tab w:val="left" w:pos="0"/>
        </w:tabs>
        <w:ind w:left="420" w:hanging="420"/>
      </w:pPr>
      <w:rPr>
        <w:rFonts w:hint="eastAsia"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32">
    <w:nsid w:val="0CAC9D00"/>
    <w:multiLevelType w:val="singleLevel"/>
    <w:tmpl w:val="0CAC9D00"/>
    <w:lvl w:ilvl="0" w:tentative="0">
      <w:start w:val="1"/>
      <w:numFmt w:val="decimal"/>
      <w:suff w:val="nothing"/>
      <w:lvlText w:val="%1、"/>
      <w:lvlJc w:val="left"/>
    </w:lvl>
  </w:abstractNum>
  <w:abstractNum w:abstractNumId="33">
    <w:nsid w:val="0D10CF4D"/>
    <w:multiLevelType w:val="singleLevel"/>
    <w:tmpl w:val="0D10CF4D"/>
    <w:lvl w:ilvl="0" w:tentative="0">
      <w:start w:val="1"/>
      <w:numFmt w:val="bullet"/>
      <w:lvlText w:val=""/>
      <w:lvlJc w:val="left"/>
      <w:pPr>
        <w:ind w:left="420" w:hanging="420"/>
      </w:pPr>
      <w:rPr>
        <w:rFonts w:hint="default" w:ascii="Wingdings" w:hAnsi="Wingdings"/>
      </w:rPr>
    </w:lvl>
  </w:abstractNum>
  <w:abstractNum w:abstractNumId="34">
    <w:nsid w:val="1072F909"/>
    <w:multiLevelType w:val="singleLevel"/>
    <w:tmpl w:val="1072F909"/>
    <w:lvl w:ilvl="0" w:tentative="0">
      <w:start w:val="1"/>
      <w:numFmt w:val="bullet"/>
      <w:lvlText w:val=""/>
      <w:lvlJc w:val="left"/>
      <w:pPr>
        <w:ind w:left="420" w:hanging="420"/>
      </w:pPr>
      <w:rPr>
        <w:rFonts w:hint="default" w:ascii="Wingdings" w:hAnsi="Wingdings"/>
      </w:rPr>
    </w:lvl>
  </w:abstractNum>
  <w:abstractNum w:abstractNumId="35">
    <w:nsid w:val="130DA502"/>
    <w:multiLevelType w:val="singleLevel"/>
    <w:tmpl w:val="130DA502"/>
    <w:lvl w:ilvl="0" w:tentative="0">
      <w:start w:val="1"/>
      <w:numFmt w:val="decimal"/>
      <w:suff w:val="nothing"/>
      <w:lvlText w:val="%1、"/>
      <w:lvlJc w:val="left"/>
    </w:lvl>
  </w:abstractNum>
  <w:abstractNum w:abstractNumId="36">
    <w:nsid w:val="132FB77C"/>
    <w:multiLevelType w:val="singleLevel"/>
    <w:tmpl w:val="132FB77C"/>
    <w:lvl w:ilvl="0" w:tentative="0">
      <w:start w:val="1"/>
      <w:numFmt w:val="decimal"/>
      <w:suff w:val="nothing"/>
      <w:lvlText w:val="%1、"/>
      <w:lvlJc w:val="left"/>
    </w:lvl>
  </w:abstractNum>
  <w:abstractNum w:abstractNumId="37">
    <w:nsid w:val="16469665"/>
    <w:multiLevelType w:val="singleLevel"/>
    <w:tmpl w:val="16469665"/>
    <w:lvl w:ilvl="0" w:tentative="0">
      <w:start w:val="1"/>
      <w:numFmt w:val="bullet"/>
      <w:lvlText w:val=""/>
      <w:lvlJc w:val="left"/>
      <w:pPr>
        <w:ind w:left="420" w:hanging="420"/>
      </w:pPr>
      <w:rPr>
        <w:rFonts w:hint="default" w:ascii="Wingdings" w:hAnsi="Wingdings"/>
      </w:rPr>
    </w:lvl>
  </w:abstractNum>
  <w:abstractNum w:abstractNumId="38">
    <w:nsid w:val="1C4C33BD"/>
    <w:multiLevelType w:val="singleLevel"/>
    <w:tmpl w:val="1C4C33BD"/>
    <w:lvl w:ilvl="0" w:tentative="0">
      <w:start w:val="1"/>
      <w:numFmt w:val="decimal"/>
      <w:suff w:val="nothing"/>
      <w:lvlText w:val="%1、"/>
      <w:lvlJc w:val="left"/>
    </w:lvl>
  </w:abstractNum>
  <w:abstractNum w:abstractNumId="39">
    <w:nsid w:val="1FD500FC"/>
    <w:multiLevelType w:val="singleLevel"/>
    <w:tmpl w:val="1FD500FC"/>
    <w:lvl w:ilvl="0" w:tentative="0">
      <w:start w:val="1"/>
      <w:numFmt w:val="bullet"/>
      <w:lvlText w:val=""/>
      <w:lvlJc w:val="left"/>
      <w:pPr>
        <w:ind w:left="420" w:hanging="420"/>
      </w:pPr>
      <w:rPr>
        <w:rFonts w:hint="default" w:ascii="Wingdings" w:hAnsi="Wingdings"/>
      </w:rPr>
    </w:lvl>
  </w:abstractNum>
  <w:abstractNum w:abstractNumId="40">
    <w:nsid w:val="2293B15A"/>
    <w:multiLevelType w:val="singleLevel"/>
    <w:tmpl w:val="2293B15A"/>
    <w:lvl w:ilvl="0" w:tentative="0">
      <w:start w:val="1"/>
      <w:numFmt w:val="bullet"/>
      <w:lvlText w:val=""/>
      <w:lvlJc w:val="left"/>
      <w:pPr>
        <w:ind w:left="420" w:hanging="420"/>
      </w:pPr>
      <w:rPr>
        <w:rFonts w:hint="default" w:ascii="Wingdings" w:hAnsi="Wingdings"/>
      </w:rPr>
    </w:lvl>
  </w:abstractNum>
  <w:abstractNum w:abstractNumId="41">
    <w:nsid w:val="238F8249"/>
    <w:multiLevelType w:val="singleLevel"/>
    <w:tmpl w:val="238F8249"/>
    <w:lvl w:ilvl="0" w:tentative="0">
      <w:start w:val="1"/>
      <w:numFmt w:val="bullet"/>
      <w:lvlText w:val=""/>
      <w:lvlJc w:val="left"/>
      <w:pPr>
        <w:ind w:left="420" w:hanging="420"/>
      </w:pPr>
      <w:rPr>
        <w:rFonts w:hint="default" w:ascii="Wingdings" w:hAnsi="Wingdings"/>
      </w:rPr>
    </w:lvl>
  </w:abstractNum>
  <w:abstractNum w:abstractNumId="42">
    <w:nsid w:val="2447AB86"/>
    <w:multiLevelType w:val="singleLevel"/>
    <w:tmpl w:val="2447AB86"/>
    <w:lvl w:ilvl="0" w:tentative="0">
      <w:start w:val="1"/>
      <w:numFmt w:val="bullet"/>
      <w:lvlText w:val=""/>
      <w:lvlJc w:val="left"/>
      <w:pPr>
        <w:ind w:left="420" w:hanging="420"/>
      </w:pPr>
      <w:rPr>
        <w:rFonts w:hint="default" w:ascii="Wingdings" w:hAnsi="Wingdings"/>
      </w:rPr>
    </w:lvl>
  </w:abstractNum>
  <w:abstractNum w:abstractNumId="43">
    <w:nsid w:val="24B70E25"/>
    <w:multiLevelType w:val="multilevel"/>
    <w:tmpl w:val="24B70E25"/>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44">
    <w:nsid w:val="2D68FA4C"/>
    <w:multiLevelType w:val="singleLevel"/>
    <w:tmpl w:val="2D68FA4C"/>
    <w:lvl w:ilvl="0" w:tentative="0">
      <w:start w:val="1"/>
      <w:numFmt w:val="bullet"/>
      <w:lvlText w:val=""/>
      <w:lvlJc w:val="left"/>
      <w:pPr>
        <w:ind w:left="420" w:hanging="420"/>
      </w:pPr>
      <w:rPr>
        <w:rFonts w:hint="default" w:ascii="Wingdings" w:hAnsi="Wingdings"/>
      </w:rPr>
    </w:lvl>
  </w:abstractNum>
  <w:abstractNum w:abstractNumId="45">
    <w:nsid w:val="2FD40889"/>
    <w:multiLevelType w:val="singleLevel"/>
    <w:tmpl w:val="2FD40889"/>
    <w:lvl w:ilvl="0" w:tentative="0">
      <w:start w:val="1"/>
      <w:numFmt w:val="bullet"/>
      <w:lvlText w:val=""/>
      <w:lvlJc w:val="left"/>
      <w:pPr>
        <w:ind w:left="420" w:hanging="420"/>
      </w:pPr>
      <w:rPr>
        <w:rFonts w:hint="default" w:ascii="Wingdings" w:hAnsi="Wingdings"/>
      </w:rPr>
    </w:lvl>
  </w:abstractNum>
  <w:abstractNum w:abstractNumId="46">
    <w:nsid w:val="38833032"/>
    <w:multiLevelType w:val="singleLevel"/>
    <w:tmpl w:val="38833032"/>
    <w:lvl w:ilvl="0" w:tentative="0">
      <w:start w:val="1"/>
      <w:numFmt w:val="bullet"/>
      <w:lvlText w:val=""/>
      <w:lvlJc w:val="left"/>
      <w:pPr>
        <w:ind w:left="420" w:hanging="420"/>
      </w:pPr>
      <w:rPr>
        <w:rFonts w:hint="default" w:ascii="Wingdings" w:hAnsi="Wingdings"/>
      </w:rPr>
    </w:lvl>
  </w:abstractNum>
  <w:abstractNum w:abstractNumId="47">
    <w:nsid w:val="39675248"/>
    <w:multiLevelType w:val="singleLevel"/>
    <w:tmpl w:val="39675248"/>
    <w:lvl w:ilvl="0" w:tentative="0">
      <w:start w:val="1"/>
      <w:numFmt w:val="bullet"/>
      <w:lvlText w:val=""/>
      <w:lvlJc w:val="left"/>
      <w:pPr>
        <w:ind w:left="420" w:hanging="420"/>
      </w:pPr>
      <w:rPr>
        <w:rFonts w:hint="default" w:ascii="Wingdings" w:hAnsi="Wingdings"/>
      </w:rPr>
    </w:lvl>
  </w:abstractNum>
  <w:abstractNum w:abstractNumId="48">
    <w:nsid w:val="3F79A9EF"/>
    <w:multiLevelType w:val="singleLevel"/>
    <w:tmpl w:val="3F79A9EF"/>
    <w:lvl w:ilvl="0" w:tentative="0">
      <w:start w:val="1"/>
      <w:numFmt w:val="decimal"/>
      <w:suff w:val="nothing"/>
      <w:lvlText w:val="%1、"/>
      <w:lvlJc w:val="left"/>
    </w:lvl>
  </w:abstractNum>
  <w:abstractNum w:abstractNumId="49">
    <w:nsid w:val="40BE6C80"/>
    <w:multiLevelType w:val="singleLevel"/>
    <w:tmpl w:val="40BE6C80"/>
    <w:lvl w:ilvl="0" w:tentative="0">
      <w:start w:val="1"/>
      <w:numFmt w:val="decimal"/>
      <w:suff w:val="nothing"/>
      <w:lvlText w:val="%1、"/>
      <w:lvlJc w:val="left"/>
    </w:lvl>
  </w:abstractNum>
  <w:abstractNum w:abstractNumId="50">
    <w:nsid w:val="43D7B887"/>
    <w:multiLevelType w:val="singleLevel"/>
    <w:tmpl w:val="43D7B887"/>
    <w:lvl w:ilvl="0" w:tentative="0">
      <w:start w:val="1"/>
      <w:numFmt w:val="decimal"/>
      <w:suff w:val="nothing"/>
      <w:lvlText w:val="%1、"/>
      <w:lvlJc w:val="left"/>
    </w:lvl>
  </w:abstractNum>
  <w:abstractNum w:abstractNumId="51">
    <w:nsid w:val="53817A37"/>
    <w:multiLevelType w:val="singleLevel"/>
    <w:tmpl w:val="53817A37"/>
    <w:lvl w:ilvl="0" w:tentative="0">
      <w:start w:val="1"/>
      <w:numFmt w:val="bullet"/>
      <w:lvlText w:val=""/>
      <w:lvlJc w:val="left"/>
      <w:pPr>
        <w:ind w:left="420" w:hanging="420"/>
      </w:pPr>
      <w:rPr>
        <w:rFonts w:hint="default" w:ascii="Wingdings" w:hAnsi="Wingdings"/>
      </w:rPr>
    </w:lvl>
  </w:abstractNum>
  <w:abstractNum w:abstractNumId="52">
    <w:nsid w:val="5C00D770"/>
    <w:multiLevelType w:val="singleLevel"/>
    <w:tmpl w:val="5C00D770"/>
    <w:lvl w:ilvl="0" w:tentative="0">
      <w:start w:val="1"/>
      <w:numFmt w:val="bullet"/>
      <w:lvlText w:val=""/>
      <w:lvlJc w:val="left"/>
      <w:pPr>
        <w:ind w:left="420" w:hanging="420"/>
      </w:pPr>
      <w:rPr>
        <w:rFonts w:hint="default" w:ascii="Wingdings" w:hAnsi="Wingdings"/>
      </w:rPr>
    </w:lvl>
  </w:abstractNum>
  <w:abstractNum w:abstractNumId="53">
    <w:nsid w:val="5CAE1288"/>
    <w:multiLevelType w:val="singleLevel"/>
    <w:tmpl w:val="5CAE1288"/>
    <w:lvl w:ilvl="0" w:tentative="0">
      <w:start w:val="1"/>
      <w:numFmt w:val="bullet"/>
      <w:lvlText w:val=""/>
      <w:lvlJc w:val="left"/>
      <w:pPr>
        <w:ind w:left="420" w:hanging="420"/>
      </w:pPr>
      <w:rPr>
        <w:rFonts w:hint="default" w:ascii="Wingdings" w:hAnsi="Wingdings"/>
      </w:rPr>
    </w:lvl>
  </w:abstractNum>
  <w:abstractNum w:abstractNumId="54">
    <w:nsid w:val="5DC325FC"/>
    <w:multiLevelType w:val="singleLevel"/>
    <w:tmpl w:val="5DC325FC"/>
    <w:lvl w:ilvl="0" w:tentative="0">
      <w:start w:val="1"/>
      <w:numFmt w:val="decimal"/>
      <w:suff w:val="nothing"/>
      <w:lvlText w:val="%1、"/>
      <w:lvlJc w:val="left"/>
    </w:lvl>
  </w:abstractNum>
  <w:abstractNum w:abstractNumId="55">
    <w:nsid w:val="652DC5CB"/>
    <w:multiLevelType w:val="multilevel"/>
    <w:tmpl w:val="652DC5CB"/>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56">
    <w:nsid w:val="67741D9A"/>
    <w:multiLevelType w:val="singleLevel"/>
    <w:tmpl w:val="67741D9A"/>
    <w:lvl w:ilvl="0" w:tentative="0">
      <w:start w:val="1"/>
      <w:numFmt w:val="decimal"/>
      <w:suff w:val="nothing"/>
      <w:lvlText w:val="%1、"/>
      <w:lvlJc w:val="left"/>
    </w:lvl>
  </w:abstractNum>
  <w:abstractNum w:abstractNumId="57">
    <w:nsid w:val="719A0330"/>
    <w:multiLevelType w:val="singleLevel"/>
    <w:tmpl w:val="719A0330"/>
    <w:lvl w:ilvl="0" w:tentative="0">
      <w:start w:val="1"/>
      <w:numFmt w:val="bullet"/>
      <w:lvlText w:val=""/>
      <w:lvlJc w:val="left"/>
      <w:pPr>
        <w:ind w:left="420" w:hanging="420"/>
      </w:pPr>
      <w:rPr>
        <w:rFonts w:hint="default" w:ascii="Wingdings" w:hAnsi="Wingdings"/>
      </w:rPr>
    </w:lvl>
  </w:abstractNum>
  <w:abstractNum w:abstractNumId="58">
    <w:nsid w:val="7DDFE5B4"/>
    <w:multiLevelType w:val="singleLevel"/>
    <w:tmpl w:val="7DDFE5B4"/>
    <w:lvl w:ilvl="0" w:tentative="0">
      <w:start w:val="1"/>
      <w:numFmt w:val="decimal"/>
      <w:suff w:val="nothing"/>
      <w:lvlText w:val="%1、"/>
      <w:lvlJc w:val="left"/>
    </w:lvl>
  </w:abstractNum>
  <w:abstractNum w:abstractNumId="59">
    <w:nsid w:val="7E1BC754"/>
    <w:multiLevelType w:val="singleLevel"/>
    <w:tmpl w:val="7E1BC754"/>
    <w:lvl w:ilvl="0" w:tentative="0">
      <w:start w:val="1"/>
      <w:numFmt w:val="decimal"/>
      <w:suff w:val="nothing"/>
      <w:lvlText w:val="%1、"/>
      <w:lvlJc w:val="left"/>
    </w:lvl>
  </w:abstractNum>
  <w:num w:numId="1">
    <w:abstractNumId w:val="31"/>
  </w:num>
  <w:num w:numId="2">
    <w:abstractNumId w:val="43"/>
  </w:num>
  <w:num w:numId="3">
    <w:abstractNumId w:val="21"/>
  </w:num>
  <w:num w:numId="4">
    <w:abstractNumId w:val="39"/>
  </w:num>
  <w:num w:numId="5">
    <w:abstractNumId w:val="57"/>
  </w:num>
  <w:num w:numId="6">
    <w:abstractNumId w:val="15"/>
  </w:num>
  <w:num w:numId="7">
    <w:abstractNumId w:val="55"/>
  </w:num>
  <w:num w:numId="8">
    <w:abstractNumId w:val="36"/>
  </w:num>
  <w:num w:numId="9">
    <w:abstractNumId w:val="33"/>
  </w:num>
  <w:num w:numId="10">
    <w:abstractNumId w:val="52"/>
  </w:num>
  <w:num w:numId="11">
    <w:abstractNumId w:val="53"/>
  </w:num>
  <w:num w:numId="12">
    <w:abstractNumId w:val="1"/>
  </w:num>
  <w:num w:numId="13">
    <w:abstractNumId w:val="30"/>
  </w:num>
  <w:num w:numId="14">
    <w:abstractNumId w:val="3"/>
  </w:num>
  <w:num w:numId="15">
    <w:abstractNumId w:val="5"/>
  </w:num>
  <w:num w:numId="16">
    <w:abstractNumId w:val="17"/>
  </w:num>
  <w:num w:numId="17">
    <w:abstractNumId w:val="0"/>
  </w:num>
  <w:num w:numId="18">
    <w:abstractNumId w:val="40"/>
  </w:num>
  <w:num w:numId="19">
    <w:abstractNumId w:val="34"/>
  </w:num>
  <w:num w:numId="20">
    <w:abstractNumId w:val="9"/>
  </w:num>
  <w:num w:numId="21">
    <w:abstractNumId w:val="48"/>
  </w:num>
  <w:num w:numId="22">
    <w:abstractNumId w:val="54"/>
  </w:num>
  <w:num w:numId="23">
    <w:abstractNumId w:val="29"/>
  </w:num>
  <w:num w:numId="24">
    <w:abstractNumId w:val="58"/>
  </w:num>
  <w:num w:numId="25">
    <w:abstractNumId w:val="27"/>
  </w:num>
  <w:num w:numId="26">
    <w:abstractNumId w:val="23"/>
  </w:num>
  <w:num w:numId="27">
    <w:abstractNumId w:val="14"/>
  </w:num>
  <w:num w:numId="28">
    <w:abstractNumId w:val="38"/>
  </w:num>
  <w:num w:numId="29">
    <w:abstractNumId w:val="41"/>
  </w:num>
  <w:num w:numId="30">
    <w:abstractNumId w:val="20"/>
  </w:num>
  <w:num w:numId="31">
    <w:abstractNumId w:val="51"/>
  </w:num>
  <w:num w:numId="32">
    <w:abstractNumId w:val="12"/>
  </w:num>
  <w:num w:numId="33">
    <w:abstractNumId w:val="42"/>
  </w:num>
  <w:num w:numId="34">
    <w:abstractNumId w:val="25"/>
  </w:num>
  <w:num w:numId="35">
    <w:abstractNumId w:val="45"/>
  </w:num>
  <w:num w:numId="36">
    <w:abstractNumId w:val="46"/>
  </w:num>
  <w:num w:numId="37">
    <w:abstractNumId w:val="44"/>
  </w:num>
  <w:num w:numId="38">
    <w:abstractNumId w:val="6"/>
  </w:num>
  <w:num w:numId="39">
    <w:abstractNumId w:val="37"/>
  </w:num>
  <w:num w:numId="40">
    <w:abstractNumId w:val="59"/>
  </w:num>
  <w:num w:numId="41">
    <w:abstractNumId w:val="2"/>
  </w:num>
  <w:num w:numId="42">
    <w:abstractNumId w:val="16"/>
  </w:num>
  <w:num w:numId="43">
    <w:abstractNumId w:val="32"/>
  </w:num>
  <w:num w:numId="44">
    <w:abstractNumId w:val="24"/>
  </w:num>
  <w:num w:numId="45">
    <w:abstractNumId w:val="49"/>
  </w:num>
  <w:num w:numId="46">
    <w:abstractNumId w:val="19"/>
  </w:num>
  <w:num w:numId="47">
    <w:abstractNumId w:val="56"/>
  </w:num>
  <w:num w:numId="48">
    <w:abstractNumId w:val="7"/>
  </w:num>
  <w:num w:numId="49">
    <w:abstractNumId w:val="4"/>
  </w:num>
  <w:num w:numId="50">
    <w:abstractNumId w:val="13"/>
  </w:num>
  <w:num w:numId="51">
    <w:abstractNumId w:val="35"/>
  </w:num>
  <w:num w:numId="52">
    <w:abstractNumId w:val="22"/>
  </w:num>
  <w:num w:numId="53">
    <w:abstractNumId w:val="18"/>
  </w:num>
  <w:num w:numId="54">
    <w:abstractNumId w:val="11"/>
  </w:num>
  <w:num w:numId="55">
    <w:abstractNumId w:val="8"/>
  </w:num>
  <w:num w:numId="56">
    <w:abstractNumId w:val="50"/>
  </w:num>
  <w:num w:numId="57">
    <w:abstractNumId w:val="28"/>
  </w:num>
  <w:num w:numId="58">
    <w:abstractNumId w:val="10"/>
  </w:num>
  <w:num w:numId="59">
    <w:abstractNumId w:val="26"/>
  </w:num>
  <w:num w:numId="6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9795E6A"/>
    <w:rsid w:val="0027349C"/>
    <w:rsid w:val="69795E6A"/>
    <w:rsid w:val="78BD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0"/>
    <w:pPr>
      <w:widowControl/>
      <w:jc w:val="left"/>
      <w:outlineLvl w:val="0"/>
    </w:pPr>
    <w:rPr>
      <w:rFonts w:ascii="宋体" w:hAnsi="宋体" w:cs="宋体"/>
      <w:b/>
      <w:bCs/>
      <w:kern w:val="36"/>
      <w:sz w:val="28"/>
      <w:szCs w:val="48"/>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rPr>
      <w:szCs w:val="28"/>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spacing w:line="360" w:lineRule="auto"/>
    </w:pPr>
    <w:rPr>
      <w:b/>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9">
    <w:name w:val="Body Text First Indent 2"/>
    <w:basedOn w:val="4"/>
    <w:qFormat/>
    <w:uiPriority w:val="0"/>
    <w:pPr>
      <w:ind w:firstLine="420" w:firstLineChars="200"/>
    </w:pPr>
  </w:style>
  <w:style w:type="character" w:styleId="12">
    <w:name w:val="Strong"/>
    <w:qFormat/>
    <w:uiPriority w:val="0"/>
    <w:rPr>
      <w:rFonts w:ascii="Times New Roman" w:hAnsi="Times New Roman" w:eastAsia="宋体" w:cs="Times New Roman"/>
      <w:b/>
      <w:bCs/>
      <w:spacing w:val="0"/>
      <w:lang w:val="en-US" w:eastAsia="zh-CN" w:bidi="ar-SA"/>
    </w:rPr>
  </w:style>
  <w:style w:type="character" w:customStyle="1" w:styleId="13">
    <w:name w:val="font61"/>
    <w:basedOn w:val="11"/>
    <w:qFormat/>
    <w:uiPriority w:val="0"/>
    <w:rPr>
      <w:rFonts w:hint="eastAsia" w:ascii="黑体" w:hAnsi="宋体" w:eastAsia="黑体" w:cs="黑体"/>
      <w:b/>
      <w:bCs/>
      <w:color w:val="000000"/>
      <w:sz w:val="20"/>
      <w:szCs w:val="20"/>
      <w:u w:val="none"/>
    </w:rPr>
  </w:style>
  <w:style w:type="paragraph" w:customStyle="1" w:styleId="14">
    <w:name w:val="列出段落1"/>
    <w:basedOn w:val="1"/>
    <w:autoRedefine/>
    <w:qFormat/>
    <w:uiPriority w:val="0"/>
    <w:pPr>
      <w:ind w:firstLine="200" w:firstLineChars="200"/>
    </w:pPr>
  </w:style>
  <w:style w:type="paragraph" w:customStyle="1" w:styleId="15">
    <w:name w:val="Body text|1"/>
    <w:basedOn w:val="1"/>
    <w:autoRedefine/>
    <w:qFormat/>
    <w:uiPriority w:val="0"/>
    <w:pPr>
      <w:spacing w:line="396" w:lineRule="auto"/>
      <w:ind w:firstLine="400"/>
    </w:pPr>
    <w:rPr>
      <w:rFonts w:ascii="宋体" w:hAnsi="宋体" w:cs="宋体"/>
      <w:sz w:val="30"/>
      <w:szCs w:val="30"/>
      <w:lang w:val="zh-TW" w:eastAsia="zh-TW" w:bidi="zh-TW"/>
    </w:rPr>
  </w:style>
  <w:style w:type="paragraph" w:customStyle="1" w:styleId="16">
    <w:name w:val="Default"/>
    <w:basedOn w:val="17"/>
    <w:next w:val="18"/>
    <w:autoRedefine/>
    <w:qFormat/>
    <w:uiPriority w:val="0"/>
    <w:pPr>
      <w:adjustRightInd w:val="0"/>
    </w:pPr>
    <w:rPr>
      <w:rFonts w:ascii="黑体" w:hAnsi="Dutch801 Rm BT" w:eastAsia="黑体" w:cs="黑体"/>
      <w:color w:val="000000"/>
      <w:sz w:val="24"/>
      <w:szCs w:val="24"/>
    </w:rPr>
  </w:style>
  <w:style w:type="paragraph" w:customStyle="1" w:styleId="17">
    <w:name w:val="标题2"/>
    <w:basedOn w:val="1"/>
    <w:next w:val="1"/>
    <w:autoRedefine/>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18">
    <w:name w:val="样式3"/>
    <w:basedOn w:val="7"/>
    <w:next w:val="19"/>
    <w:autoRedefine/>
    <w:qFormat/>
    <w:uiPriority w:val="0"/>
    <w:pPr>
      <w:tabs>
        <w:tab w:val="right" w:leader="dot" w:pos="8296"/>
        <w:tab w:val="right" w:leader="dot" w:pos="9061"/>
      </w:tabs>
    </w:pPr>
    <w:rPr>
      <w:rFonts w:ascii="宋体"/>
      <w:bCs/>
      <w:color w:val="000000"/>
    </w:rPr>
  </w:style>
  <w:style w:type="paragraph" w:customStyle="1" w:styleId="19">
    <w:name w:val="目录 53"/>
    <w:basedOn w:val="1"/>
    <w:next w:val="1"/>
    <w:autoRedefine/>
    <w:qFormat/>
    <w:uiPriority w:val="0"/>
    <w:pPr>
      <w:ind w:left="840"/>
    </w:pPr>
    <w:rPr>
      <w:rFonts w:cs="宋体"/>
      <w:color w:val="000000"/>
    </w:rPr>
  </w:style>
  <w:style w:type="character" w:customStyle="1" w:styleId="20">
    <w:name w:val="标题 1 Char"/>
    <w:link w:val="2"/>
    <w:autoRedefine/>
    <w:qFormat/>
    <w:uiPriority w:val="0"/>
    <w:rPr>
      <w:rFonts w:ascii="宋体" w:hAnsi="宋体" w:cs="宋体"/>
      <w:b/>
      <w:bCs/>
      <w:kern w:val="36"/>
      <w:sz w:val="28"/>
      <w:szCs w:val="4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2025-02-06T08:00:00Z</dcterms:created>
  <dc:creator>旧时光·不见旧人</dc:creator>
  <cp:lastModifiedBy>旧时光·不见旧人</cp:lastModifiedBy>
  <dcterms:modified xsi:type="dcterms:W3CDTF">2025-02-06T08:02:14Z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24784186E9E34FA188079AF19C3F3C76_13</vt:lpwstr>
  </property>
</Properties>
</file>