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
          <w:bCs/>
          <w:color w:val="000000" w:themeColor="text1"/>
          <w:sz w:val="32"/>
          <w:szCs w:val="32"/>
          <w:lang w:eastAsia="zh-CN"/>
          <w14:textFill>
            <w14:solidFill>
              <w14:schemeClr w14:val="tx1"/>
            </w14:solidFill>
          </w14:textFill>
        </w:rPr>
      </w:pPr>
      <w:bookmarkStart w:id="0" w:name="_GoBack"/>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b/>
          <w:bCs/>
          <w:color w:val="000000" w:themeColor="text1"/>
          <w:sz w:val="32"/>
          <w:szCs w:val="32"/>
          <w:lang w:eastAsia="zh-CN"/>
          <w14:textFill>
            <w14:solidFill>
              <w14:schemeClr w14:val="tx1"/>
            </w14:solidFill>
          </w14:textFill>
        </w:rPr>
      </w:pPr>
      <w:r>
        <w:rPr>
          <w:rFonts w:hint="default" w:ascii="Times New Roman" w:hAnsi="Times New Roman" w:eastAsia="方正大标宋简体" w:cs="Times New Roman"/>
          <w:b w:val="0"/>
          <w:bCs w:val="0"/>
          <w:color w:val="000000" w:themeColor="text1"/>
          <w:sz w:val="44"/>
          <w:szCs w:val="44"/>
          <w:lang w:eastAsia="zh-CN"/>
          <w14:textFill>
            <w14:solidFill>
              <w14:schemeClr w14:val="tx1"/>
            </w14:solidFill>
          </w14:textFill>
        </w:rPr>
        <w:t>减轻处罚事项清单</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85"/>
        <w:gridCol w:w="1725"/>
        <w:gridCol w:w="3090"/>
        <w:gridCol w:w="566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序号</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行政处罚事项</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实施机关</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eastAsia" w:ascii="Times New Roman" w:hAnsi="Times New Roman" w:eastAsia="黑体" w:cs="Times New Roman"/>
                <w:b w:val="0"/>
                <w:bCs w:val="0"/>
                <w:color w:val="000000" w:themeColor="text1"/>
                <w:sz w:val="28"/>
                <w:szCs w:val="28"/>
                <w:lang w:val="en-US" w:eastAsia="zh-CN"/>
                <w14:textFill>
                  <w14:solidFill>
                    <w14:schemeClr w14:val="tx1"/>
                  </w14:solidFill>
                </w14:textFill>
              </w:rPr>
              <w:t>减轻</w:t>
            </w:r>
            <w:r>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t>处罚适用条件</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法律依据</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1</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单位不办理住房公积金缴存登记</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邵阳市住房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公积金管理中心</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住房公积金违法行为当事人具有下列情形之一的，应当从轻或减轻处罚：（一）主动消除或者减轻违法行为后果的；（二）积极配合查处违法行为的。</w:t>
            </w:r>
          </w:p>
        </w:tc>
        <w:tc>
          <w:tcPr>
            <w:tcW w:w="56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《中华人民共和国行政处罚法》​第32条</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当事人有下列情形之一，应当从轻或者减轻行政处罚：主动消除或者减轻违法行为危害后果的；</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br w:type="textWrapping"/>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 xml:space="preserve">    《住房公积金管理条例》第37条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default" w:ascii="Times New Roman" w:hAnsi="Times New Roman" w:cs="Times New Roman"/>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2</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不为本单位职工办理住房公积金账户设立手续</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邵阳市住房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eastAsia="zh-CN"/>
                <w14:textFill>
                  <w14:solidFill>
                    <w14:schemeClr w14:val="tx1"/>
                  </w14:solidFill>
                </w14:textFill>
              </w:rPr>
              <w:t>公积金管理中心</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住房公积金违法行为当事人具有下列情形之一的，应当从轻或减轻处罚：（一）主动消除或者减轻违法行为后果的；（二）积极配合查处违法行为的。</w:t>
            </w:r>
          </w:p>
        </w:tc>
        <w:tc>
          <w:tcPr>
            <w:tcW w:w="56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outlineLvl w:val="9"/>
              <w:rPr>
                <w:rFonts w:hint="default" w:ascii="Times New Roman" w:hAnsi="Times New Roman" w:eastAsia="仿宋_GB2312" w:cs="Times New Roman"/>
                <w:color w:val="000000" w:themeColor="text1"/>
                <w:sz w:val="21"/>
                <w:szCs w:val="21"/>
                <w:vertAlign w:val="baseline"/>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《中华人民共和国行政处罚法》​第32条</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当事人有下列情形之一，应当从轻或者减轻行政处罚：主动消除或者减轻违法行为危害后果的；</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br w:type="textWrapping"/>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 xml:space="preserve">    《住房公积金管理条例》第37条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default" w:ascii="Times New Roman" w:hAnsi="Times New Roman" w:cs="Times New Roman"/>
                <w:color w:val="000000" w:themeColor="text1"/>
                <w:sz w:val="28"/>
                <w:szCs w:val="28"/>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3F6D6FC1"/>
    <w:rsid w:val="25A869D6"/>
    <w:rsid w:val="3F6D6FC1"/>
    <w:rsid w:val="7EC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2023-07-25T01:56:00Z</dcterms:created>
  <dc:creator>旧时光·不见旧人</dc:creator>
  <cp:lastModifiedBy>旧时光·不见旧人</cp:lastModifiedBy>
  <dcterms:modified xsi:type="dcterms:W3CDTF">2023-07-25T01:57:43Z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D37CB88F07504B29A74A0765CBE0C8D4_13</vt:lpwstr>
  </property>
</Properties>
</file>