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bookmarkStart w:id="0" w:name="_GoBack"/>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大标宋简体" w:cs="Times New Roman"/>
          <w:b w:val="0"/>
          <w:bCs w:val="0"/>
          <w:color w:val="000000" w:themeColor="text1"/>
          <w:sz w:val="44"/>
          <w:szCs w:val="44"/>
          <w:lang w:val="en-US" w:eastAsia="zh-CN"/>
          <w14:textFill>
            <w14:solidFill>
              <w14:schemeClr w14:val="tx1"/>
            </w14:solidFill>
          </w14:textFill>
        </w:rPr>
      </w:pPr>
      <w:r>
        <w:rPr>
          <w:rFonts w:hint="default" w:ascii="Times New Roman" w:hAnsi="Times New Roman" w:eastAsia="方正大标宋简体" w:cs="Times New Roman"/>
          <w:color w:val="000000" w:themeColor="text1"/>
          <w:sz w:val="44"/>
          <w:szCs w:val="44"/>
          <w:lang w:val="en-US" w:eastAsia="zh-CN"/>
          <w14:textFill>
            <w14:solidFill>
              <w14:schemeClr w14:val="tx1"/>
            </w14:solidFill>
          </w14:textFill>
        </w:rPr>
        <w:t>邵阳市住房公积金管理中心柔性执法“三张清单”</w:t>
      </w:r>
      <w:r>
        <w:rPr>
          <w:rFonts w:hint="default" w:ascii="Times New Roman" w:hAnsi="Times New Roman" w:eastAsia="方正大标宋简体" w:cs="Times New Roman"/>
          <w:b w:val="0"/>
          <w:bCs w:val="0"/>
          <w:color w:val="000000" w:themeColor="text1"/>
          <w:sz w:val="44"/>
          <w:szCs w:val="44"/>
          <w:lang w:val="en-US" w:eastAsia="zh-CN"/>
          <w14:textFill>
            <w14:solidFill>
              <w14:schemeClr w14:val="tx1"/>
            </w14:solidFill>
          </w14:textFill>
        </w:rPr>
        <w:t>不予处罚事项清单</w:t>
      </w:r>
    </w:p>
    <w:bookmarkEnd w:id="0"/>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085"/>
        <w:gridCol w:w="1725"/>
        <w:gridCol w:w="3090"/>
        <w:gridCol w:w="5667"/>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default" w:ascii="Times New Roman" w:hAnsi="Times New Roman" w:eastAsia="黑体" w:cs="Times New Roman"/>
                <w:b w:val="0"/>
                <w:bCs w:val="0"/>
                <w:color w:val="000000" w:themeColor="text1"/>
                <w:sz w:val="28"/>
                <w:szCs w:val="28"/>
                <w:vertAlign w:val="baseline"/>
                <w:lang w:eastAsia="zh-CN"/>
                <w14:textFill>
                  <w14:solidFill>
                    <w14:schemeClr w14:val="tx1"/>
                  </w14:solidFill>
                </w14:textFill>
              </w:rPr>
            </w:pPr>
            <w:r>
              <w:rPr>
                <w:rFonts w:hint="default" w:ascii="Times New Roman" w:hAnsi="Times New Roman" w:eastAsia="黑体" w:cs="Times New Roman"/>
                <w:b w:val="0"/>
                <w:bCs w:val="0"/>
                <w:color w:val="000000" w:themeColor="text1"/>
                <w:sz w:val="28"/>
                <w:szCs w:val="28"/>
                <w:vertAlign w:val="baseline"/>
                <w:lang w:eastAsia="zh-CN"/>
                <w14:textFill>
                  <w14:solidFill>
                    <w14:schemeClr w14:val="tx1"/>
                  </w14:solidFill>
                </w14:textFill>
              </w:rPr>
              <w:t>序号</w:t>
            </w:r>
          </w:p>
        </w:tc>
        <w:tc>
          <w:tcPr>
            <w:tcW w:w="2085"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default" w:ascii="Times New Roman" w:hAnsi="Times New Roman" w:eastAsia="黑体" w:cs="Times New Roman"/>
                <w:b w:val="0"/>
                <w:bCs w:val="0"/>
                <w:color w:val="000000" w:themeColor="text1"/>
                <w:sz w:val="28"/>
                <w:szCs w:val="28"/>
                <w:vertAlign w:val="baseline"/>
                <w:lang w:eastAsia="zh-CN"/>
                <w14:textFill>
                  <w14:solidFill>
                    <w14:schemeClr w14:val="tx1"/>
                  </w14:solidFill>
                </w14:textFill>
              </w:rPr>
            </w:pPr>
            <w:r>
              <w:rPr>
                <w:rFonts w:hint="default" w:ascii="Times New Roman" w:hAnsi="Times New Roman" w:eastAsia="黑体" w:cs="Times New Roman"/>
                <w:b w:val="0"/>
                <w:bCs w:val="0"/>
                <w:color w:val="000000" w:themeColor="text1"/>
                <w:sz w:val="28"/>
                <w:szCs w:val="28"/>
                <w:vertAlign w:val="baseline"/>
                <w:lang w:eastAsia="zh-CN"/>
                <w14:textFill>
                  <w14:solidFill>
                    <w14:schemeClr w14:val="tx1"/>
                  </w14:solidFill>
                </w14:textFill>
              </w:rPr>
              <w:t>行政处罚事项</w:t>
            </w:r>
          </w:p>
        </w:tc>
        <w:tc>
          <w:tcPr>
            <w:tcW w:w="1725"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default" w:ascii="Times New Roman" w:hAnsi="Times New Roman" w:eastAsia="黑体" w:cs="Times New Roman"/>
                <w:b w:val="0"/>
                <w:bCs w:val="0"/>
                <w:color w:val="000000" w:themeColor="text1"/>
                <w:sz w:val="28"/>
                <w:szCs w:val="28"/>
                <w:vertAlign w:val="baseline"/>
                <w:lang w:eastAsia="zh-CN"/>
                <w14:textFill>
                  <w14:solidFill>
                    <w14:schemeClr w14:val="tx1"/>
                  </w14:solidFill>
                </w14:textFill>
              </w:rPr>
            </w:pPr>
            <w:r>
              <w:rPr>
                <w:rFonts w:hint="default" w:ascii="Times New Roman" w:hAnsi="Times New Roman" w:eastAsia="黑体" w:cs="Times New Roman"/>
                <w:b w:val="0"/>
                <w:bCs w:val="0"/>
                <w:color w:val="000000" w:themeColor="text1"/>
                <w:sz w:val="28"/>
                <w:szCs w:val="28"/>
                <w:vertAlign w:val="baseline"/>
                <w:lang w:eastAsia="zh-CN"/>
                <w14:textFill>
                  <w14:solidFill>
                    <w14:schemeClr w14:val="tx1"/>
                  </w14:solidFill>
                </w14:textFill>
              </w:rPr>
              <w:t>实施机关</w:t>
            </w:r>
          </w:p>
        </w:tc>
        <w:tc>
          <w:tcPr>
            <w:tcW w:w="3090"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default" w:ascii="Times New Roman" w:hAnsi="Times New Roman" w:eastAsia="黑体" w:cs="Times New Roman"/>
                <w:b w:val="0"/>
                <w:bCs w:val="0"/>
                <w:color w:val="000000" w:themeColor="text1"/>
                <w:sz w:val="28"/>
                <w:szCs w:val="28"/>
                <w:vertAlign w:val="baseline"/>
                <w:lang w:eastAsia="zh-CN"/>
                <w14:textFill>
                  <w14:solidFill>
                    <w14:schemeClr w14:val="tx1"/>
                  </w14:solidFill>
                </w14:textFill>
              </w:rPr>
            </w:pPr>
            <w:r>
              <w:rPr>
                <w:rFonts w:hint="default" w:ascii="Times New Roman" w:hAnsi="Times New Roman" w:eastAsia="黑体" w:cs="Times New Roman"/>
                <w:b w:val="0"/>
                <w:bCs w:val="0"/>
                <w:color w:val="000000" w:themeColor="text1"/>
                <w:sz w:val="28"/>
                <w:szCs w:val="28"/>
                <w:lang w:val="en-US" w:eastAsia="zh-CN"/>
                <w14:textFill>
                  <w14:solidFill>
                    <w14:schemeClr w14:val="tx1"/>
                  </w14:solidFill>
                </w14:textFill>
              </w:rPr>
              <w:t>不予处罚适用条件</w:t>
            </w:r>
          </w:p>
        </w:tc>
        <w:tc>
          <w:tcPr>
            <w:tcW w:w="566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default" w:ascii="Times New Roman" w:hAnsi="Times New Roman" w:eastAsia="黑体" w:cs="Times New Roman"/>
                <w:b w:val="0"/>
                <w:bCs w:val="0"/>
                <w:color w:val="000000" w:themeColor="text1"/>
                <w:sz w:val="28"/>
                <w:szCs w:val="28"/>
                <w:vertAlign w:val="baseline"/>
                <w:lang w:eastAsia="zh-CN"/>
                <w14:textFill>
                  <w14:solidFill>
                    <w14:schemeClr w14:val="tx1"/>
                  </w14:solidFill>
                </w14:textFill>
              </w:rPr>
            </w:pPr>
            <w:r>
              <w:rPr>
                <w:rFonts w:hint="default" w:ascii="Times New Roman" w:hAnsi="Times New Roman" w:eastAsia="黑体" w:cs="Times New Roman"/>
                <w:b w:val="0"/>
                <w:bCs w:val="0"/>
                <w:color w:val="000000" w:themeColor="text1"/>
                <w:sz w:val="28"/>
                <w:szCs w:val="28"/>
                <w:vertAlign w:val="baseline"/>
                <w:lang w:eastAsia="zh-CN"/>
                <w14:textFill>
                  <w14:solidFill>
                    <w14:schemeClr w14:val="tx1"/>
                  </w14:solidFill>
                </w14:textFill>
              </w:rPr>
              <w:t>法律依据</w:t>
            </w:r>
          </w:p>
        </w:tc>
        <w:tc>
          <w:tcPr>
            <w:tcW w:w="82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default" w:ascii="Times New Roman" w:hAnsi="Times New Roman" w:eastAsia="黑体" w:cs="Times New Roman"/>
                <w:b w:val="0"/>
                <w:bCs w:val="0"/>
                <w:color w:val="000000" w:themeColor="text1"/>
                <w:sz w:val="28"/>
                <w:szCs w:val="28"/>
                <w:vertAlign w:val="baseline"/>
                <w:lang w:eastAsia="zh-CN"/>
                <w14:textFill>
                  <w14:solidFill>
                    <w14:schemeClr w14:val="tx1"/>
                  </w14:solidFill>
                </w14:textFill>
              </w:rPr>
            </w:pPr>
            <w:r>
              <w:rPr>
                <w:rFonts w:hint="default" w:ascii="Times New Roman" w:hAnsi="Times New Roman" w:eastAsia="黑体" w:cs="Times New Roman"/>
                <w:b w:val="0"/>
                <w:bCs w:val="0"/>
                <w:color w:val="000000" w:themeColor="text1"/>
                <w:sz w:val="28"/>
                <w:szCs w:val="28"/>
                <w:vertAlign w:val="baseline"/>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default" w:ascii="Times New Roman" w:hAnsi="Times New Roman" w:eastAsia="仿宋_GB2312"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vertAlign w:val="baseline"/>
                <w:lang w:val="en-US" w:eastAsia="zh-CN"/>
                <w14:textFill>
                  <w14:solidFill>
                    <w14:schemeClr w14:val="tx1"/>
                  </w14:solidFill>
                </w14:textFill>
              </w:rPr>
              <w:t>1</w:t>
            </w:r>
          </w:p>
        </w:tc>
        <w:tc>
          <w:tcPr>
            <w:tcW w:w="2085"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jc w:val="center"/>
              <w:textAlignment w:val="auto"/>
              <w:outlineLvl w:val="9"/>
              <w:rPr>
                <w:rFonts w:hint="default" w:ascii="Times New Roman" w:hAnsi="Times New Roman" w:eastAsia="仿宋_GB2312" w:cs="Times New Roman"/>
                <w:color w:val="000000" w:themeColor="text1"/>
                <w:sz w:val="21"/>
                <w:szCs w:val="21"/>
                <w:vertAlign w:val="baseline"/>
                <w14:textFill>
                  <w14:solidFill>
                    <w14:schemeClr w14:val="tx1"/>
                  </w14:solidFill>
                </w14:textFill>
              </w:rPr>
            </w:pPr>
            <w:r>
              <w:rPr>
                <w:rFonts w:hint="default" w:ascii="Times New Roman" w:hAnsi="Times New Roman" w:eastAsia="仿宋_GB2312" w:cs="Times New Roman"/>
                <w:color w:val="000000" w:themeColor="text1"/>
                <w:sz w:val="21"/>
                <w:szCs w:val="21"/>
                <w14:textFill>
                  <w14:solidFill>
                    <w14:schemeClr w14:val="tx1"/>
                  </w14:solidFill>
                </w14:textFill>
              </w:rPr>
              <w:t>单位不办理住房公积金缴存登记</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default" w:ascii="Times New Roman" w:hAnsi="Times New Roman" w:eastAsia="仿宋_GB2312" w:cs="Times New Roman"/>
                <w:color w:val="000000" w:themeColor="text1"/>
                <w:sz w:val="21"/>
                <w:szCs w:val="21"/>
                <w:lang w:eastAsia="zh-CN"/>
                <w14:textFill>
                  <w14:solidFill>
                    <w14:schemeClr w14:val="tx1"/>
                  </w14:solidFill>
                </w14:textFill>
              </w:rPr>
            </w:pPr>
            <w:r>
              <w:rPr>
                <w:rFonts w:hint="default" w:ascii="Times New Roman" w:hAnsi="Times New Roman" w:eastAsia="仿宋_GB2312" w:cs="Times New Roman"/>
                <w:color w:val="000000" w:themeColor="text1"/>
                <w:sz w:val="21"/>
                <w:szCs w:val="21"/>
                <w:lang w:eastAsia="zh-CN"/>
                <w14:textFill>
                  <w14:solidFill>
                    <w14:schemeClr w14:val="tx1"/>
                  </w14:solidFill>
                </w14:textFill>
              </w:rPr>
              <w:t>邵阳市住房</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default" w:ascii="Times New Roman" w:hAnsi="Times New Roman" w:eastAsia="仿宋_GB2312" w:cs="Times New Roman"/>
                <w:color w:val="000000" w:themeColor="text1"/>
                <w:sz w:val="21"/>
                <w:szCs w:val="21"/>
                <w:vertAlign w:val="baseline"/>
                <w14:textFill>
                  <w14:solidFill>
                    <w14:schemeClr w14:val="tx1"/>
                  </w14:solidFill>
                </w14:textFill>
              </w:rPr>
            </w:pPr>
            <w:r>
              <w:rPr>
                <w:rFonts w:hint="default" w:ascii="Times New Roman" w:hAnsi="Times New Roman" w:eastAsia="仿宋_GB2312" w:cs="Times New Roman"/>
                <w:color w:val="000000" w:themeColor="text1"/>
                <w:sz w:val="21"/>
                <w:szCs w:val="21"/>
                <w:lang w:eastAsia="zh-CN"/>
                <w14:textFill>
                  <w14:solidFill>
                    <w14:schemeClr w14:val="tx1"/>
                  </w14:solidFill>
                </w14:textFill>
              </w:rPr>
              <w:t>公积金管理中心</w:t>
            </w:r>
          </w:p>
        </w:tc>
        <w:tc>
          <w:tcPr>
            <w:tcW w:w="3090"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jc w:val="left"/>
              <w:textAlignment w:val="auto"/>
              <w:outlineLvl w:val="9"/>
              <w:rPr>
                <w:rFonts w:hint="default" w:ascii="Times New Roman" w:hAnsi="Times New Roman" w:eastAsia="仿宋_GB2312" w:cs="Times New Roman"/>
                <w:color w:val="000000" w:themeColor="text1"/>
                <w:sz w:val="21"/>
                <w:szCs w:val="21"/>
                <w:vertAlign w:val="baseline"/>
                <w14:textFill>
                  <w14:solidFill>
                    <w14:schemeClr w14:val="tx1"/>
                  </w14:solidFill>
                </w14:textFill>
              </w:rPr>
            </w:pPr>
            <w:r>
              <w:rPr>
                <w:rFonts w:hint="default" w:ascii="Times New Roman" w:hAnsi="Times New Roman" w:eastAsia="仿宋_GB2312" w:cs="Times New Roman"/>
                <w:color w:val="000000" w:themeColor="text1"/>
                <w:sz w:val="21"/>
                <w:szCs w:val="21"/>
                <w14:textFill>
                  <w14:solidFill>
                    <w14:schemeClr w14:val="tx1"/>
                  </w14:solidFill>
                </w14:textFill>
              </w:rPr>
              <w:t>住房公积金违法行为当事人具有下列情形之一的，可以不予处罚：（一）及时改正，没有造成危害后果的；（二）有合法确凿的证据证明，住房公积金违法行为当事人无力缴纳住房公积金的。</w:t>
            </w:r>
          </w:p>
        </w:tc>
        <w:tc>
          <w:tcPr>
            <w:tcW w:w="5667"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jc w:val="center"/>
              <w:textAlignment w:val="auto"/>
              <w:outlineLvl w:val="9"/>
              <w:rPr>
                <w:rFonts w:hint="default" w:ascii="Times New Roman" w:hAnsi="Times New Roman" w:eastAsia="仿宋_GB2312" w:cs="Times New Roman"/>
                <w:color w:val="000000" w:themeColor="text1"/>
                <w:sz w:val="21"/>
                <w:szCs w:val="21"/>
                <w:vertAlign w:val="baseline"/>
                <w14:textFill>
                  <w14:solidFill>
                    <w14:schemeClr w14:val="tx1"/>
                  </w14:solidFill>
                </w14:textFill>
              </w:rPr>
            </w:pPr>
            <w:r>
              <w:rPr>
                <w:rFonts w:hint="default" w:ascii="Times New Roman" w:hAnsi="Times New Roman" w:eastAsia="仿宋_GB2312" w:cs="Times New Roman"/>
                <w:color w:val="000000" w:themeColor="text1"/>
                <w:sz w:val="21"/>
                <w:szCs w:val="21"/>
                <w14:textFill>
                  <w14:solidFill>
                    <w14:schemeClr w14:val="tx1"/>
                  </w14:solidFill>
                </w14:textFill>
              </w:rPr>
              <w:t>《中华人民共和国行政处罚法》​第33条　违法行为轻微并及时改正，没有造成危害后果的，不予行政处罚。初次违法且危害后果轻微并及时改正的，可以不予行政处罚。</w:t>
            </w:r>
            <w:r>
              <w:rPr>
                <w:rFonts w:hint="default" w:ascii="Times New Roman" w:hAnsi="Times New Roman" w:eastAsia="仿宋_GB2312" w:cs="Times New Roman"/>
                <w:color w:val="000000" w:themeColor="text1"/>
                <w:sz w:val="21"/>
                <w:szCs w:val="21"/>
                <w14:textFill>
                  <w14:solidFill>
                    <w14:schemeClr w14:val="tx1"/>
                  </w14:solidFill>
                </w14:textFill>
              </w:rPr>
              <w:br w:type="textWrapping"/>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1"/>
                <w:szCs w:val="21"/>
                <w14:textFill>
                  <w14:solidFill>
                    <w14:schemeClr w14:val="tx1"/>
                  </w14:solidFill>
                </w14:textFill>
              </w:rPr>
              <w:t>《住房公积金管理条例》第37条</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1"/>
                <w:szCs w:val="21"/>
                <w14:textFill>
                  <w14:solidFill>
                    <w14:schemeClr w14:val="tx1"/>
                  </w14:solidFill>
                </w14:textFill>
              </w:rPr>
              <w:t>违反本条例的规定，单位不办理住房公积金缴存登记或者不为本单位职工办理住房公积金账户设立手续的，由住房公积金管理中心责令限期办理；逾期不办理的，处1万元以上5万元以下的罚款。</w:t>
            </w:r>
          </w:p>
        </w:tc>
        <w:tc>
          <w:tcPr>
            <w:tcW w:w="82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cs="Times New Roman"/>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default" w:ascii="Times New Roman" w:hAnsi="Times New Roman" w:eastAsia="仿宋_GB2312"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vertAlign w:val="baseline"/>
                <w:lang w:val="en-US" w:eastAsia="zh-CN"/>
                <w14:textFill>
                  <w14:solidFill>
                    <w14:schemeClr w14:val="tx1"/>
                  </w14:solidFill>
                </w14:textFill>
              </w:rPr>
              <w:t>2</w:t>
            </w:r>
          </w:p>
        </w:tc>
        <w:tc>
          <w:tcPr>
            <w:tcW w:w="2085"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jc w:val="left"/>
              <w:textAlignment w:val="auto"/>
              <w:outlineLvl w:val="9"/>
              <w:rPr>
                <w:rFonts w:hint="default" w:ascii="Times New Roman" w:hAnsi="Times New Roman" w:eastAsia="仿宋_GB2312" w:cs="Times New Roman"/>
                <w:color w:val="000000" w:themeColor="text1"/>
                <w:sz w:val="21"/>
                <w:szCs w:val="21"/>
                <w:vertAlign w:val="baseline"/>
                <w14:textFill>
                  <w14:solidFill>
                    <w14:schemeClr w14:val="tx1"/>
                  </w14:solidFill>
                </w14:textFill>
              </w:rPr>
            </w:pPr>
            <w:r>
              <w:rPr>
                <w:rFonts w:hint="default" w:ascii="Times New Roman" w:hAnsi="Times New Roman" w:eastAsia="仿宋_GB2312" w:cs="Times New Roman"/>
                <w:color w:val="000000" w:themeColor="text1"/>
                <w:sz w:val="21"/>
                <w:szCs w:val="21"/>
                <w14:textFill>
                  <w14:solidFill>
                    <w14:schemeClr w14:val="tx1"/>
                  </w14:solidFill>
                </w14:textFill>
              </w:rPr>
              <w:t>不为本单位职工办理住房公积金账户设立手续</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default" w:ascii="Times New Roman" w:hAnsi="Times New Roman" w:eastAsia="仿宋_GB2312" w:cs="Times New Roman"/>
                <w:color w:val="000000" w:themeColor="text1"/>
                <w:sz w:val="21"/>
                <w:szCs w:val="21"/>
                <w:lang w:eastAsia="zh-CN"/>
                <w14:textFill>
                  <w14:solidFill>
                    <w14:schemeClr w14:val="tx1"/>
                  </w14:solidFill>
                </w14:textFill>
              </w:rPr>
            </w:pPr>
            <w:r>
              <w:rPr>
                <w:rFonts w:hint="default" w:ascii="Times New Roman" w:hAnsi="Times New Roman" w:eastAsia="仿宋_GB2312" w:cs="Times New Roman"/>
                <w:color w:val="000000" w:themeColor="text1"/>
                <w:sz w:val="21"/>
                <w:szCs w:val="21"/>
                <w:lang w:eastAsia="zh-CN"/>
                <w14:textFill>
                  <w14:solidFill>
                    <w14:schemeClr w14:val="tx1"/>
                  </w14:solidFill>
                </w14:textFill>
              </w:rPr>
              <w:t>邵阳市住房</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default" w:ascii="Times New Roman" w:hAnsi="Times New Roman" w:eastAsia="仿宋_GB2312" w:cs="Times New Roman"/>
                <w:color w:val="000000" w:themeColor="text1"/>
                <w:sz w:val="21"/>
                <w:szCs w:val="21"/>
                <w:vertAlign w:val="baseline"/>
                <w14:textFill>
                  <w14:solidFill>
                    <w14:schemeClr w14:val="tx1"/>
                  </w14:solidFill>
                </w14:textFill>
              </w:rPr>
            </w:pPr>
            <w:r>
              <w:rPr>
                <w:rFonts w:hint="default" w:ascii="Times New Roman" w:hAnsi="Times New Roman" w:eastAsia="仿宋_GB2312" w:cs="Times New Roman"/>
                <w:color w:val="000000" w:themeColor="text1"/>
                <w:sz w:val="21"/>
                <w:szCs w:val="21"/>
                <w:lang w:eastAsia="zh-CN"/>
                <w14:textFill>
                  <w14:solidFill>
                    <w14:schemeClr w14:val="tx1"/>
                  </w14:solidFill>
                </w14:textFill>
              </w:rPr>
              <w:t>公积金管理中心</w:t>
            </w:r>
          </w:p>
        </w:tc>
        <w:tc>
          <w:tcPr>
            <w:tcW w:w="3090"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jc w:val="left"/>
              <w:textAlignment w:val="auto"/>
              <w:outlineLvl w:val="9"/>
              <w:rPr>
                <w:rFonts w:hint="default" w:ascii="Times New Roman" w:hAnsi="Times New Roman" w:eastAsia="仿宋_GB2312" w:cs="Times New Roman"/>
                <w:color w:val="000000" w:themeColor="text1"/>
                <w:sz w:val="21"/>
                <w:szCs w:val="21"/>
                <w:vertAlign w:val="baseline"/>
                <w14:textFill>
                  <w14:solidFill>
                    <w14:schemeClr w14:val="tx1"/>
                  </w14:solidFill>
                </w14:textFill>
              </w:rPr>
            </w:pPr>
            <w:r>
              <w:rPr>
                <w:rFonts w:hint="default" w:ascii="Times New Roman" w:hAnsi="Times New Roman" w:eastAsia="仿宋_GB2312" w:cs="Times New Roman"/>
                <w:color w:val="000000" w:themeColor="text1"/>
                <w:sz w:val="21"/>
                <w:szCs w:val="21"/>
                <w14:textFill>
                  <w14:solidFill>
                    <w14:schemeClr w14:val="tx1"/>
                  </w14:solidFill>
                </w14:textFill>
              </w:rPr>
              <w:t>住房公积金违法行为当事人具有下列情形之一的，可以不予处罚：（一）及时改正，没有造成危害后果的；（二）有合法确凿的证据证明，住房公积金违法行为当事人无力缴纳住房公积金的。</w:t>
            </w:r>
          </w:p>
        </w:tc>
        <w:tc>
          <w:tcPr>
            <w:tcW w:w="5667"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jc w:val="center"/>
              <w:textAlignment w:val="auto"/>
              <w:outlineLvl w:val="9"/>
              <w:rPr>
                <w:rFonts w:hint="default" w:ascii="Times New Roman" w:hAnsi="Times New Roman" w:eastAsia="仿宋_GB2312" w:cs="Times New Roman"/>
                <w:color w:val="000000" w:themeColor="text1"/>
                <w:sz w:val="21"/>
                <w:szCs w:val="21"/>
                <w:vertAlign w:val="baseline"/>
                <w14:textFill>
                  <w14:solidFill>
                    <w14:schemeClr w14:val="tx1"/>
                  </w14:solidFill>
                </w14:textFill>
              </w:rPr>
            </w:pPr>
            <w:r>
              <w:rPr>
                <w:rFonts w:hint="default" w:ascii="Times New Roman" w:hAnsi="Times New Roman" w:eastAsia="仿宋_GB2312" w:cs="Times New Roman"/>
                <w:color w:val="000000" w:themeColor="text1"/>
                <w:sz w:val="21"/>
                <w:szCs w:val="21"/>
                <w14:textFill>
                  <w14:solidFill>
                    <w14:schemeClr w14:val="tx1"/>
                  </w14:solidFill>
                </w14:textFill>
              </w:rPr>
              <w:t>《中华人民共和国行政处罚法》​第33条　违法行为轻微并及时改正，没有造成危害后果的，不予行政处罚。初次违法且危害后果轻微并及时改正的，可以不予行政处罚。</w:t>
            </w:r>
            <w:r>
              <w:rPr>
                <w:rFonts w:hint="default" w:ascii="Times New Roman" w:hAnsi="Times New Roman" w:eastAsia="仿宋_GB2312" w:cs="Times New Roman"/>
                <w:color w:val="000000" w:themeColor="text1"/>
                <w:sz w:val="21"/>
                <w:szCs w:val="21"/>
                <w14:textFill>
                  <w14:solidFill>
                    <w14:schemeClr w14:val="tx1"/>
                  </w14:solidFill>
                </w14:textFill>
              </w:rPr>
              <w:br w:type="textWrapping"/>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1"/>
                <w:szCs w:val="21"/>
                <w14:textFill>
                  <w14:solidFill>
                    <w14:schemeClr w14:val="tx1"/>
                  </w14:solidFill>
                </w14:textFill>
              </w:rPr>
              <w:t>《住房公积金管理条例》第37条  违反本条例的规定，单位不办理住房公积金缴存登记或者不为本单位职工办理住房公积金账户设立手续的，由住房公积金管理中心责令限期办理；逾期不办理的，处1万元以上5万元以下的罚款。</w:t>
            </w:r>
          </w:p>
        </w:tc>
        <w:tc>
          <w:tcPr>
            <w:tcW w:w="82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cs="Times New Roman"/>
                <w:color w:val="000000" w:themeColor="text1"/>
                <w:sz w:val="28"/>
                <w:szCs w:val="28"/>
                <w:vertAlign w:val="baseline"/>
                <w14:textFill>
                  <w14:solidFill>
                    <w14:schemeClr w14:val="tx1"/>
                  </w14:solidFill>
                </w14:textFill>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YWE1NDE0MzNmNTJhZmE4MmMwODY5MDg4NjNmZGEifQ=="/>
  </w:docVars>
  <w:rsids>
    <w:rsidRoot w:val="3F6D6FC1"/>
    <w:rsid w:val="3F6D6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2023-07-25T01:56:00Z</dcterms:created>
  <dc:creator>旧时光·不见旧人</dc:creator>
  <cp:lastModifiedBy>旧时光·不见旧人</cp:lastModifiedBy>
  <dcterms:modified xsi:type="dcterms:W3CDTF">2023-07-25T01:57:07Z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28CD4B97AEDB46F8AC5FBB3D386E7910_11</vt:lpwstr>
  </property>
</Properties>
</file>