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邵阳市药品医用耗材集采配送管理季度考核细则</w:t>
      </w:r>
    </w:p>
    <w:tbl>
      <w:tblPr>
        <w:tblStyle w:val="5"/>
        <w:tblW w:w="142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7765"/>
        <w:gridCol w:w="754"/>
        <w:gridCol w:w="4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tblHeader/>
        </w:trPr>
        <w:tc>
          <w:tcPr>
            <w:tcW w:w="119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考核内容</w:t>
            </w:r>
          </w:p>
        </w:tc>
        <w:tc>
          <w:tcPr>
            <w:tcW w:w="776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考核指标</w:t>
            </w:r>
          </w:p>
        </w:tc>
        <w:tc>
          <w:tcPr>
            <w:tcW w:w="7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分值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100分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47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19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订单响应及时率</w:t>
            </w:r>
          </w:p>
        </w:tc>
        <w:tc>
          <w:tcPr>
            <w:tcW w:w="7769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配送企业在医疗机构发送订单后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1个工作日内完成订单确认</w:t>
            </w:r>
          </w:p>
        </w:tc>
        <w:tc>
          <w:tcPr>
            <w:tcW w:w="7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10分</w:t>
            </w:r>
          </w:p>
        </w:tc>
        <w:tc>
          <w:tcPr>
            <w:tcW w:w="4473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未在规定时间内完成确认的，每次扣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9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规定时间内配送及到货率</w:t>
            </w:r>
          </w:p>
        </w:tc>
        <w:tc>
          <w:tcPr>
            <w:tcW w:w="7769" w:type="dxa"/>
            <w:vAlign w:val="center"/>
          </w:tcPr>
          <w:p>
            <w:pPr>
              <w:numPr>
                <w:ilvl w:val="0"/>
                <w:numId w:val="0"/>
              </w:numPr>
              <w:ind w:left="240" w:hanging="210" w:hangingChars="10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急救药品、高值医用耗材4小时内送到，边远乡镇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6小时。</w:t>
            </w:r>
          </w:p>
          <w:p>
            <w:pPr>
              <w:numPr>
                <w:ilvl w:val="0"/>
                <w:numId w:val="0"/>
              </w:numPr>
              <w:ind w:left="240" w:hanging="210" w:hangingChars="100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2.一般药品医用耗材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在订单确认后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48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小时内送到，节假日照常配送。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3.票物相符，不得有少送漏送现象。</w:t>
            </w:r>
          </w:p>
        </w:tc>
        <w:tc>
          <w:tcPr>
            <w:tcW w:w="7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10分</w:t>
            </w:r>
          </w:p>
        </w:tc>
        <w:tc>
          <w:tcPr>
            <w:tcW w:w="4473" w:type="dxa"/>
            <w:vAlign w:val="center"/>
          </w:tcPr>
          <w:p>
            <w:pPr>
              <w:numPr>
                <w:ilvl w:val="0"/>
                <w:numId w:val="0"/>
              </w:numPr>
              <w:ind w:left="240" w:hanging="210" w:hangingChars="10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 w:eastAsia="zh-CN"/>
              </w:rPr>
              <w:t>无正当理由拖延交货（不可抗力情况除外）的，每次扣5分，每超过规定时间1天加扣1分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ind w:left="240" w:hanging="210" w:hangingChars="10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2.存</w:t>
            </w:r>
            <w:r>
              <w:rPr>
                <w:rFonts w:hint="eastAsia" w:ascii="宋体" w:hAnsi="宋体" w:eastAsia="宋体" w:cs="宋体"/>
                <w:spacing w:val="-11"/>
                <w:sz w:val="21"/>
                <w:szCs w:val="21"/>
                <w:lang w:val="en-US" w:eastAsia="zh-CN"/>
              </w:rPr>
              <w:t>在少送、漏送，票物不符现象的，每次扣2分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19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验收合格率</w:t>
            </w:r>
          </w:p>
        </w:tc>
        <w:tc>
          <w:tcPr>
            <w:tcW w:w="7769" w:type="dxa"/>
            <w:vAlign w:val="center"/>
          </w:tcPr>
          <w:p>
            <w:pPr>
              <w:numPr>
                <w:ilvl w:val="0"/>
                <w:numId w:val="0"/>
              </w:numPr>
              <w:ind w:left="240" w:hanging="210" w:hangingChars="10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  <w:lang w:eastAsia="zh-CN"/>
              </w:rPr>
              <w:t>配送到医药机构的药品医用耗材，有效期不得少于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相关规定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ind w:left="240" w:hanging="210" w:hangingChars="100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  <w:lang w:eastAsia="zh-CN"/>
              </w:rPr>
              <w:t>配送药品医用耗材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不得存在短少、破损、污染、异形及其他不符法律法规规定的。</w:t>
            </w:r>
          </w:p>
        </w:tc>
        <w:tc>
          <w:tcPr>
            <w:tcW w:w="7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10分</w:t>
            </w:r>
          </w:p>
        </w:tc>
        <w:tc>
          <w:tcPr>
            <w:tcW w:w="4473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不符合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1.2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指标要求的，经核实后，每次（起）扣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119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“两票制”执行情况</w:t>
            </w:r>
          </w:p>
        </w:tc>
        <w:tc>
          <w:tcPr>
            <w:tcW w:w="7769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货票同行，符合“两票制”要求。第二票之前的票据由配送企业上传电子票据；第二票票据随货同行有困难的，由配送企业与医疗机构协商后确定，最迟应在药品验收入库之日起1周内补齐。</w:t>
            </w:r>
          </w:p>
        </w:tc>
        <w:tc>
          <w:tcPr>
            <w:tcW w:w="7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10分</w:t>
            </w:r>
          </w:p>
        </w:tc>
        <w:tc>
          <w:tcPr>
            <w:tcW w:w="4473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未遵守考核指标提供发票的，每次扣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1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退货响应及时率</w:t>
            </w:r>
          </w:p>
        </w:tc>
        <w:tc>
          <w:tcPr>
            <w:tcW w:w="776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医药机构按照购销协议拒收当批次药品（医用耗材）后，配送企业应及时更换被拒收的配送品种，并承担由此对医药机构造成的损失。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10分</w:t>
            </w:r>
          </w:p>
        </w:tc>
        <w:tc>
          <w:tcPr>
            <w:tcW w:w="4473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未及时更换当批次拒收药品（医用耗材）、不承担损失的每次扣5分。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供货价格的准确率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供货价与集采中选价格一致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10分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发现供货单存在供货价格高于平台招标价格每次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扣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线下交易情况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在湖南省医药集中采购平台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和我市参与的各类集采平台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上完成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下单及其它流程，禁止线下交易。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10分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未在线上交易的，每批次扣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受投诉情况</w:t>
            </w:r>
          </w:p>
        </w:tc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不得拒绝推诿配送，加价配送，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捆绑配送。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2.免费提以下供伴随服务</w:t>
            </w:r>
            <w:r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</w:rPr>
              <w:t>：（1）药品的现场搬运或入库；（2）对开箱时发现的破损、近效期药品或其他不合格包装药品及时更换；（3）交付冷藏药品的，应严格按照《药品经营质量管理规范》要求提供运输方式及运输过程的温度记录、运输时间等质量控制状态情况。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10分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配送企业被投诉有①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拒绝推诿配送；②加价或捆绑配送行为的，核实后，每次扣10分；被投诉有未按要求提供伴随服务的，核实后每次扣2分。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县市区医保部门综合评价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配送企业服从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县市区医保部门工作安排，主动协调，工作高效，严守规定。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20分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根据参与本辖区集采配送企业日常管理情况，按季度考核指标综合打分并折算</w:t>
            </w:r>
          </w:p>
        </w:tc>
      </w:tr>
    </w:tbl>
    <w:p>
      <w:pPr>
        <w:rPr>
          <w:rFonts w:hint="eastAsia" w:ascii="黑体" w:hAnsi="黑体" w:eastAsia="黑体" w:cs="黑体"/>
          <w:color w:val="auto"/>
          <w:sz w:val="44"/>
          <w:szCs w:val="44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color w:val="auto"/>
          <w:sz w:val="30"/>
          <w:szCs w:val="30"/>
          <w:lang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149722"/>
    <w:multiLevelType w:val="singleLevel"/>
    <w:tmpl w:val="B914972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xYzMyZDg1ZWRlOWM2YmI3YzM3NmU2MjQ0NGQ1NDYifQ=="/>
  </w:docVars>
  <w:rsids>
    <w:rsidRoot w:val="3AB35819"/>
    <w:rsid w:val="3AB3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0"/>
    <w:pPr>
      <w:ind w:left="1680"/>
    </w:pPr>
    <w:rPr>
      <w:rFonts w:eastAsia="宋体"/>
      <w:sz w:val="21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2022-12-30T07:03:00Z</dcterms:created>
  <dc:creator>A</dc:creator>
  <cp:lastModifiedBy>A</cp:lastModifiedBy>
  <dcterms:modified xsi:type="dcterms:W3CDTF">2022-12-30T07:04:19Z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63BF67AEC18E4C31A84EACE2EA960D5D</vt:lpwstr>
  </property>
</Properties>
</file>