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5490"/>
          <w:tab w:val="left" w:pos="6810"/>
        </w:tabs>
        <w:rPr>
          <w:rFonts w:hint="eastAsia" w:ascii="黑体" w:hAnsi="黑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附件6-6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邵阳市城乡居民医疗保险特殊病种门诊待遇标准</w:t>
      </w:r>
    </w:p>
    <w:tbl>
      <w:tblPr>
        <w:tblStyle w:val="5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2136"/>
        <w:gridCol w:w="1064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病种名称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费用标准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支付比例（%）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恶性肿瘤（门诊放疗、化疗、康复治疗）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康复治疗350元/月；门诊放疗、化疗执行同级医疗机构住院标准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其中乳腺癌、宫颈癌、肺癌、食管癌、胃癌、结肠癌、直肠癌常规化疗：6500元/疗程；放疗8000元/疗程；常规化疗＋放疗12000元/疗程，不设起付线。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肝脏、肾脏、心脏瓣膜、造血干细胞移植术后的抗排异治疗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两年以内3650元/月                       两年以上2610元/月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高血压病Ⅲ期（有心、脑、肾、眼并发症之一）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糖尿病（合并感染或有心、肾、眼、神经病变之一）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215元/月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冠心病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脑血管意外（包括脑出血、脑梗塞、蛛网膜下腔出血）后遗症康复治疗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血友病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520/月（中型）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血友病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1040/月（重型）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精神分裂症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肺结核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系统性红斑狼疮（有心、肺、肾、脑及血液系统并发症之一）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慢性再生障碍性贫血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肝硬化（失代偿期）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苯丙酮尿症（PKU 限 0-14 岁）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PKU  1000元/月                       BH4D 1250元/月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帕金森氏病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肺心病（出现右心衰者）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风湿性心脏病（心功能Ⅲ级）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哮喘或喘息性支气管炎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类风湿性关节炎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慢性活动性肝炎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原发性血小板减少性紫癜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多发性硬化症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重症肌无力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肝豆状核变性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多发性骨髓瘤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系统性硬化病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中枢神经系统脱髓鞘疾病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垂体瘤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克隆病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癫痫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慢性心力衰竭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阿尔茨海默病（老年痴呆）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泛发型银屑病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慢性丙型肝炎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儿童脑瘫康复治疗（1-7岁）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1000（限10个月）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肺动脉高压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地中海贫血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慢性阻塞性肺疾病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恶性肿瘤晚期恶病质（家庭病床）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植物人（家庭病床）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晚期血吸虫病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尘肺病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6"/>
                <w:kern w:val="0"/>
                <w:sz w:val="21"/>
                <w:szCs w:val="21"/>
                <w:u w:val="none"/>
                <w:lang w:val="en-US" w:eastAsia="zh-CN" w:bidi="ar"/>
              </w:rPr>
              <w:t>普瑞德威利综合症（小胖威利症）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肾病综合征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强制性脊柱炎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麻风病</w:t>
            </w:r>
          </w:p>
        </w:tc>
        <w:tc>
          <w:tcPr>
            <w:tcW w:w="11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200元/月</w:t>
            </w:r>
          </w:p>
        </w:tc>
        <w:tc>
          <w:tcPr>
            <w:tcW w:w="5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说明：1.慢性肾功能衰竭门诊透析治疗设置政策过渡期，暂按照各县市区原政策执行，新政策出台后，按照全市统一标准执行；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     2.药品支付范围：按照邵阳市城乡居民医保特殊病种门诊用药范围执行。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42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left"/>
        <w:textAlignment w:val="center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701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E9B21F9"/>
    <w:rsid w:val="30ED7964"/>
    <w:rsid w:val="37AD2317"/>
    <w:rsid w:val="38C32DB7"/>
    <w:rsid w:val="4A487EE9"/>
    <w:rsid w:val="4A5B0858"/>
    <w:rsid w:val="4D346CFB"/>
    <w:rsid w:val="56B3061E"/>
    <w:rsid w:val="59863E47"/>
    <w:rsid w:val="5EB0424F"/>
    <w:rsid w:val="5F170172"/>
    <w:rsid w:val="6D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18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2021-12-06T06:12:54Z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