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5"/>
          <w:tab w:val="left" w:pos="3510"/>
          <w:tab w:val="left" w:pos="4725"/>
          <w:tab w:val="left" w:pos="6150"/>
        </w:tabs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kern w:val="0"/>
          <w:sz w:val="40"/>
          <w:szCs w:val="40"/>
          <w:u w:val="none"/>
          <w:lang w:val="en-US" w:eastAsia="zh-CN" w:bidi="ar"/>
        </w:rPr>
        <w:t>邵阳市城乡居民基本医疗保险2021年中途参保政策</w:t>
      </w:r>
    </w:p>
    <w:tbl>
      <w:tblPr>
        <w:tblStyle w:val="5"/>
        <w:tblW w:w="51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09"/>
        <w:gridCol w:w="1069"/>
        <w:gridCol w:w="1254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参保资助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个人缴费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待遇保障期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低保对象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新生儿出生90天内参保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自出生之日起至当年度12月31日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福利机构新接收儿童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自进入儿童福利机构之日起至当年度12月31日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职工医保停保转居民医保(断保90天内)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自职工断保之日起至当年度12月31日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当年新迁入户口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复转军人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刑满释放人员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未及时就业的大中专毕业生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新生儿出生超过90天参保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职工医保停保转居民医保（超过断保90天）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新就业形态从业人员凭居住证参保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缴费成功的下个月起至当年度12月31日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8680A35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17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2021-12-06T05:59:59Z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