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79"/>
          <w:tab w:val="left" w:pos="7153"/>
          <w:tab w:val="left" w:pos="8327"/>
          <w:tab w:val="left" w:pos="9501"/>
          <w:tab w:val="left" w:pos="10675"/>
          <w:tab w:val="left" w:pos="11849"/>
          <w:tab w:val="left" w:pos="13023"/>
        </w:tabs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邵阳市1-6级伤残军人医疗保障标准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一、先支付政策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乙类药品或项目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统一的基本医疗保险药品目录、医用耗材和医疗服务项目内先支付比例为5%、10%、20%、30%的，按基本医疗政策由基本医疗保险基金支付后，余下部分参照离休人员医疗待遇政策，由1-6级伤残基金支付。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全自费药品或项目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统一的基本医疗保险药品目录、医用耗材和医疗服务项目内先支付比例为100%(丙类)的，基本医疗保险基金不予支付，若该药品或项目在离休目录内，参照离休人员医疗待遇政策，由1-6级伤残基金支付。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限额项目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限额材料；特殊药品限额。基本医疗保险基金不予支付，若该药品或项目在离休目录内，参照离休人员医疗待遇政策，由1-6级伤残基金支付。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具体政策说明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1.乙类药品或项目先自付属于部分政策自付；限额材料超限额部分、全自费属于完全政策自付。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2.参保状态为冻结标志的，冻结期间医疗费用按全自费处理。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二、保障待遇标准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具体政策说明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6"/>
                <w:sz w:val="21"/>
                <w:szCs w:val="21"/>
                <w:lang w:val="en-US" w:eastAsia="zh-CN" w:bidi="ar"/>
              </w:rPr>
              <w:t>中心零星报销，执行《关于调整离休干部医疗保障待遇标准的通知》湘人社发</w:t>
            </w:r>
            <w:r>
              <w:rPr>
                <w:rStyle w:val="17"/>
                <w:sz w:val="21"/>
                <w:szCs w:val="21"/>
                <w:lang w:val="en-US" w:eastAsia="zh-CN" w:bidi="ar"/>
              </w:rPr>
              <w:t>〔</w:t>
            </w:r>
            <w:r>
              <w:rPr>
                <w:rStyle w:val="16"/>
                <w:sz w:val="21"/>
                <w:szCs w:val="21"/>
                <w:lang w:val="en-US" w:eastAsia="zh-CN" w:bidi="ar"/>
              </w:rPr>
              <w:t>2011〕73号和《关于调整离休干部医疗保障药品报销范围的通知》湘人社发〔2018〕65号文件规定，药品、耗材及诊疗项目参照《湖南省离休干部医疗保障“三个目录”使用手册》、《2011年诊疗项目目录》、《湖南省2018年版药品目录》内离休支付比例纳入报销，由伤残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普通住院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医疗报销后，执行《关于调整离休干部医疗保障待遇标准的通知》湘人社发〔2011〕73号和《关于调整离休干部医疗保障药品报销范围的通知》湘人社发〔2018〕65号文件规定，自付合规费用（含起付线）由伤残基金支付； 部分政策自付参照《湖南省离休干部医疗保障“三个目录”使用手册》、《2011年诊疗项目目录》及 《湖南省2018年版药品目录》内离休支付比例报销，由伤残基金支付。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意外伤害住院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无第三方责任的意外伤害住院参照1-6级伤残军人普通住院待遇标准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按病种收付费病种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进入统筹基金的自负部分，由伤残基金支付。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床位费标准</w:t>
            </w:r>
          </w:p>
        </w:tc>
        <w:tc>
          <w:tcPr>
            <w:tcW w:w="4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床位费按60元/天标准限额伤残基金予以报销，低于此标准的按实际费用报销，超过部分由个人自付。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01" w:right="1417" w:bottom="1417" w:left="1417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E9B21F9"/>
    <w:rsid w:val="30ED7964"/>
    <w:rsid w:val="32182A70"/>
    <w:rsid w:val="37AD2317"/>
    <w:rsid w:val="38C32DB7"/>
    <w:rsid w:val="4A487EE9"/>
    <w:rsid w:val="4A5B0858"/>
    <w:rsid w:val="4D346CFB"/>
    <w:rsid w:val="59863E47"/>
    <w:rsid w:val="5EB0424F"/>
    <w:rsid w:val="5F170172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font51"/>
    <w:basedOn w:val="7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16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2021-12-06T05:50:03Z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