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960"/>
          <w:tab w:val="left" w:pos="2685"/>
          <w:tab w:val="left" w:pos="3960"/>
          <w:tab w:val="left" w:pos="5475"/>
          <w:tab w:val="left" w:pos="8730"/>
          <w:tab w:val="left" w:pos="12510"/>
          <w:tab w:val="left" w:pos="14115"/>
          <w:tab w:val="left" w:pos="14910"/>
        </w:tabs>
        <w:rPr>
          <w:rFonts w:hint="eastAsia" w:ascii="黑体" w:hAnsi="黑体" w:eastAsia="黑体" w:cs="黑体"/>
          <w:i w:val="0"/>
          <w:iCs w:val="0"/>
          <w:color w:val="000000"/>
          <w:sz w:val="28"/>
          <w:szCs w:val="28"/>
          <w:u w:val="none"/>
        </w:rPr>
      </w:pPr>
      <w:r>
        <w:rPr>
          <w:rFonts w:hint="eastAsia" w:ascii="黑体" w:hAnsi="黑体" w:eastAsia="黑体" w:cs="黑体"/>
          <w:i w:val="0"/>
          <w:iCs w:val="0"/>
          <w:color w:val="000000"/>
          <w:kern w:val="0"/>
          <w:sz w:val="28"/>
          <w:szCs w:val="28"/>
          <w:u w:val="none"/>
          <w:lang w:val="en-US" w:eastAsia="zh-CN" w:bidi="ar"/>
        </w:rPr>
        <w:t>附件1-1</w:t>
      </w:r>
    </w:p>
    <w:p>
      <w:pPr>
        <w:keepNext w:val="0"/>
        <w:keepLines w:val="0"/>
        <w:widowControl/>
        <w:suppressLineNumbers w:val="0"/>
        <w:jc w:val="center"/>
        <w:textAlignment w:val="center"/>
        <w:rPr>
          <w:rFonts w:hint="eastAsia" w:ascii="方正小标宋简体" w:hAnsi="方正小标宋简体" w:eastAsia="方正小标宋简体" w:cs="方正小标宋简体"/>
          <w:b w:val="0"/>
          <w:bCs w:val="0"/>
          <w:i w:val="0"/>
          <w:iCs w:val="0"/>
          <w:color w:val="000000"/>
          <w:kern w:val="0"/>
          <w:sz w:val="40"/>
          <w:szCs w:val="40"/>
          <w:u w:val="none"/>
          <w:lang w:val="en-US" w:eastAsia="zh-CN" w:bidi="ar"/>
        </w:rPr>
      </w:pPr>
      <w:r>
        <w:rPr>
          <w:rFonts w:hint="eastAsia" w:ascii="方正小标宋简体" w:hAnsi="方正小标宋简体" w:eastAsia="方正小标宋简体" w:cs="方正小标宋简体"/>
          <w:b w:val="0"/>
          <w:bCs w:val="0"/>
          <w:i w:val="0"/>
          <w:iCs w:val="0"/>
          <w:color w:val="000000"/>
          <w:kern w:val="0"/>
          <w:sz w:val="40"/>
          <w:szCs w:val="40"/>
          <w:u w:val="none"/>
          <w:lang w:val="en-US" w:eastAsia="zh-CN" w:bidi="ar"/>
        </w:rPr>
        <w:t>邵阳市城镇职工基本医疗保险保费征缴标准</w:t>
      </w:r>
    </w:p>
    <w:tbl>
      <w:tblPr>
        <w:tblStyle w:val="5"/>
        <w:tblW w:w="5047"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757"/>
        <w:gridCol w:w="1292"/>
        <w:gridCol w:w="1605"/>
        <w:gridCol w:w="819"/>
        <w:gridCol w:w="2712"/>
        <w:gridCol w:w="2004"/>
        <w:gridCol w:w="2269"/>
        <w:gridCol w:w="863"/>
        <w:gridCol w:w="20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97" w:hRule="atLeast"/>
          <w:tblHeader/>
        </w:trPr>
        <w:tc>
          <w:tcPr>
            <w:tcW w:w="263"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b w:val="0"/>
                <w:bCs w:val="0"/>
                <w:i w:val="0"/>
                <w:iCs w:val="0"/>
                <w:color w:val="000000"/>
                <w:sz w:val="21"/>
                <w:szCs w:val="21"/>
                <w:u w:val="none"/>
              </w:rPr>
            </w:pPr>
            <w:r>
              <w:rPr>
                <w:rFonts w:hint="eastAsia" w:ascii="黑体" w:hAnsi="黑体" w:eastAsia="黑体" w:cs="黑体"/>
                <w:b w:val="0"/>
                <w:bCs w:val="0"/>
                <w:i w:val="0"/>
                <w:iCs w:val="0"/>
                <w:color w:val="000000"/>
                <w:kern w:val="0"/>
                <w:sz w:val="21"/>
                <w:szCs w:val="21"/>
                <w:u w:val="none"/>
                <w:lang w:val="en-US" w:eastAsia="zh-CN" w:bidi="ar"/>
              </w:rPr>
              <w:t>险种分类</w:t>
            </w:r>
          </w:p>
        </w:tc>
        <w:tc>
          <w:tcPr>
            <w:tcW w:w="1294" w:type="pct"/>
            <w:gridSpan w:val="3"/>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b w:val="0"/>
                <w:bCs w:val="0"/>
                <w:i w:val="0"/>
                <w:iCs w:val="0"/>
                <w:color w:val="000000"/>
                <w:sz w:val="21"/>
                <w:szCs w:val="21"/>
                <w:u w:val="none"/>
              </w:rPr>
            </w:pPr>
            <w:r>
              <w:rPr>
                <w:rFonts w:hint="eastAsia" w:ascii="黑体" w:hAnsi="黑体" w:eastAsia="黑体" w:cs="黑体"/>
                <w:b w:val="0"/>
                <w:bCs w:val="0"/>
                <w:i w:val="0"/>
                <w:iCs w:val="0"/>
                <w:color w:val="000000"/>
                <w:kern w:val="0"/>
                <w:sz w:val="21"/>
                <w:szCs w:val="21"/>
                <w:u w:val="none"/>
                <w:lang w:val="en-US" w:eastAsia="zh-CN" w:bidi="ar"/>
              </w:rPr>
              <w:t>政策条件</w:t>
            </w:r>
          </w:p>
        </w:tc>
        <w:tc>
          <w:tcPr>
            <w:tcW w:w="2733" w:type="pct"/>
            <w:gridSpan w:val="4"/>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b w:val="0"/>
                <w:bCs w:val="0"/>
                <w:i w:val="0"/>
                <w:iCs w:val="0"/>
                <w:color w:val="000000"/>
                <w:sz w:val="21"/>
                <w:szCs w:val="21"/>
                <w:u w:val="none"/>
              </w:rPr>
            </w:pPr>
            <w:r>
              <w:rPr>
                <w:rFonts w:hint="eastAsia" w:ascii="黑体" w:hAnsi="黑体" w:eastAsia="黑体" w:cs="黑体"/>
                <w:b w:val="0"/>
                <w:bCs w:val="0"/>
                <w:i w:val="0"/>
                <w:iCs w:val="0"/>
                <w:color w:val="000000"/>
                <w:kern w:val="0"/>
                <w:sz w:val="21"/>
                <w:szCs w:val="21"/>
                <w:u w:val="none"/>
                <w:lang w:val="en-US" w:eastAsia="zh-CN" w:bidi="ar"/>
              </w:rPr>
              <w:t>缴费标准</w:t>
            </w:r>
          </w:p>
        </w:tc>
        <w:tc>
          <w:tcPr>
            <w:tcW w:w="708" w:type="pct"/>
            <w:tcBorders>
              <w:tl2br w:val="nil"/>
              <w:tr2bl w:val="nil"/>
            </w:tcBorders>
            <w:shd w:val="clear" w:color="auto" w:fill="auto"/>
            <w:noWrap/>
            <w:vAlign w:val="bottom"/>
          </w:tcPr>
          <w:p>
            <w:pPr>
              <w:keepNext w:val="0"/>
              <w:keepLines w:val="0"/>
              <w:pageBreakBefore w:val="0"/>
              <w:widowControl/>
              <w:kinsoku/>
              <w:wordWrap/>
              <w:overflowPunct/>
              <w:topLinePunct w:val="0"/>
              <w:autoSpaceDE/>
              <w:autoSpaceDN/>
              <w:bidi w:val="0"/>
              <w:adjustRightInd/>
              <w:snapToGrid/>
              <w:spacing w:line="300" w:lineRule="exact"/>
              <w:rPr>
                <w:rFonts w:hint="eastAsia" w:ascii="黑体" w:hAnsi="黑体" w:eastAsia="黑体" w:cs="黑体"/>
                <w:b w:val="0"/>
                <w:bCs w:val="0"/>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97" w:hRule="atLeast"/>
          <w:tblHeader/>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黑体" w:hAnsi="黑体" w:eastAsia="黑体" w:cs="黑体"/>
                <w:b w:val="0"/>
                <w:bCs w:val="0"/>
                <w:i w:val="0"/>
                <w:iCs w:val="0"/>
                <w:color w:val="000000"/>
                <w:sz w:val="21"/>
                <w:szCs w:val="21"/>
                <w:u w:val="none"/>
              </w:rPr>
            </w:pPr>
          </w:p>
        </w:tc>
        <w:tc>
          <w:tcPr>
            <w:tcW w:w="450"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b w:val="0"/>
                <w:bCs w:val="0"/>
                <w:i w:val="0"/>
                <w:iCs w:val="0"/>
                <w:color w:val="000000"/>
                <w:kern w:val="0"/>
                <w:sz w:val="21"/>
                <w:szCs w:val="21"/>
                <w:u w:val="none"/>
                <w:lang w:val="en-US" w:eastAsia="zh-CN" w:bidi="ar"/>
              </w:rPr>
            </w:pPr>
            <w:r>
              <w:rPr>
                <w:rFonts w:hint="eastAsia" w:ascii="黑体" w:hAnsi="黑体" w:eastAsia="黑体" w:cs="黑体"/>
                <w:b w:val="0"/>
                <w:bCs w:val="0"/>
                <w:i w:val="0"/>
                <w:iCs w:val="0"/>
                <w:color w:val="000000"/>
                <w:kern w:val="0"/>
                <w:sz w:val="21"/>
                <w:szCs w:val="21"/>
                <w:u w:val="none"/>
                <w:lang w:val="en-US" w:eastAsia="zh-CN" w:bidi="ar"/>
              </w:rPr>
              <w:t>征缴类型</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b w:val="0"/>
                <w:bCs w:val="0"/>
                <w:i w:val="0"/>
                <w:iCs w:val="0"/>
                <w:color w:val="000000"/>
                <w:sz w:val="21"/>
                <w:szCs w:val="21"/>
                <w:u w:val="none"/>
              </w:rPr>
            </w:pPr>
            <w:r>
              <w:rPr>
                <w:rFonts w:hint="eastAsia" w:ascii="黑体" w:hAnsi="黑体" w:eastAsia="黑体" w:cs="黑体"/>
                <w:b w:val="0"/>
                <w:bCs w:val="0"/>
                <w:i w:val="0"/>
                <w:iCs w:val="0"/>
                <w:color w:val="000000"/>
                <w:kern w:val="0"/>
                <w:sz w:val="21"/>
                <w:szCs w:val="21"/>
                <w:u w:val="none"/>
                <w:lang w:val="en-US" w:eastAsia="zh-CN" w:bidi="ar"/>
              </w:rPr>
              <w:t>名称</w:t>
            </w:r>
          </w:p>
        </w:tc>
        <w:tc>
          <w:tcPr>
            <w:tcW w:w="559"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b w:val="0"/>
                <w:bCs w:val="0"/>
                <w:i w:val="0"/>
                <w:iCs w:val="0"/>
                <w:color w:val="000000"/>
                <w:sz w:val="21"/>
                <w:szCs w:val="21"/>
                <w:u w:val="none"/>
              </w:rPr>
            </w:pPr>
            <w:r>
              <w:rPr>
                <w:rFonts w:hint="eastAsia" w:ascii="黑体" w:hAnsi="黑体" w:eastAsia="黑体" w:cs="黑体"/>
                <w:b w:val="0"/>
                <w:bCs w:val="0"/>
                <w:i w:val="0"/>
                <w:iCs w:val="0"/>
                <w:color w:val="000000"/>
                <w:kern w:val="0"/>
                <w:sz w:val="21"/>
                <w:szCs w:val="21"/>
                <w:u w:val="none"/>
                <w:lang w:val="en-US" w:eastAsia="zh-CN" w:bidi="ar"/>
              </w:rPr>
              <w:t>单位类型</w:t>
            </w:r>
          </w:p>
        </w:tc>
        <w:tc>
          <w:tcPr>
            <w:tcW w:w="285"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b w:val="0"/>
                <w:bCs w:val="0"/>
                <w:i w:val="0"/>
                <w:iCs w:val="0"/>
                <w:color w:val="000000"/>
                <w:kern w:val="0"/>
                <w:sz w:val="21"/>
                <w:szCs w:val="21"/>
                <w:u w:val="none"/>
                <w:lang w:val="en-US" w:eastAsia="zh-CN" w:bidi="ar"/>
              </w:rPr>
            </w:pPr>
            <w:r>
              <w:rPr>
                <w:rFonts w:hint="eastAsia" w:ascii="黑体" w:hAnsi="黑体" w:eastAsia="黑体" w:cs="黑体"/>
                <w:b w:val="0"/>
                <w:bCs w:val="0"/>
                <w:i w:val="0"/>
                <w:iCs w:val="0"/>
                <w:color w:val="000000"/>
                <w:kern w:val="0"/>
                <w:sz w:val="21"/>
                <w:szCs w:val="21"/>
                <w:u w:val="none"/>
                <w:lang w:val="en-US" w:eastAsia="zh-CN" w:bidi="ar"/>
              </w:rPr>
              <w:t>人员</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b w:val="0"/>
                <w:bCs w:val="0"/>
                <w:i w:val="0"/>
                <w:iCs w:val="0"/>
                <w:color w:val="000000"/>
                <w:sz w:val="21"/>
                <w:szCs w:val="21"/>
                <w:u w:val="none"/>
              </w:rPr>
            </w:pPr>
            <w:r>
              <w:rPr>
                <w:rFonts w:hint="eastAsia" w:ascii="黑体" w:hAnsi="黑体" w:eastAsia="黑体" w:cs="黑体"/>
                <w:b w:val="0"/>
                <w:bCs w:val="0"/>
                <w:i w:val="0"/>
                <w:iCs w:val="0"/>
                <w:color w:val="000000"/>
                <w:kern w:val="0"/>
                <w:sz w:val="21"/>
                <w:szCs w:val="21"/>
                <w:u w:val="none"/>
                <w:lang w:val="en-US" w:eastAsia="zh-CN" w:bidi="ar"/>
              </w:rPr>
              <w:t>类别</w:t>
            </w:r>
          </w:p>
        </w:tc>
        <w:tc>
          <w:tcPr>
            <w:tcW w:w="1642" w:type="pct"/>
            <w:gridSpan w:val="2"/>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b w:val="0"/>
                <w:bCs w:val="0"/>
                <w:i w:val="0"/>
                <w:iCs w:val="0"/>
                <w:color w:val="000000"/>
                <w:sz w:val="21"/>
                <w:szCs w:val="21"/>
                <w:u w:val="none"/>
              </w:rPr>
            </w:pPr>
            <w:r>
              <w:rPr>
                <w:rFonts w:hint="eastAsia" w:ascii="黑体" w:hAnsi="黑体" w:eastAsia="黑体" w:cs="黑体"/>
                <w:b w:val="0"/>
                <w:bCs w:val="0"/>
                <w:i w:val="0"/>
                <w:iCs w:val="0"/>
                <w:color w:val="000000"/>
                <w:kern w:val="0"/>
                <w:sz w:val="21"/>
                <w:szCs w:val="21"/>
                <w:u w:val="none"/>
                <w:lang w:val="en-US" w:eastAsia="zh-CN" w:bidi="ar"/>
              </w:rPr>
              <w:t>单位缴费</w:t>
            </w:r>
          </w:p>
        </w:tc>
        <w:tc>
          <w:tcPr>
            <w:tcW w:w="1090" w:type="pct"/>
            <w:gridSpan w:val="2"/>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b w:val="0"/>
                <w:bCs w:val="0"/>
                <w:i w:val="0"/>
                <w:iCs w:val="0"/>
                <w:color w:val="000000"/>
                <w:sz w:val="21"/>
                <w:szCs w:val="21"/>
                <w:u w:val="none"/>
              </w:rPr>
            </w:pPr>
            <w:r>
              <w:rPr>
                <w:rFonts w:hint="eastAsia" w:ascii="黑体" w:hAnsi="黑体" w:eastAsia="黑体" w:cs="黑体"/>
                <w:b w:val="0"/>
                <w:bCs w:val="0"/>
                <w:i w:val="0"/>
                <w:iCs w:val="0"/>
                <w:color w:val="000000"/>
                <w:kern w:val="0"/>
                <w:sz w:val="21"/>
                <w:szCs w:val="21"/>
                <w:u w:val="none"/>
                <w:lang w:val="en-US" w:eastAsia="zh-CN" w:bidi="ar"/>
              </w:rPr>
              <w:t>个人缴纳</w:t>
            </w:r>
          </w:p>
        </w:tc>
        <w:tc>
          <w:tcPr>
            <w:tcW w:w="708"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b w:val="0"/>
                <w:bCs w:val="0"/>
                <w:i w:val="0"/>
                <w:iCs w:val="0"/>
                <w:color w:val="000000"/>
                <w:sz w:val="21"/>
                <w:szCs w:val="21"/>
                <w:u w:val="none"/>
              </w:rPr>
            </w:pPr>
            <w:r>
              <w:rPr>
                <w:rFonts w:hint="eastAsia" w:ascii="黑体" w:hAnsi="黑体" w:eastAsia="黑体" w:cs="黑体"/>
                <w:b w:val="0"/>
                <w:bCs w:val="0"/>
                <w:i w:val="0"/>
                <w:iCs w:val="0"/>
                <w:color w:val="000000"/>
                <w:kern w:val="0"/>
                <w:sz w:val="21"/>
                <w:szCs w:val="21"/>
                <w:u w:val="none"/>
                <w:lang w:val="en-US" w:eastAsia="zh-CN" w:bidi="ar"/>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97" w:hRule="atLeast"/>
          <w:tblHeader/>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黑体" w:hAnsi="黑体" w:eastAsia="黑体" w:cs="黑体"/>
                <w:b w:val="0"/>
                <w:bCs w:val="0"/>
                <w:i w:val="0"/>
                <w:iCs w:val="0"/>
                <w:color w:val="000000"/>
                <w:sz w:val="21"/>
                <w:szCs w:val="21"/>
                <w:u w:val="none"/>
              </w:rPr>
            </w:pPr>
          </w:p>
        </w:tc>
        <w:tc>
          <w:tcPr>
            <w:tcW w:w="450"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黑体" w:hAnsi="黑体" w:eastAsia="黑体" w:cs="黑体"/>
                <w:b w:val="0"/>
                <w:bCs w:val="0"/>
                <w:i w:val="0"/>
                <w:iCs w:val="0"/>
                <w:color w:val="000000"/>
                <w:sz w:val="21"/>
                <w:szCs w:val="21"/>
                <w:u w:val="none"/>
              </w:rPr>
            </w:pPr>
          </w:p>
        </w:tc>
        <w:tc>
          <w:tcPr>
            <w:tcW w:w="559"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黑体" w:hAnsi="黑体" w:eastAsia="黑体" w:cs="黑体"/>
                <w:b w:val="0"/>
                <w:bCs w:val="0"/>
                <w:i w:val="0"/>
                <w:iCs w:val="0"/>
                <w:color w:val="000000"/>
                <w:sz w:val="21"/>
                <w:szCs w:val="21"/>
                <w:u w:val="none"/>
              </w:rPr>
            </w:pPr>
          </w:p>
        </w:tc>
        <w:tc>
          <w:tcPr>
            <w:tcW w:w="285"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黑体" w:hAnsi="黑体" w:eastAsia="黑体" w:cs="黑体"/>
                <w:b w:val="0"/>
                <w:bCs w:val="0"/>
                <w:i w:val="0"/>
                <w:iCs w:val="0"/>
                <w:color w:val="000000"/>
                <w:sz w:val="21"/>
                <w:szCs w:val="21"/>
                <w:u w:val="none"/>
              </w:rPr>
            </w:pPr>
          </w:p>
        </w:tc>
        <w:tc>
          <w:tcPr>
            <w:tcW w:w="944"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b w:val="0"/>
                <w:bCs w:val="0"/>
                <w:i w:val="0"/>
                <w:iCs w:val="0"/>
                <w:color w:val="000000"/>
                <w:sz w:val="21"/>
                <w:szCs w:val="21"/>
                <w:u w:val="none"/>
              </w:rPr>
            </w:pPr>
            <w:r>
              <w:rPr>
                <w:rFonts w:hint="eastAsia" w:ascii="黑体" w:hAnsi="黑体" w:eastAsia="黑体" w:cs="黑体"/>
                <w:b w:val="0"/>
                <w:bCs w:val="0"/>
                <w:i w:val="0"/>
                <w:iCs w:val="0"/>
                <w:color w:val="000000"/>
                <w:kern w:val="0"/>
                <w:sz w:val="21"/>
                <w:szCs w:val="21"/>
                <w:u w:val="none"/>
                <w:lang w:val="en-US" w:eastAsia="zh-CN" w:bidi="ar"/>
              </w:rPr>
              <w:t>基数</w:t>
            </w:r>
          </w:p>
        </w:tc>
        <w:tc>
          <w:tcPr>
            <w:tcW w:w="698"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b w:val="0"/>
                <w:bCs w:val="0"/>
                <w:i w:val="0"/>
                <w:iCs w:val="0"/>
                <w:color w:val="000000"/>
                <w:sz w:val="21"/>
                <w:szCs w:val="21"/>
                <w:u w:val="none"/>
              </w:rPr>
            </w:pPr>
            <w:r>
              <w:rPr>
                <w:rFonts w:hint="eastAsia" w:ascii="黑体" w:hAnsi="黑体" w:eastAsia="黑体" w:cs="黑体"/>
                <w:b w:val="0"/>
                <w:bCs w:val="0"/>
                <w:i w:val="0"/>
                <w:iCs w:val="0"/>
                <w:color w:val="000000"/>
                <w:kern w:val="0"/>
                <w:sz w:val="21"/>
                <w:szCs w:val="21"/>
                <w:u w:val="none"/>
                <w:lang w:val="en-US" w:eastAsia="zh-CN" w:bidi="ar"/>
              </w:rPr>
              <w:t>比例</w:t>
            </w:r>
          </w:p>
        </w:tc>
        <w:tc>
          <w:tcPr>
            <w:tcW w:w="790"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b w:val="0"/>
                <w:bCs w:val="0"/>
                <w:i w:val="0"/>
                <w:iCs w:val="0"/>
                <w:color w:val="000000"/>
                <w:sz w:val="21"/>
                <w:szCs w:val="21"/>
                <w:u w:val="none"/>
              </w:rPr>
            </w:pPr>
            <w:r>
              <w:rPr>
                <w:rFonts w:hint="eastAsia" w:ascii="黑体" w:hAnsi="黑体" w:eastAsia="黑体" w:cs="黑体"/>
                <w:b w:val="0"/>
                <w:bCs w:val="0"/>
                <w:i w:val="0"/>
                <w:iCs w:val="0"/>
                <w:color w:val="000000"/>
                <w:kern w:val="0"/>
                <w:sz w:val="21"/>
                <w:szCs w:val="21"/>
                <w:u w:val="none"/>
                <w:lang w:val="en-US" w:eastAsia="zh-CN" w:bidi="ar"/>
              </w:rPr>
              <w:t>基数</w:t>
            </w:r>
          </w:p>
        </w:tc>
        <w:tc>
          <w:tcPr>
            <w:tcW w:w="300"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黑体" w:hAnsi="黑体" w:eastAsia="黑体" w:cs="黑体"/>
                <w:b w:val="0"/>
                <w:bCs w:val="0"/>
                <w:i w:val="0"/>
                <w:iCs w:val="0"/>
                <w:color w:val="000000"/>
                <w:sz w:val="21"/>
                <w:szCs w:val="21"/>
                <w:u w:val="none"/>
              </w:rPr>
            </w:pPr>
            <w:r>
              <w:rPr>
                <w:rFonts w:hint="eastAsia" w:ascii="黑体" w:hAnsi="黑体" w:eastAsia="黑体" w:cs="黑体"/>
                <w:b w:val="0"/>
                <w:bCs w:val="0"/>
                <w:i w:val="0"/>
                <w:iCs w:val="0"/>
                <w:color w:val="000000"/>
                <w:kern w:val="0"/>
                <w:sz w:val="21"/>
                <w:szCs w:val="21"/>
                <w:u w:val="none"/>
                <w:lang w:val="en-US" w:eastAsia="zh-CN" w:bidi="ar"/>
              </w:rPr>
              <w:t>比例</w:t>
            </w:r>
          </w:p>
        </w:tc>
        <w:tc>
          <w:tcPr>
            <w:tcW w:w="708"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黑体" w:hAnsi="黑体" w:eastAsia="黑体" w:cs="黑体"/>
                <w:b w:val="0"/>
                <w:bCs w:val="0"/>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职工基本医疗保险</w:t>
            </w:r>
          </w:p>
        </w:tc>
        <w:tc>
          <w:tcPr>
            <w:tcW w:w="450"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一般老单位</w:t>
            </w:r>
          </w:p>
        </w:tc>
        <w:tc>
          <w:tcPr>
            <w:tcW w:w="559"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所有单位类型</w:t>
            </w:r>
          </w:p>
        </w:tc>
        <w:tc>
          <w:tcPr>
            <w:tcW w:w="285"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（省平工资60%保底拦头300%）</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8.5%</w:t>
            </w:r>
            <w:r>
              <w:rPr>
                <w:rFonts w:hint="eastAsia" w:ascii="Times New Roman" w:hAnsi="Times New Roman" w:eastAsia="宋体" w:cs="Times New Roman"/>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其中</w:t>
            </w:r>
            <w:r>
              <w:rPr>
                <w:rFonts w:hint="default" w:ascii="Times New Roman" w:hAnsi="Times New Roman" w:eastAsia="宋体" w:cs="Times New Roman"/>
                <w:i w:val="0"/>
                <w:iCs w:val="0"/>
                <w:color w:val="000000"/>
                <w:kern w:val="0"/>
                <w:sz w:val="21"/>
                <w:szCs w:val="21"/>
                <w:u w:val="none"/>
                <w:lang w:val="en-US" w:eastAsia="zh-CN" w:bidi="ar"/>
              </w:rPr>
              <w:t>0.5%</w:t>
            </w:r>
            <w:r>
              <w:rPr>
                <w:rFonts w:hint="eastAsia" w:ascii="宋体" w:hAnsi="宋体" w:eastAsia="宋体" w:cs="宋体"/>
                <w:i w:val="0"/>
                <w:iCs w:val="0"/>
                <w:color w:val="000000"/>
                <w:kern w:val="0"/>
                <w:sz w:val="21"/>
                <w:szCs w:val="21"/>
                <w:u w:val="none"/>
                <w:lang w:val="en-US" w:eastAsia="zh-CN" w:bidi="ar"/>
              </w:rPr>
              <w:t>基本医疗统筹划生育保险）</w:t>
            </w:r>
          </w:p>
        </w:tc>
        <w:tc>
          <w:tcPr>
            <w:tcW w:w="79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（省平工资60%保底拦头300%）</w:t>
            </w:r>
          </w:p>
        </w:tc>
        <w:tc>
          <w:tcPr>
            <w:tcW w:w="300"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450"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559"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285"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退休</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上年度12月份退休费</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79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450"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一般老单位（保留）</w:t>
            </w:r>
          </w:p>
        </w:tc>
        <w:tc>
          <w:tcPr>
            <w:tcW w:w="559"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所有单位类型</w:t>
            </w:r>
          </w:p>
        </w:tc>
        <w:tc>
          <w:tcPr>
            <w:tcW w:w="285"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（省平工资60%保底拦头300%）</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8.00%</w:t>
            </w:r>
          </w:p>
        </w:tc>
        <w:tc>
          <w:tcPr>
            <w:tcW w:w="79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（省平工资60%保底拦头300%）</w:t>
            </w:r>
          </w:p>
        </w:tc>
        <w:tc>
          <w:tcPr>
            <w:tcW w:w="300"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450"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559"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285"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退休</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上年度12月份退休费</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79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450"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困难老单位</w:t>
            </w:r>
          </w:p>
        </w:tc>
        <w:tc>
          <w:tcPr>
            <w:tcW w:w="559"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所有单位类型</w:t>
            </w:r>
          </w:p>
        </w:tc>
        <w:tc>
          <w:tcPr>
            <w:tcW w:w="285"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（省平工资60%保底拦头300%）</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6.1%</w:t>
            </w:r>
            <w:r>
              <w:rPr>
                <w:rFonts w:hint="eastAsia" w:ascii="宋体" w:hAnsi="宋体" w:eastAsia="宋体" w:cs="宋体"/>
                <w:i w:val="0"/>
                <w:iCs w:val="0"/>
                <w:color w:val="000000"/>
                <w:kern w:val="0"/>
                <w:sz w:val="21"/>
                <w:szCs w:val="21"/>
                <w:u w:val="none"/>
                <w:lang w:val="en-US" w:eastAsia="zh-CN" w:bidi="ar"/>
              </w:rPr>
              <w:t>（其中</w:t>
            </w:r>
            <w:r>
              <w:rPr>
                <w:rFonts w:hint="default" w:ascii="Times New Roman" w:hAnsi="Times New Roman" w:eastAsia="宋体" w:cs="Times New Roman"/>
                <w:i w:val="0"/>
                <w:iCs w:val="0"/>
                <w:color w:val="000000"/>
                <w:kern w:val="0"/>
                <w:sz w:val="21"/>
                <w:szCs w:val="21"/>
                <w:u w:val="none"/>
                <w:lang w:val="en-US" w:eastAsia="zh-CN" w:bidi="ar"/>
              </w:rPr>
              <w:t>0.5%</w:t>
            </w:r>
            <w:r>
              <w:rPr>
                <w:rFonts w:hint="eastAsia" w:ascii="宋体" w:hAnsi="宋体" w:eastAsia="宋体" w:cs="宋体"/>
                <w:i w:val="0"/>
                <w:iCs w:val="0"/>
                <w:color w:val="000000"/>
                <w:kern w:val="0"/>
                <w:sz w:val="21"/>
                <w:szCs w:val="21"/>
                <w:u w:val="none"/>
                <w:lang w:val="en-US" w:eastAsia="zh-CN" w:bidi="ar"/>
              </w:rPr>
              <w:t>基本医疗统筹划生育保险）</w:t>
            </w:r>
          </w:p>
        </w:tc>
        <w:tc>
          <w:tcPr>
            <w:tcW w:w="790"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450"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559"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285"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退休</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上年度12月份退休费</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790"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450"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困难老单位(保留)</w:t>
            </w:r>
          </w:p>
        </w:tc>
        <w:tc>
          <w:tcPr>
            <w:tcW w:w="559"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除破产改制企业外的所有单位</w:t>
            </w:r>
          </w:p>
        </w:tc>
        <w:tc>
          <w:tcPr>
            <w:tcW w:w="285"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（省平工资60%保底拦头300%）</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5.60%</w:t>
            </w:r>
          </w:p>
        </w:tc>
        <w:tc>
          <w:tcPr>
            <w:tcW w:w="790"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450"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559"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285"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退休</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上年度12月份退休费</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790"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trPr>
        <w:tc>
          <w:tcPr>
            <w:tcW w:w="263" w:type="pct"/>
            <w:vMerge w:val="restar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职工基本医疗保险</w:t>
            </w:r>
          </w:p>
        </w:tc>
        <w:tc>
          <w:tcPr>
            <w:tcW w:w="450"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特困企业</w:t>
            </w:r>
          </w:p>
        </w:tc>
        <w:tc>
          <w:tcPr>
            <w:tcW w:w="559"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集体特困企业</w:t>
            </w:r>
          </w:p>
        </w:tc>
        <w:tc>
          <w:tcPr>
            <w:tcW w:w="285"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省平工资</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5.6%</w:t>
            </w:r>
            <w:r>
              <w:rPr>
                <w:rFonts w:hint="eastAsia" w:ascii="宋体" w:hAnsi="宋体" w:eastAsia="宋体" w:cs="宋体"/>
                <w:i w:val="0"/>
                <w:iCs w:val="0"/>
                <w:color w:val="000000"/>
                <w:kern w:val="0"/>
                <w:sz w:val="21"/>
                <w:szCs w:val="21"/>
                <w:u w:val="none"/>
                <w:lang w:val="en-US" w:eastAsia="zh-CN" w:bidi="ar"/>
              </w:rPr>
              <w:t>（实缴</w:t>
            </w:r>
            <w:r>
              <w:rPr>
                <w:rFonts w:hint="default" w:ascii="Times New Roman" w:hAnsi="Times New Roman" w:eastAsia="宋体" w:cs="Times New Roman"/>
                <w:i w:val="0"/>
                <w:iCs w:val="0"/>
                <w:color w:val="000000"/>
                <w:kern w:val="0"/>
                <w:sz w:val="21"/>
                <w:szCs w:val="21"/>
                <w:u w:val="none"/>
                <w:lang w:val="en-US" w:eastAsia="zh-CN" w:bidi="ar"/>
              </w:rPr>
              <w:t>1.2</w:t>
            </w:r>
            <w:bookmarkStart w:id="0" w:name="_GoBack"/>
            <w:bookmarkEnd w:id="0"/>
            <w:r>
              <w:rPr>
                <w:rFonts w:hint="default" w:ascii="Times New Roman" w:hAnsi="Times New Roman" w:eastAsia="宋体" w:cs="Times New Roman"/>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，借款挂账</w:t>
            </w:r>
            <w:r>
              <w:rPr>
                <w:rFonts w:hint="default" w:ascii="Times New Roman" w:hAnsi="Times New Roman" w:eastAsia="宋体" w:cs="Times New Roman"/>
                <w:i w:val="0"/>
                <w:iCs w:val="0"/>
                <w:color w:val="000000"/>
                <w:kern w:val="0"/>
                <w:sz w:val="21"/>
                <w:szCs w:val="21"/>
                <w:u w:val="none"/>
                <w:lang w:val="en-US" w:eastAsia="zh-CN" w:bidi="ar"/>
              </w:rPr>
              <w:t>4.4%</w:t>
            </w:r>
            <w:r>
              <w:rPr>
                <w:rFonts w:hint="eastAsia" w:ascii="宋体" w:hAnsi="宋体" w:eastAsia="宋体" w:cs="宋体"/>
                <w:i w:val="0"/>
                <w:iCs w:val="0"/>
                <w:color w:val="000000"/>
                <w:kern w:val="0"/>
                <w:sz w:val="21"/>
                <w:szCs w:val="21"/>
                <w:u w:val="none"/>
                <w:lang w:val="en-US" w:eastAsia="zh-CN" w:bidi="ar"/>
              </w:rPr>
              <w:t>，挂账部分企业清算资产后一次性缴清）</w:t>
            </w:r>
          </w:p>
        </w:tc>
        <w:tc>
          <w:tcPr>
            <w:tcW w:w="790"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450"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559"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285"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退休</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省平工资</w:t>
            </w:r>
          </w:p>
        </w:tc>
        <w:tc>
          <w:tcPr>
            <w:tcW w:w="698"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790"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450"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559"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国有特困企业</w:t>
            </w:r>
          </w:p>
        </w:tc>
        <w:tc>
          <w:tcPr>
            <w:tcW w:w="285"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省平工资</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5.60%</w:t>
            </w:r>
          </w:p>
        </w:tc>
        <w:tc>
          <w:tcPr>
            <w:tcW w:w="790"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实缴1.2%，借款挂账4.4%，挂账部分企业清算资产后一次性缴清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450"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559"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285"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退休</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省平工资</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790"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45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部分退役</w:t>
            </w:r>
          </w:p>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军人</w:t>
            </w:r>
          </w:p>
        </w:tc>
        <w:tc>
          <w:tcPr>
            <w:tcW w:w="559"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部分退役军人</w:t>
            </w: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省平工资60%</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8.00%</w:t>
            </w:r>
          </w:p>
        </w:tc>
        <w:tc>
          <w:tcPr>
            <w:tcW w:w="79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省平工资60%</w:t>
            </w:r>
          </w:p>
        </w:tc>
        <w:tc>
          <w:tcPr>
            <w:tcW w:w="300"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p>
        </w:tc>
        <w:tc>
          <w:tcPr>
            <w:tcW w:w="70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部分退役军人补缴，要按补缴当年年龄划个人账户。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450"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军转干部（新增）</w:t>
            </w:r>
          </w:p>
        </w:tc>
        <w:tc>
          <w:tcPr>
            <w:tcW w:w="559"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改制在职军转干部、非改制在职军转干部、改制退休军转干部、非改制退休军转干部、买断军转干部</w:t>
            </w: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（省平工资60%保底拦头300%）</w:t>
            </w:r>
          </w:p>
        </w:tc>
        <w:tc>
          <w:tcPr>
            <w:tcW w:w="698"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8.00%</w:t>
            </w:r>
          </w:p>
        </w:tc>
        <w:tc>
          <w:tcPr>
            <w:tcW w:w="79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（省平工资60%保底拦头300%）</w:t>
            </w:r>
          </w:p>
        </w:tc>
        <w:tc>
          <w:tcPr>
            <w:tcW w:w="300"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450"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559"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退休、提前退休</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（省平工资60%保底拦头300%）</w:t>
            </w:r>
          </w:p>
        </w:tc>
        <w:tc>
          <w:tcPr>
            <w:tcW w:w="698"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8.00%</w:t>
            </w:r>
          </w:p>
        </w:tc>
        <w:tc>
          <w:tcPr>
            <w:tcW w:w="790"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4"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45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伤残军人</w:t>
            </w:r>
          </w:p>
        </w:tc>
        <w:tc>
          <w:tcPr>
            <w:tcW w:w="559"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伤残军人单位</w:t>
            </w: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在职、退休、提前退休</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（省平工资，保底拦头300%）</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8.00%</w:t>
            </w:r>
          </w:p>
        </w:tc>
        <w:tc>
          <w:tcPr>
            <w:tcW w:w="790"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restar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职工基本医疗保险</w:t>
            </w:r>
          </w:p>
        </w:tc>
        <w:tc>
          <w:tcPr>
            <w:tcW w:w="45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公益性破产改制灵活就业人员</w:t>
            </w:r>
          </w:p>
        </w:tc>
        <w:tc>
          <w:tcPr>
            <w:tcW w:w="559"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灵活就业人员</w:t>
            </w: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p>
        </w:tc>
        <w:tc>
          <w:tcPr>
            <w:tcW w:w="944"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698"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宋体" w:cs="Times New Roman"/>
                <w:i w:val="0"/>
                <w:iCs w:val="0"/>
                <w:color w:val="000000"/>
                <w:sz w:val="21"/>
                <w:szCs w:val="21"/>
                <w:u w:val="none"/>
              </w:rPr>
            </w:pPr>
          </w:p>
        </w:tc>
        <w:tc>
          <w:tcPr>
            <w:tcW w:w="79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省平工资60%</w:t>
            </w:r>
          </w:p>
        </w:tc>
        <w:tc>
          <w:tcPr>
            <w:tcW w:w="300"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5.6%</w:t>
            </w: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45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普通灵活就业人员</w:t>
            </w:r>
          </w:p>
        </w:tc>
        <w:tc>
          <w:tcPr>
            <w:tcW w:w="559"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灵活就业人员</w:t>
            </w: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p>
        </w:tc>
        <w:tc>
          <w:tcPr>
            <w:tcW w:w="944"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698"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宋体" w:cs="Times New Roman"/>
                <w:i w:val="0"/>
                <w:iCs w:val="0"/>
                <w:color w:val="000000"/>
                <w:sz w:val="21"/>
                <w:szCs w:val="21"/>
                <w:u w:val="none"/>
              </w:rPr>
            </w:pPr>
          </w:p>
        </w:tc>
        <w:tc>
          <w:tcPr>
            <w:tcW w:w="79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省平工资60%</w:t>
            </w:r>
          </w:p>
        </w:tc>
        <w:tc>
          <w:tcPr>
            <w:tcW w:w="300"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w:t>
            </w: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450"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单基数单位</w:t>
            </w:r>
          </w:p>
        </w:tc>
        <w:tc>
          <w:tcPr>
            <w:tcW w:w="559"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单基数单位</w:t>
            </w: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（省平工资60%保底拦头300%）</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8.5%</w:t>
            </w:r>
            <w:r>
              <w:rPr>
                <w:rFonts w:hint="eastAsia" w:ascii="Times New Roman" w:hAnsi="Times New Roman" w:eastAsia="宋体" w:cs="Times New Roman"/>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其中</w:t>
            </w:r>
            <w:r>
              <w:rPr>
                <w:rFonts w:hint="default" w:ascii="Times New Roman" w:hAnsi="Times New Roman" w:eastAsia="宋体" w:cs="Times New Roman"/>
                <w:i w:val="0"/>
                <w:iCs w:val="0"/>
                <w:color w:val="000000"/>
                <w:kern w:val="0"/>
                <w:sz w:val="21"/>
                <w:szCs w:val="21"/>
                <w:u w:val="none"/>
                <w:lang w:val="en-US" w:eastAsia="zh-CN" w:bidi="ar"/>
              </w:rPr>
              <w:t>0.5%</w:t>
            </w:r>
          </w:p>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基本医疗统筹划</w:t>
            </w:r>
          </w:p>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生育保险）</w:t>
            </w:r>
          </w:p>
        </w:tc>
        <w:tc>
          <w:tcPr>
            <w:tcW w:w="79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（省平工资60%保底拦头300%）</w:t>
            </w:r>
          </w:p>
        </w:tc>
        <w:tc>
          <w:tcPr>
            <w:tcW w:w="300"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450"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559"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退休</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上年度12月份退休费</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79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450"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老干配偶</w:t>
            </w:r>
          </w:p>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单位</w:t>
            </w:r>
          </w:p>
        </w:tc>
        <w:tc>
          <w:tcPr>
            <w:tcW w:w="559"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所有单位类型</w:t>
            </w: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（省平工资保底，拦头300%）</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8.00%</w:t>
            </w:r>
          </w:p>
        </w:tc>
        <w:tc>
          <w:tcPr>
            <w:tcW w:w="79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（省平工资保底，拦头300%）</w:t>
            </w:r>
          </w:p>
        </w:tc>
        <w:tc>
          <w:tcPr>
            <w:tcW w:w="300"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p>
        </w:tc>
        <w:tc>
          <w:tcPr>
            <w:tcW w:w="70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按年一次性收费。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450"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559"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退休</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省平工资60%</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79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1、按年一次性收费，按上年退休人平医药费计算当年应交费用。2、一次性趸缴费用的，每年只需缴纳大病互助费。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450"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军队离退休干部</w:t>
            </w:r>
          </w:p>
        </w:tc>
        <w:tc>
          <w:tcPr>
            <w:tcW w:w="559"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所有单位类型</w:t>
            </w:r>
          </w:p>
        </w:tc>
        <w:tc>
          <w:tcPr>
            <w:tcW w:w="285"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（拦头300%）</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8.5%</w:t>
            </w:r>
            <w:r>
              <w:rPr>
                <w:rFonts w:hint="eastAsia" w:ascii="Times New Roman" w:hAnsi="Times New Roman" w:eastAsia="宋体" w:cs="Times New Roman"/>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其中</w:t>
            </w:r>
            <w:r>
              <w:rPr>
                <w:rFonts w:hint="default" w:ascii="Times New Roman" w:hAnsi="Times New Roman" w:eastAsia="宋体" w:cs="Times New Roman"/>
                <w:i w:val="0"/>
                <w:iCs w:val="0"/>
                <w:color w:val="000000"/>
                <w:kern w:val="0"/>
                <w:sz w:val="21"/>
                <w:szCs w:val="21"/>
                <w:u w:val="none"/>
                <w:lang w:val="en-US" w:eastAsia="zh-CN" w:bidi="ar"/>
              </w:rPr>
              <w:t>0.5%</w:t>
            </w:r>
          </w:p>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基本医疗统筹划</w:t>
            </w:r>
          </w:p>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生育保险）</w:t>
            </w:r>
          </w:p>
        </w:tc>
        <w:tc>
          <w:tcPr>
            <w:tcW w:w="79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（省平工资60%保底拦头300%）</w:t>
            </w:r>
          </w:p>
        </w:tc>
        <w:tc>
          <w:tcPr>
            <w:tcW w:w="300"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p>
        </w:tc>
        <w:tc>
          <w:tcPr>
            <w:tcW w:w="708"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both"/>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450"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559"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提前退休、退休</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上年度12月份退休费</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79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宋体" w:cs="Times New Roman"/>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1、按年一次性收费，按上年退休人平医药费计算当年应交费用。2、一次性趸缴费用的，每年只缴纳大病互助费。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restar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职工基本医疗保险</w:t>
            </w:r>
          </w:p>
        </w:tc>
        <w:tc>
          <w:tcPr>
            <w:tcW w:w="450"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伤残军人</w:t>
            </w:r>
          </w:p>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单位</w:t>
            </w:r>
          </w:p>
        </w:tc>
        <w:tc>
          <w:tcPr>
            <w:tcW w:w="559"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所有单位类型</w:t>
            </w: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（省平工资保底，保底拦头300%）</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8.00%</w:t>
            </w:r>
          </w:p>
        </w:tc>
        <w:tc>
          <w:tcPr>
            <w:tcW w:w="790"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宋体" w:cs="Times New Roman"/>
                <w:i w:val="0"/>
                <w:iCs w:val="0"/>
                <w:color w:val="000000"/>
                <w:sz w:val="21"/>
                <w:szCs w:val="21"/>
                <w:u w:val="none"/>
              </w:rPr>
            </w:pPr>
          </w:p>
        </w:tc>
        <w:tc>
          <w:tcPr>
            <w:tcW w:w="708" w:type="pct"/>
            <w:vMerge w:val="restar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both"/>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450" w:type="pct"/>
            <w:vMerge w:val="continue"/>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559" w:type="pct"/>
            <w:vMerge w:val="continue"/>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退休</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（省平工资保底，保底拦头300%）</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8.00%</w:t>
            </w:r>
          </w:p>
        </w:tc>
        <w:tc>
          <w:tcPr>
            <w:tcW w:w="79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宋体" w:cs="Times New Roman"/>
                <w:i w:val="0"/>
                <w:iCs w:val="0"/>
                <w:color w:val="000000"/>
                <w:sz w:val="21"/>
                <w:szCs w:val="21"/>
                <w:u w:val="none"/>
              </w:rPr>
            </w:pPr>
          </w:p>
        </w:tc>
        <w:tc>
          <w:tcPr>
            <w:tcW w:w="708"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450" w:type="pct"/>
            <w:vMerge w:val="continue"/>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559" w:type="pct"/>
            <w:vMerge w:val="continue"/>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kern w:val="0"/>
                <w:sz w:val="21"/>
                <w:szCs w:val="21"/>
                <w:u w:val="none"/>
                <w:lang w:val="en-US" w:eastAsia="zh-CN" w:bidi="ar"/>
              </w:rPr>
            </w:pP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提前退休</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（省平工资保底，保底拦头300%）</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8.00%</w:t>
            </w:r>
          </w:p>
        </w:tc>
        <w:tc>
          <w:tcPr>
            <w:tcW w:w="79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宋体" w:cs="Times New Roman"/>
                <w:i w:val="0"/>
                <w:iCs w:val="0"/>
                <w:color w:val="000000"/>
                <w:sz w:val="21"/>
                <w:szCs w:val="21"/>
                <w:u w:val="none"/>
              </w:rPr>
            </w:pPr>
          </w:p>
        </w:tc>
        <w:tc>
          <w:tcPr>
            <w:tcW w:w="708"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450"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失业人员</w:t>
            </w:r>
          </w:p>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单位</w:t>
            </w:r>
          </w:p>
        </w:tc>
        <w:tc>
          <w:tcPr>
            <w:tcW w:w="559"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所有单位类型</w:t>
            </w:r>
          </w:p>
        </w:tc>
        <w:tc>
          <w:tcPr>
            <w:tcW w:w="285"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（省平工资保60%底，保底拦头300%）</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8.00%</w:t>
            </w:r>
          </w:p>
        </w:tc>
        <w:tc>
          <w:tcPr>
            <w:tcW w:w="790"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宋体" w:cs="Times New Roman"/>
                <w:i w:val="0"/>
                <w:iCs w:val="0"/>
                <w:color w:val="000000"/>
                <w:sz w:val="21"/>
                <w:szCs w:val="21"/>
                <w:u w:val="none"/>
              </w:rPr>
            </w:pPr>
          </w:p>
        </w:tc>
        <w:tc>
          <w:tcPr>
            <w:tcW w:w="708" w:type="pct"/>
            <w:vMerge w:val="restar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450"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strike/>
                <w:color w:val="000000"/>
                <w:sz w:val="21"/>
                <w:szCs w:val="21"/>
              </w:rPr>
            </w:pPr>
          </w:p>
        </w:tc>
        <w:tc>
          <w:tcPr>
            <w:tcW w:w="559"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285"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（省平工资60%保底拦头300%）</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8.00%</w:t>
            </w:r>
          </w:p>
        </w:tc>
        <w:tc>
          <w:tcPr>
            <w:tcW w:w="790"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宋体" w:cs="Times New Roman"/>
                <w:i w:val="0"/>
                <w:iCs w:val="0"/>
                <w:color w:val="000000"/>
                <w:sz w:val="21"/>
                <w:szCs w:val="21"/>
                <w:u w:val="none"/>
              </w:rPr>
            </w:pPr>
          </w:p>
        </w:tc>
        <w:tc>
          <w:tcPr>
            <w:tcW w:w="708"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450"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退休特殊计算单位</w:t>
            </w:r>
          </w:p>
        </w:tc>
        <w:tc>
          <w:tcPr>
            <w:tcW w:w="559"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所有单位类型</w:t>
            </w: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（省平工资60%保底拦头300%）</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8.5%(</w:t>
            </w:r>
            <w:r>
              <w:rPr>
                <w:rFonts w:hint="eastAsia" w:ascii="宋体" w:hAnsi="宋体" w:eastAsia="宋体" w:cs="宋体"/>
                <w:i w:val="0"/>
                <w:iCs w:val="0"/>
                <w:color w:val="000000"/>
                <w:kern w:val="0"/>
                <w:sz w:val="21"/>
                <w:szCs w:val="21"/>
                <w:u w:val="none"/>
                <w:lang w:val="en-US" w:eastAsia="zh-CN" w:bidi="ar"/>
              </w:rPr>
              <w:t>其中</w:t>
            </w:r>
            <w:r>
              <w:rPr>
                <w:rFonts w:hint="default" w:ascii="Times New Roman" w:hAnsi="Times New Roman" w:eastAsia="宋体" w:cs="Times New Roman"/>
                <w:i w:val="0"/>
                <w:iCs w:val="0"/>
                <w:color w:val="000000"/>
                <w:kern w:val="0"/>
                <w:sz w:val="21"/>
                <w:szCs w:val="21"/>
                <w:u w:val="none"/>
                <w:lang w:val="en-US" w:eastAsia="zh-CN" w:bidi="ar"/>
              </w:rPr>
              <w:t xml:space="preserve"> 0.5%</w:t>
            </w:r>
            <w:r>
              <w:rPr>
                <w:rFonts w:hint="eastAsia" w:ascii="宋体" w:hAnsi="宋体" w:eastAsia="宋体" w:cs="宋体"/>
                <w:i w:val="0"/>
                <w:iCs w:val="0"/>
                <w:color w:val="000000"/>
                <w:kern w:val="0"/>
                <w:sz w:val="21"/>
                <w:szCs w:val="21"/>
                <w:u w:val="none"/>
                <w:lang w:val="en-US" w:eastAsia="zh-CN" w:bidi="ar"/>
              </w:rPr>
              <w:t>基本医疗统筹划生育保险）</w:t>
            </w:r>
          </w:p>
        </w:tc>
        <w:tc>
          <w:tcPr>
            <w:tcW w:w="79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个人工资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（省平工资60%保底拦头300%）</w:t>
            </w:r>
          </w:p>
        </w:tc>
        <w:tc>
          <w:tcPr>
            <w:tcW w:w="300"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p>
        </w:tc>
        <w:tc>
          <w:tcPr>
            <w:tcW w:w="708"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450"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559"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退休</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个人退休费(省平工资300%拦头)</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3.40%</w:t>
            </w:r>
          </w:p>
        </w:tc>
        <w:tc>
          <w:tcPr>
            <w:tcW w:w="79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45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改制企业</w:t>
            </w:r>
          </w:p>
        </w:tc>
        <w:tc>
          <w:tcPr>
            <w:tcW w:w="559"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破产改制企业</w:t>
            </w: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在职、退休、提前退休</w:t>
            </w:r>
          </w:p>
        </w:tc>
        <w:tc>
          <w:tcPr>
            <w:tcW w:w="1642" w:type="pct"/>
            <w:gridSpan w:val="2"/>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改制时一次性征收：</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1.按上年退休人平医药费/人标准计算10年缴费；困难的可按16800元/人标准计算缴费；</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2.伤残军人一次性征收5万，老干配偶遗孀一次性征收2.3万；</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3.参保重病、失能职工每人3万；</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4.大病互助欠费；</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5.改制前欠费滞纳金。</w:t>
            </w:r>
          </w:p>
        </w:tc>
        <w:tc>
          <w:tcPr>
            <w:tcW w:w="79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宋体" w:cs="Times New Roman"/>
                <w:i w:val="0"/>
                <w:iCs w:val="0"/>
                <w:color w:val="000000"/>
                <w:sz w:val="21"/>
                <w:szCs w:val="21"/>
                <w:u w:val="none"/>
              </w:rPr>
            </w:pPr>
          </w:p>
        </w:tc>
        <w:tc>
          <w:tcPr>
            <w:tcW w:w="300"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708"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职工基本医疗保险</w:t>
            </w:r>
          </w:p>
        </w:tc>
        <w:tc>
          <w:tcPr>
            <w:tcW w:w="45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省属破产改制企业</w:t>
            </w:r>
          </w:p>
        </w:tc>
        <w:tc>
          <w:tcPr>
            <w:tcW w:w="559"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省属破产改制企业</w:t>
            </w: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在职、退休、提前退休</w:t>
            </w:r>
          </w:p>
        </w:tc>
        <w:tc>
          <w:tcPr>
            <w:tcW w:w="1642" w:type="pct"/>
            <w:gridSpan w:val="2"/>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缴费标准统一以上年度省平工资为基数，单位缴费按6%费率缴纳，个人缴费部分按照2%缴纳（原则上由个人承担，有条件的也可由母公司或主管部门代为缴纳。大病互助费按照统筹地区缴费标准由个人承担并缴纳。基本医疗保险单位缴费、个人缴费和大病互助费原则上一次性缴足10年。”</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2.伤残军人一次性征收5万，老干配偶遗孀一次性征收2.3万；</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3、参保重病、失能职工每人3万；</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4、大病互助欠费；</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5、改制前欠费滞纳金。</w:t>
            </w:r>
          </w:p>
        </w:tc>
        <w:tc>
          <w:tcPr>
            <w:tcW w:w="79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职工大病医疗互助</w:t>
            </w:r>
          </w:p>
        </w:tc>
        <w:tc>
          <w:tcPr>
            <w:tcW w:w="45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单建统筹8%单位、改制企业</w:t>
            </w:r>
          </w:p>
        </w:tc>
        <w:tc>
          <w:tcPr>
            <w:tcW w:w="559"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所有单位类型</w:t>
            </w: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在职、退休、提前退休</w:t>
            </w:r>
          </w:p>
        </w:tc>
        <w:tc>
          <w:tcPr>
            <w:tcW w:w="944"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69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宋体" w:cs="Times New Roman"/>
                <w:i w:val="0"/>
                <w:iCs w:val="0"/>
                <w:color w:val="000000"/>
                <w:sz w:val="21"/>
                <w:szCs w:val="21"/>
                <w:u w:val="none"/>
              </w:rPr>
            </w:pPr>
          </w:p>
        </w:tc>
        <w:tc>
          <w:tcPr>
            <w:tcW w:w="79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150元/年</w:t>
            </w:r>
          </w:p>
        </w:tc>
        <w:tc>
          <w:tcPr>
            <w:tcW w:w="300"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100%</w:t>
            </w: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45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军转干部单位、失业人员单位</w:t>
            </w:r>
          </w:p>
        </w:tc>
        <w:tc>
          <w:tcPr>
            <w:tcW w:w="559"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所有单位类型</w:t>
            </w: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在职、退休、提前退休</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150元/年</w:t>
            </w:r>
          </w:p>
        </w:tc>
        <w:tc>
          <w:tcPr>
            <w:tcW w:w="698"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100.00%</w:t>
            </w:r>
          </w:p>
        </w:tc>
        <w:tc>
          <w:tcPr>
            <w:tcW w:w="790"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083"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c>
          <w:tcPr>
            <w:tcW w:w="45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pacing w:val="-11"/>
                <w:kern w:val="0"/>
                <w:sz w:val="21"/>
                <w:szCs w:val="21"/>
                <w:u w:val="none"/>
                <w:lang w:val="en-US" w:eastAsia="zh-CN" w:bidi="ar"/>
              </w:rPr>
              <w:t>除（单建统筹8%单位、改制企业、改制军转干部、非改制军转干部、失业人员单位）外的单位</w:t>
            </w:r>
          </w:p>
        </w:tc>
        <w:tc>
          <w:tcPr>
            <w:tcW w:w="559"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所有单位类型</w:t>
            </w: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退休</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提前退休</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75元/年</w:t>
            </w:r>
          </w:p>
        </w:tc>
        <w:tc>
          <w:tcPr>
            <w:tcW w:w="698"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100.00%</w:t>
            </w:r>
          </w:p>
        </w:tc>
        <w:tc>
          <w:tcPr>
            <w:tcW w:w="79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75元/年</w:t>
            </w:r>
          </w:p>
        </w:tc>
        <w:tc>
          <w:tcPr>
            <w:tcW w:w="300"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100%</w:t>
            </w: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职工大病医疗互助</w:t>
            </w:r>
          </w:p>
        </w:tc>
        <w:tc>
          <w:tcPr>
            <w:tcW w:w="45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公益性破产改制灵活就业人员、普通灵活就业人员、部分退役军人</w:t>
            </w:r>
          </w:p>
        </w:tc>
        <w:tc>
          <w:tcPr>
            <w:tcW w:w="559"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灵活就业人员</w:t>
            </w: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在职、退休</w:t>
            </w:r>
          </w:p>
        </w:tc>
        <w:tc>
          <w:tcPr>
            <w:tcW w:w="944"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698"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000000"/>
                <w:sz w:val="21"/>
                <w:szCs w:val="21"/>
                <w:u w:val="none"/>
              </w:rPr>
            </w:pPr>
          </w:p>
        </w:tc>
        <w:tc>
          <w:tcPr>
            <w:tcW w:w="790"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150元/年</w:t>
            </w:r>
          </w:p>
        </w:tc>
        <w:tc>
          <w:tcPr>
            <w:tcW w:w="300" w:type="pct"/>
            <w:tcBorders>
              <w:tl2br w:val="nil"/>
              <w:tr2bl w:val="nil"/>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100%</w:t>
            </w: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67" w:hRule="atLeast"/>
        </w:trPr>
        <w:tc>
          <w:tcPr>
            <w:tcW w:w="263"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公务员医疗补助</w:t>
            </w:r>
          </w:p>
        </w:tc>
        <w:tc>
          <w:tcPr>
            <w:tcW w:w="450"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公务员补助单位</w:t>
            </w:r>
          </w:p>
        </w:tc>
        <w:tc>
          <w:tcPr>
            <w:tcW w:w="559" w:type="pct"/>
            <w:vMerge w:val="restar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参公单位、机关单位</w:t>
            </w: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上年度公务员基本工资总额（不含津补贴）</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5.00%</w:t>
            </w:r>
          </w:p>
        </w:tc>
        <w:tc>
          <w:tcPr>
            <w:tcW w:w="790"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263"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450"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559" w:type="pct"/>
            <w:vMerge w:val="continue"/>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285"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退休、提前退休</w:t>
            </w:r>
          </w:p>
        </w:tc>
        <w:tc>
          <w:tcPr>
            <w:tcW w:w="944"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上年度退休金总额（不含津补贴）</w:t>
            </w:r>
          </w:p>
        </w:tc>
        <w:tc>
          <w:tcPr>
            <w:tcW w:w="698" w:type="pct"/>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5.00%</w:t>
            </w:r>
          </w:p>
        </w:tc>
        <w:tc>
          <w:tcPr>
            <w:tcW w:w="790" w:type="pc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300"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000000"/>
                <w:sz w:val="21"/>
                <w:szCs w:val="21"/>
                <w:u w:val="none"/>
              </w:rPr>
            </w:pPr>
          </w:p>
        </w:tc>
        <w:tc>
          <w:tcPr>
            <w:tcW w:w="708" w:type="pct"/>
            <w:tcBorders>
              <w:tl2br w:val="nil"/>
              <w:tr2bl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r>
    </w:tbl>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说明：</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1.灵活就业人员补缴基数按省平工资100%计取；</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2.公务员补助按照基本工资5%计取，单位在税务系统申报公务员补助时应填报基本工资金额；</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3.参保中断一年以上职工补缴基数按省平工资100%计取；</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4.新参保或续保职工待遇等待期从缴费次月1日起2个月后享受待遇；</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5.在职转退休办理条件：</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（1）达到法定退休年龄并办理退休手续。</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（2）参加基本医疗累计缴费年限最低为男满30年，女满25年。其中2003年1月1日以前符合国家连续规定的工龄或者基本养老保险缴费年限，视同基本医疗保险缴费年限。</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（3）2003年1月1日以后，基本医疗保险缴费年限从参保缴费之日起开始计算。邵阳本统筹区实际缴费年限满十年。</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（4）不足规定年限的，由用人单位和个人按上年度省平工资为基数按规定比例一次性补缴至规定年限后，方可享受退休人员医疗保险待遇。</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灵活就业人员办理退休时，其基本医疗保险费中符合有关政策规定的视同年限和实际缴费年限相加必须男满30年、女满25年，其中实际缴费年限须满10年，方可享受退休人员基本医疗保险待遇，不足规定年限的，由参保人员按规定一次性补缴至规定年限后，方可享受退休人员医疗保险待遇。</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6.退休人员个人退休费，原则上取上年12月份退休费。退休费是指由养老保险经办机构发放的养老金；或以组织、人社部门核准的退休费（不含补发之前月养老金）。</w:t>
      </w:r>
    </w:p>
    <w:p>
      <w:pPr>
        <w:rPr>
          <w:rFonts w:hint="eastAsia"/>
        </w:rPr>
      </w:pPr>
    </w:p>
    <w:sectPr>
      <w:footerReference r:id="rId3" w:type="default"/>
      <w:pgSz w:w="16838" w:h="11906" w:orient="landscape"/>
      <w:pgMar w:top="1701" w:right="1417" w:bottom="1417" w:left="1417" w:header="851" w:footer="1134" w:gutter="0"/>
      <w:pgBorders w:offsetFrom="page">
        <w:top w:val="none" w:sz="0" w:space="0"/>
        <w:left w:val="none" w:sz="0" w:space="0"/>
        <w:bottom w:val="none" w:sz="0" w:space="0"/>
        <w:right w:val="none" w:sz="0" w:space="0"/>
      </w:pgBorders>
      <w:pgNumType w:fmt="decimal"/>
      <w:cols w:space="0" w:num="1"/>
      <w:rtlGutter w:val="0"/>
      <w:docGrid w:type="lines" w:linePitch="31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简体">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w:pict>
        <v:shape id="_x0000_s2049" o:spid="_x0000_s2049" o:spt="202" type="#_x0000_t202" style="position:absolute;left:0pt;margin-top:0pt;height:144pt;width:144pt;mso-position-horizontal:outside;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2"/>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eastAsia="zh-CN"/>
                  </w:rPr>
                  <w:t>—</w:t>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rsids>
    <w:rsidRoot w:val="00557B3A"/>
    <w:rsid w:val="00064D5E"/>
    <w:rsid w:val="001D5C57"/>
    <w:rsid w:val="0020038C"/>
    <w:rsid w:val="0029584B"/>
    <w:rsid w:val="002B6DB3"/>
    <w:rsid w:val="00410D6E"/>
    <w:rsid w:val="004143AC"/>
    <w:rsid w:val="00454FCC"/>
    <w:rsid w:val="00536CE9"/>
    <w:rsid w:val="0055342C"/>
    <w:rsid w:val="00557B3A"/>
    <w:rsid w:val="0056759D"/>
    <w:rsid w:val="005C3120"/>
    <w:rsid w:val="0062323D"/>
    <w:rsid w:val="00710C11"/>
    <w:rsid w:val="00781DA2"/>
    <w:rsid w:val="007D3C65"/>
    <w:rsid w:val="008122A9"/>
    <w:rsid w:val="00843747"/>
    <w:rsid w:val="0088676B"/>
    <w:rsid w:val="00890578"/>
    <w:rsid w:val="00925545"/>
    <w:rsid w:val="00A829C8"/>
    <w:rsid w:val="00AA1D24"/>
    <w:rsid w:val="00AD4FE6"/>
    <w:rsid w:val="00B64B35"/>
    <w:rsid w:val="00BE7E20"/>
    <w:rsid w:val="00BF7F84"/>
    <w:rsid w:val="00C26AA4"/>
    <w:rsid w:val="00C6367C"/>
    <w:rsid w:val="00DD4170"/>
    <w:rsid w:val="00EA39E2"/>
    <w:rsid w:val="00EC5E4D"/>
    <w:rsid w:val="00EC7D50"/>
    <w:rsid w:val="00ED2B61"/>
    <w:rsid w:val="00F001EC"/>
    <w:rsid w:val="00F91F7A"/>
    <w:rsid w:val="00FA7EB5"/>
    <w:rsid w:val="0A867031"/>
    <w:rsid w:val="15567A4F"/>
    <w:rsid w:val="1A5B5ED0"/>
    <w:rsid w:val="2E9B21F9"/>
    <w:rsid w:val="30ED7964"/>
    <w:rsid w:val="37AD2317"/>
    <w:rsid w:val="38C32DB7"/>
    <w:rsid w:val="3AD149F8"/>
    <w:rsid w:val="4A487EE9"/>
    <w:rsid w:val="4A5B0858"/>
    <w:rsid w:val="4D346CFB"/>
    <w:rsid w:val="59863E47"/>
    <w:rsid w:val="5EB0424F"/>
    <w:rsid w:val="5F170172"/>
    <w:rsid w:val="6D9849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next w:val="3"/>
    <w:qFormat/>
    <w:uiPriority w:val="99"/>
    <w:pPr>
      <w:tabs>
        <w:tab w:val="center" w:pos="4153"/>
        <w:tab w:val="right" w:pos="8306"/>
      </w:tabs>
      <w:snapToGrid w:val="0"/>
      <w:jc w:val="left"/>
    </w:pPr>
    <w:rPr>
      <w:sz w:val="18"/>
      <w:szCs w:val="18"/>
    </w:rPr>
  </w:style>
  <w:style w:type="paragraph" w:styleId="3">
    <w:name w:val="index 5"/>
    <w:basedOn w:val="1"/>
    <w:next w:val="1"/>
    <w:qFormat/>
    <w:uiPriority w:val="0"/>
    <w:pPr>
      <w:ind w:left="1680"/>
    </w:pPr>
    <w:rPr>
      <w:rFonts w:eastAsia="宋体"/>
    </w:rPr>
  </w:style>
  <w:style w:type="paragraph" w:styleId="4">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8">
    <w:name w:val="Default"/>
    <w:uiPriority w:val="0"/>
    <w:pPr>
      <w:widowControl w:val="0"/>
      <w:autoSpaceDE w:val="0"/>
      <w:autoSpaceDN w:val="0"/>
      <w:adjustRightInd w:val="0"/>
    </w:pPr>
    <w:rPr>
      <w:rFonts w:ascii="方正仿宋简体" w:hAnsi="方正仿宋简体" w:eastAsia="方正仿宋简体" w:cs="Times New Roman"/>
      <w:color w:val="000000"/>
      <w:sz w:val="24"/>
      <w:szCs w:val="22"/>
      <w:lang w:val="en-US" w:eastAsia="zh-CN" w:bidi="ar-SA"/>
    </w:rPr>
  </w:style>
  <w:style w:type="paragraph" w:styleId="9">
    <w:name w:val="List Paragraph"/>
    <w:basedOn w:val="1"/>
    <w:unhideWhenUsed/>
    <w:qFormat/>
    <w:uiPriority w:val="99"/>
    <w:pPr>
      <w:ind w:firstLine="420" w:firstLineChars="200"/>
    </w:pPr>
  </w:style>
  <w:style w:type="character" w:customStyle="1" w:styleId="10">
    <w:name w:val="页眉 Char"/>
    <w:basedOn w:val="7"/>
    <w:link w:val="4"/>
    <w:uiPriority w:val="0"/>
    <w:rPr>
      <w:kern w:val="2"/>
      <w:sz w:val="18"/>
      <w:szCs w:val="18"/>
    </w:rPr>
  </w:style>
  <w:style w:type="character" w:customStyle="1" w:styleId="11">
    <w:name w:val="font51"/>
    <w:basedOn w:val="7"/>
    <w:uiPriority w:val="0"/>
    <w:rPr>
      <w:rFonts w:hint="default" w:ascii="Times New Roman" w:hAnsi="Times New Roman" w:cs="Times New Roman"/>
      <w:color w:val="000000"/>
      <w:sz w:val="22"/>
      <w:szCs w:val="22"/>
      <w:u w:val="none"/>
    </w:rPr>
  </w:style>
  <w:style w:type="character" w:customStyle="1" w:styleId="12">
    <w:name w:val="font61"/>
    <w:basedOn w:val="7"/>
    <w:uiPriority w:val="0"/>
    <w:rPr>
      <w:rFonts w:hint="eastAsia" w:ascii="宋体" w:hAnsi="宋体" w:eastAsia="宋体" w:cs="宋体"/>
      <w:color w:val="000000"/>
      <w:sz w:val="22"/>
      <w:szCs w:val="22"/>
      <w:u w:val="none"/>
    </w:rPr>
  </w:style>
  <w:style w:type="character" w:customStyle="1" w:styleId="13">
    <w:name w:val="font81"/>
    <w:basedOn w:val="7"/>
    <w:uiPriority w:val="0"/>
    <w:rPr>
      <w:rFonts w:hint="eastAsia" w:ascii="宋体" w:hAnsi="宋体" w:eastAsia="宋体" w:cs="宋体"/>
      <w:strike/>
      <w:color w:val="000000"/>
      <w:sz w:val="22"/>
      <w:szCs w:val="22"/>
    </w:rPr>
  </w:style>
  <w:style w:type="character" w:customStyle="1" w:styleId="14">
    <w:name w:val="font41"/>
    <w:basedOn w:val="7"/>
    <w:uiPriority w:val="0"/>
    <w:rPr>
      <w:rFonts w:hint="eastAsia" w:ascii="宋体" w:hAnsi="宋体" w:eastAsia="宋体" w:cs="宋体"/>
      <w:color w:val="000000"/>
      <w:sz w:val="22"/>
      <w:szCs w:val="22"/>
      <w:u w:val="none"/>
    </w:rPr>
  </w:style>
  <w:style w:type="character" w:customStyle="1" w:styleId="15">
    <w:name w:val="font31"/>
    <w:basedOn w:val="7"/>
    <w:uiPriority w:val="0"/>
    <w:rPr>
      <w:rFonts w:hint="eastAsia" w:ascii="宋体" w:hAnsi="宋体" w:eastAsia="宋体" w:cs="宋体"/>
      <w:b/>
      <w:bCs/>
      <w:color w:val="000000"/>
      <w:sz w:val="40"/>
      <w:szCs w:val="40"/>
      <w:u w:val="none"/>
    </w:rPr>
  </w:style>
  <w:style w:type="character" w:customStyle="1" w:styleId="16">
    <w:name w:val="font01"/>
    <w:basedOn w:val="7"/>
    <w:uiPriority w:val="0"/>
    <w:rPr>
      <w:rFonts w:hint="eastAsia" w:ascii="宋体" w:hAnsi="宋体" w:eastAsia="宋体" w:cs="宋体"/>
      <w:color w:val="000000"/>
      <w:sz w:val="20"/>
      <w:szCs w:val="20"/>
      <w:u w:val="none"/>
    </w:rPr>
  </w:style>
  <w:style w:type="character" w:customStyle="1" w:styleId="17">
    <w:name w:val="font21"/>
    <w:basedOn w:val="7"/>
    <w:uiPriority w:val="0"/>
    <w:rPr>
      <w:rFonts w:ascii="仿宋" w:hAnsi="仿宋" w:eastAsia="仿宋" w:cs="仿宋"/>
      <w:color w:val="000000"/>
      <w:sz w:val="20"/>
      <w:szCs w:val="20"/>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33</Pages>
  <Words>13586</Words>
  <Characters>15306</Characters>
  <Lines>1</Lines>
  <Paragraphs>1</Paragraphs>
  <TotalTime>2</TotalTime>
  <ScaleCrop>false</ScaleCrop>
  <LinksUpToDate>false</LinksUpToDate>
  <CharactersWithSpaces>16290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2021-09-21T22:53:00Z</dcterms:created>
  <dc:creator>Administrator</dc:creator>
  <cp:lastModifiedBy>Administrator</cp:lastModifiedBy>
  <cp:lastPrinted>2021-11-12T02:02:00Z</cp:lastPrinted>
  <dcterms:modified xsi:type="dcterms:W3CDTF">2021-12-06T05:32:29Z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CBF3F2044C5643648DEE1AC3BCD23D42</vt:lpwstr>
  </property>
</Properties>
</file>