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auto"/>
          <w:lang w:val="en-US" w:eastAsia="zh-CN"/>
        </w:rPr>
        <w:t>2023年省、市两级重点民生实事项目</w:t>
      </w:r>
    </w:p>
    <w:p>
      <w:pPr>
        <w:jc w:val="left"/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val="en-US" w:eastAsia="zh-CN"/>
        </w:rPr>
        <w:t>一、省级重点民生实事</w:t>
      </w:r>
      <w:bookmarkStart w:id="0" w:name="_GoBack"/>
      <w:bookmarkEnd w:id="0"/>
    </w:p>
    <w:tbl>
      <w:tblPr>
        <w:tblStyle w:val="2"/>
        <w:tblW w:w="51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880"/>
        <w:gridCol w:w="2786"/>
        <w:gridCol w:w="2570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项目内容（邵阳市承担任务）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启动建设县域普通高中“徐特立项目” 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启动县域普通高中一校一栋建筑项目，适应生源增长，改善办学条件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“湘易办”便民利企服务平台建设推广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上线服务事项700项，其中“一网通办”事项达到省定标准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市行政审批服务局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集成可应用的电子证照种类超过80类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用户数突破300万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促进高质量充分就业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城镇新增就业4.4万人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开展补贴性职业技能培训3.28万人次（其中创业培训0.85万人次）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创业培训0.85万人次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开展妇幼健康守护行动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完成5个县级妇幼保健机构标准化建设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农村适龄及城镇低保适龄妇女“两癌”免费检查95841人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市妇女联合会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推行异地就医结算与基层医保代办服务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每个县区实现普通门诊异地结算二级以上定点医疗机构全覆盖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市医疗保障局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每个统筹区实现全部43个门诊慢特病治疗费用省内异地直接结算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实现乡（镇）医保参保登记、信息查询及变更、异地就医备案等经办服务事项直办或帮代办全覆盖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实现村（社区）医保参保登记、信息查询及变更、异地就医备案等经办服务事项直办或帮代办全覆盖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提升基本养老服务水平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养老机构新增370张护理型床位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完成4490户困难老年人居家适老化改造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提高困难群体救助标准</w:t>
            </w: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提高城乡低保标准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城市低保标准从不低于600元/月提高到不低于650元/月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农村低保标准从不低于4600元/年提高到不低于5000元/年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提高残疾人“两项补贴”标准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困难残疾人生活补贴标准提高到不低于80元/月·人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重度残疾人护理补贴标准提高到不低于80元/月·人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提高孤儿和事实无人抚养儿童基本生活最低保障标准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散居孤儿从950元/月提高到1100元/月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集中养育从1350元/月提高到1500元/月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开展残疾人关爱服务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康复救助残疾儿童1140人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完成1300户困难残疾人家庭无障碍改造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加快城镇老旧小区改造</w:t>
            </w: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开工改造176个城镇老旧小区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城镇住宅小区居民“一户一表”改造接收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国网邵阳供电公司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3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加强农村“三路”、“两网”及灌溉、饮水建设</w:t>
            </w: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农村“三路”建设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农村公路503公里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建设农村公路安防设施758公里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普通国省道安防精细化提升59公里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农村电网巩固提升工程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农村地区110千伏、35千伏电网供电能力提升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国网邵阳供电公司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农村地区10千伏及以下电网供电能力提升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乡村信息化网络建设。加快农村新型基础设施建设，推动行政村5G网络和千兆光纤网络覆盖；深化20户以上自然村4G网络覆盖；积极拓展农村地区宽带业务，高效服务数字乡村信息应用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农村水源保障及灌溉能力提升</w:t>
            </w: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新增蓄水能力517万方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8" w:type="pct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恢复和改善灌溉面积15万亩</w:t>
            </w:r>
          </w:p>
        </w:tc>
        <w:tc>
          <w:tcPr>
            <w:tcW w:w="60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完成117个农村千人以上集中饮用水水源地突出环境问题整治</w:t>
            </w:r>
          </w:p>
        </w:tc>
        <w:tc>
          <w:tcPr>
            <w:tcW w:w="60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shd w:val="clear" w:color="auto" w:fill="auto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shd w:val="clear" w:color="auto" w:fill="auto"/>
          <w:lang w:val="en-US" w:eastAsia="zh-CN"/>
        </w:rPr>
      </w:pPr>
    </w:p>
    <w:p>
      <w:pPr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  <w:t>市级重点民生实事</w:t>
      </w:r>
    </w:p>
    <w:tbl>
      <w:tblPr>
        <w:tblStyle w:val="2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639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建设乡镇标准化寄宿制学校35所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市城区新增公办义务教育学位1000个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完成困难家庭适老化改造2928户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建设特困供养机构3家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完成残疾儿童康复救助1000人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完成困难残疾人家庭无障碍改造1000户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启动城镇老旧小区改造项目150个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完成农村危房改造945户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开工保障性租赁住房项目1200套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完成市城区超期安置交付2421户，实现存量清零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完成污水管网改造33公里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新建污水管网24公里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市城区新增停车位1.5万个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邵阳市城市建设投资经营集团有限公司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市城区新建充电桩500个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完成危旧燃气管网改造30公里</w:t>
            </w:r>
          </w:p>
        </w:tc>
        <w:tc>
          <w:tcPr>
            <w:tcW w:w="249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新建燃气管网15公里</w:t>
            </w:r>
          </w:p>
        </w:tc>
        <w:tc>
          <w:tcPr>
            <w:tcW w:w="249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Times New Roman" w:hAnsi="Times New Roman" w:eastAsia="黑体" w:cs="黑体"/>
          <w:b w:val="0"/>
          <w:bCs w:val="0"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DA244-781D-49BE-9BB9-3DE80E9CC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005BD5-56AE-4EB5-9C48-76B7CF3C81F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3B101"/>
    <w:multiLevelType w:val="singleLevel"/>
    <w:tmpl w:val="B403B1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jdjNjQ4MjllMjQwZjFlYzkwNWU0MDU1MGNiYjAifQ=="/>
  </w:docVars>
  <w:rsids>
    <w:rsidRoot w:val="00000000"/>
    <w:rsid w:val="1DE06B47"/>
    <w:rsid w:val="3E3821C6"/>
    <w:rsid w:val="616F6DE9"/>
    <w:rsid w:val="6252575A"/>
    <w:rsid w:val="6C2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1363</Words>
  <Characters>1473</Characters>
  <Lines>0</Lines>
  <Paragraphs>0</Paragraphs>
  <TotalTime>28</TotalTime>
  <ScaleCrop>false</ScaleCrop>
  <LinksUpToDate>false</LinksUpToDate>
  <CharactersWithSpaces>1474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2023-08-29T00:47:00Z</dcterms:created>
  <dc:creator>Administrator</dc:creator>
  <cp:lastModifiedBy>澄泉</cp:lastModifiedBy>
  <dcterms:modified xsi:type="dcterms:W3CDTF">2023-08-29T01:42:31Z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95EDE7B129DB4A0DA879FCEC056E65E6_12</vt:lpwstr>
  </property>
</Properties>
</file>