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jc w:val="center"/>
        <w:rPr>
          <w:rFonts w:hint="eastAsia"/>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before="312" w:beforeLines="100" w:after="312" w:afterLines="100" w:line="560" w:lineRule="exact"/>
        <w:jc w:val="center"/>
        <w:rPr>
          <w:rFonts w:hint="default" w:ascii="方正小标宋简体" w:hAnsi="Calibri" w:eastAsia="方正小标宋简体" w:cs="宋体"/>
          <w:b/>
          <w:color w:val="000000" w:themeColor="text1"/>
          <w:sz w:val="52"/>
          <w:szCs w:val="52"/>
          <w:lang w:val="en-US" w:eastAsia="zh-CN"/>
          <w14:textFill>
            <w14:solidFill>
              <w14:schemeClr w14:val="tx1"/>
            </w14:solidFill>
          </w14:textFill>
        </w:rPr>
      </w:pPr>
      <w:r>
        <w:rPr>
          <w:rFonts w:hint="default" w:ascii="方正小标宋简体" w:hAnsi="Calibri" w:eastAsia="方正小标宋简体" w:cs="宋体"/>
          <w:b/>
          <w:color w:val="000000" w:themeColor="text1"/>
          <w:sz w:val="52"/>
          <w:szCs w:val="52"/>
          <w:lang w:val="en-US" w:eastAsia="zh-CN"/>
          <w14:textFill>
            <w14:solidFill>
              <w14:schemeClr w14:val="tx1"/>
            </w14:solidFill>
          </w14:textFill>
        </w:rPr>
        <w:t>邵阳市</w:t>
      </w:r>
      <w:r>
        <w:rPr>
          <w:rFonts w:hint="eastAsia" w:ascii="方正小标宋简体" w:hAnsi="Calibri" w:eastAsia="方正小标宋简体" w:cs="宋体"/>
          <w:b/>
          <w:color w:val="000000" w:themeColor="text1"/>
          <w:sz w:val="52"/>
          <w:szCs w:val="52"/>
          <w:lang w:eastAsia="zh-CN"/>
          <w14:textFill>
            <w14:solidFill>
              <w14:schemeClr w14:val="tx1"/>
            </w14:solidFill>
          </w14:textFill>
        </w:rPr>
        <w:t>“十四五”</w:t>
      </w:r>
      <w:r>
        <w:rPr>
          <w:rFonts w:hint="default" w:ascii="方正小标宋简体" w:hAnsi="Calibri" w:eastAsia="方正小标宋简体" w:cs="宋体"/>
          <w:b/>
          <w:color w:val="000000" w:themeColor="text1"/>
          <w:sz w:val="52"/>
          <w:szCs w:val="52"/>
          <w:lang w:val="en-US" w:eastAsia="zh-CN"/>
          <w14:textFill>
            <w14:solidFill>
              <w14:schemeClr w14:val="tx1"/>
            </w14:solidFill>
          </w14:textFill>
        </w:rPr>
        <w:t>食品药品安全规划</w:t>
      </w:r>
    </w:p>
    <w:p>
      <w:pPr>
        <w:pStyle w:val="2"/>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（征求意见稿）</w:t>
      </w:r>
    </w:p>
    <w:p>
      <w:pPr>
        <w:adjustRightInd w:val="0"/>
        <w:snapToGrid w:val="0"/>
        <w:jc w:val="center"/>
        <w:rPr>
          <w:rFonts w:ascii="黑体" w:hAnsi="黑体" w:eastAsia="黑体"/>
          <w:b/>
          <w:bCs/>
          <w:color w:val="000000" w:themeColor="text1"/>
          <w:sz w:val="48"/>
          <w:szCs w:val="48"/>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bookmarkStart w:id="1" w:name="_GoBack"/>
      <w:bookmarkEnd w:id="1"/>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center"/>
        <w:rPr>
          <w:rFonts w:ascii="黑体" w:hAnsi="黑体" w:eastAsia="黑体"/>
          <w:b/>
          <w:bCs/>
          <w:color w:val="000000" w:themeColor="text1"/>
          <w:sz w:val="44"/>
          <w:szCs w:val="44"/>
          <w14:textFill>
            <w14:solidFill>
              <w14:schemeClr w14:val="tx1"/>
            </w14:solidFill>
          </w14:textFill>
        </w:rPr>
      </w:pPr>
    </w:p>
    <w:p>
      <w:pPr>
        <w:adjustRightInd w:val="0"/>
        <w:snapToGrid w:val="0"/>
        <w:jc w:val="both"/>
        <w:rPr>
          <w:rFonts w:ascii="黑体" w:hAnsi="黑体" w:eastAsia="黑体"/>
          <w:b/>
          <w:bCs/>
          <w:color w:val="000000" w:themeColor="text1"/>
          <w:sz w:val="44"/>
          <w:szCs w:val="44"/>
          <w14:textFill>
            <w14:solidFill>
              <w14:schemeClr w14:val="tx1"/>
            </w14:solidFill>
          </w14:textFill>
        </w:rPr>
      </w:pPr>
    </w:p>
    <w:p>
      <w:pPr>
        <w:overflowPunct w:val="0"/>
        <w:topLinePunct/>
        <w:spacing w:line="700" w:lineRule="exact"/>
        <w:jc w:val="center"/>
        <w:rPr>
          <w:rFonts w:hint="eastAsia" w:ascii="黑体" w:hAnsi="黑体" w:eastAsia="黑体" w:cs="黑体"/>
          <w:b/>
          <w:bCs/>
          <w:color w:val="000000" w:themeColor="text1"/>
          <w:kern w:val="0"/>
          <w:sz w:val="36"/>
          <w:szCs w:val="36"/>
          <w14:textFill>
            <w14:solidFill>
              <w14:schemeClr w14:val="tx1"/>
            </w14:solidFill>
          </w14:textFill>
        </w:rPr>
      </w:pPr>
      <w:r>
        <w:rPr>
          <w:rFonts w:ascii="楷体" w:hAnsi="楷体" w:eastAsia="楷体"/>
          <w:b/>
          <w:color w:val="000000" w:themeColor="text1"/>
          <w:sz w:val="36"/>
          <w:szCs w:val="40"/>
          <w14:textFill>
            <w14:solidFill>
              <w14:schemeClr w14:val="tx1"/>
            </w14:solidFill>
          </w14:textFill>
        </w:rPr>
        <w:t>2021</w:t>
      </w:r>
      <w:r>
        <w:rPr>
          <w:rFonts w:hint="eastAsia" w:ascii="楷体" w:hAnsi="楷体" w:eastAsia="楷体"/>
          <w:b/>
          <w:color w:val="000000" w:themeColor="text1"/>
          <w:sz w:val="36"/>
          <w:szCs w:val="40"/>
          <w14:textFill>
            <w14:solidFill>
              <w14:schemeClr w14:val="tx1"/>
            </w14:solidFill>
          </w14:textFill>
        </w:rPr>
        <w:t>年</w:t>
      </w:r>
      <w:r>
        <w:rPr>
          <w:rFonts w:hint="eastAsia" w:ascii="楷体" w:hAnsi="楷体" w:eastAsia="楷体"/>
          <w:b/>
          <w:color w:val="000000" w:themeColor="text1"/>
          <w:sz w:val="36"/>
          <w:szCs w:val="40"/>
          <w:lang w:val="en-US" w:eastAsia="zh-CN"/>
          <w14:textFill>
            <w14:solidFill>
              <w14:schemeClr w14:val="tx1"/>
            </w14:solidFill>
          </w14:textFill>
        </w:rPr>
        <w:t>8</w:t>
      </w:r>
      <w:r>
        <w:rPr>
          <w:rFonts w:hint="eastAsia" w:ascii="楷体" w:hAnsi="楷体" w:eastAsia="楷体"/>
          <w:b/>
          <w:color w:val="000000" w:themeColor="text1"/>
          <w:sz w:val="36"/>
          <w:szCs w:val="40"/>
          <w14:textFill>
            <w14:solidFill>
              <w14:schemeClr w14:val="tx1"/>
            </w14:solidFill>
          </w14:textFill>
        </w:rPr>
        <w:t>月</w:t>
      </w:r>
    </w:p>
    <w:p>
      <w:pPr>
        <w:overflowPunct w:val="0"/>
        <w:topLinePunct/>
        <w:spacing w:line="560" w:lineRule="exact"/>
        <w:jc w:val="center"/>
        <w:rPr>
          <w:b/>
          <w:color w:val="000000" w:themeColor="text1"/>
          <w:sz w:val="40"/>
          <w:szCs w:val="32"/>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黑体" w:hAnsi="黑体" w:eastAsia="黑体" w:cs="黑体"/>
          <w:b/>
          <w:bCs/>
          <w:color w:val="000000" w:themeColor="text1"/>
          <w:kern w:val="0"/>
          <w:sz w:val="44"/>
          <w:szCs w:val="44"/>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黑体" w:hAnsi="黑体" w:eastAsia="黑体" w:cs="黑体"/>
          <w:b/>
          <w:bCs/>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kern w:val="0"/>
          <w:sz w:val="44"/>
          <w:szCs w:val="44"/>
          <w14:textFill>
            <w14:solidFill>
              <w14:schemeClr w14:val="tx1"/>
            </w14:solidFill>
          </w14:textFill>
        </w:rPr>
        <w:t>前</w:t>
      </w:r>
      <w:r>
        <w:rPr>
          <w:rFonts w:hint="eastAsia" w:ascii="黑体" w:hAnsi="黑体" w:eastAsia="黑体" w:cs="黑体"/>
          <w:b/>
          <w:bCs/>
          <w:color w:val="000000" w:themeColor="text1"/>
          <w:kern w:val="0"/>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kern w:val="0"/>
          <w:sz w:val="44"/>
          <w:szCs w:val="44"/>
          <w14:textFill>
            <w14:solidFill>
              <w14:schemeClr w14:val="tx1"/>
            </w14:solidFill>
          </w14:textFill>
        </w:rPr>
        <w:t>言</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食品安全和药品安全关联千家万户，是社会关注的焦点。在“十四五”期间，国内外政治状况、社会经济状况、人们生活方式、食品药品销售模式和科学技术发展水平都将呈现新时代的特征，食品药品安全规划，需要立足于当前，放眼未来，提高食品药品安全的保障能力和水平，满足广大群众对食品安全和药品安全的迫切需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新形势下，国内外的政治状况发生深刻的变化，国际贸易接受新的挑战，食品药品安全管理需要适应新形势下的要求，食品药品安全规划在国际大变革的形势下，充分挖掘食品药品潜在的风险，做好风险评估，建立相应的机制和应对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在新形势下，社会经济状况发生结构性变化，消费者的食品药品安全高标准与食品药品行业人员从业技术水平和管理水平低之间的矛盾在食品药品安全领域较为突出。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在新形势下，部分制假造假的手段和技术越来越先进和隐蔽，食品药品安全监管技术手段和监管人员的食品药品安全专业知识与食品药品安全的发展情况不相适应的矛盾较为突出。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随着网络销售和电商平台的日益发展，线上的食品药品销售呈现爆发式增长，现有的食品药品安全监管的模式和手段与食品药品安全的环境和食品药品销售模式的矛盾较为突出。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了更好、更科学的适应食品药品安全管理要求，不断提高食品安全和药品安全的保障水平，保障老百姓的身心健康，促进社会和谐发展，依据《湖南省国民经济和社会发展“十四五”规划基本思路》、《中华人民共和国食品安全法》、《中华人民共和国药品管理法》和《中华人民共和国疫苗法》，根据邵阳市“十四五”规划领导小组《关于开展“十四五”规划前期重大课题研究及编制“十四五”重点专项规划的通知》精神，结合食品药品安全现状和发展要求，制定本规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jc w:val="center"/>
        <w:rPr>
          <w:rFonts w:hint="eastAsia" w:ascii="仿宋" w:hAnsi="仿宋" w:eastAsia="仿宋" w:cs="仿宋"/>
          <w:b/>
          <w:bCs/>
          <w:color w:val="000000" w:themeColor="text1"/>
          <w:sz w:val="44"/>
          <w:szCs w:val="4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目  录</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第一章 邵阳市食品药品安全现状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一、食品药品安全管理面临新机遇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二、“十三五”邵阳市食品药品安全总体状况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三、食品药品安全存在的主要问题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第二章 指导思想、总体原则和发展目标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二、总体原则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三、发展目标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四、主要任务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第三章 保障措施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一、坚持政府主导，提高食品药品安全意识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二、坚持财政和人力保障，确保投入</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三、坚持权责一致，分级负责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四、建立完善诚信体系建设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五、坚持严格监管，公正透明</w:t>
      </w: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before="156" w:beforeLines="50" w:after="156" w:afterLines="50" w:line="440" w:lineRule="exact"/>
        <w:jc w:val="center"/>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numPr>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第一章</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邵阳市食品药品安全现状</w:t>
      </w:r>
    </w:p>
    <w:p>
      <w:pPr>
        <w:keepNext w:val="0"/>
        <w:keepLines w:val="0"/>
        <w:pageBreakBefore w:val="0"/>
        <w:widowControl/>
        <w:numPr>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一、食品药品安全管理面临新机遇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（一）党和政府高度重视。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中央领导集体把食品药品安全纳入公共安全体系进行部署，提出要用最严谨的标准、最严格的监管、最严厉的处罚、最严肃的问责，以“零容忍”举措惩治食品安全违法犯罪。中央提出实施食品药品安全战略，构建严密高效、社会共治的食品安全治理体系，提高药品质量，确保用药安全。强调食品药品机构改革在基层监管力量上只能加强不能削弱，要构建人防、物防、技防全方位监管网络。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（二）法制层面提供更完善的保障。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中华人民共和国食品安全法》、《中华人民共和国药品管理法》、《中华人民共和国疫苗管理法》和《湖南省食品生产加工小作坊和食品摊贩管理条例》等系列法律法规的出台和实施，使现有食品药品安全监管法律法规体系进一步完善和补充。尤其是《中华人民共和国食品安全法》的修订，突出“全程控制、风险管理、预防为主、社会共治”理念，对下一步食品安全监管和执法提供更有力的法律依据。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（三）社会公众参与度提升。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社会公众对食品药品关注度提升，对食品药品安全参与度显著增加，新闻媒体积极性提高，专家的“智囊”作用开始显现，行业协会、企业声音和消费者声音多方互动局面初步形成，食品药品安全的社会共治基础逐步增强，多方参与共同治理食品药品安全的机制和方法在不断探索与实践。同时随着各方面的宣传，消费者对食品药品安全的关注度和满意度都在提升，促进360度的全社会监管局面的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（四）以5G为主要标志的新技术突破提供了有力支撑。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信息化进入新一轮革命期，人工智能等技术广泛而深入地渗透到人民群众生产生活中。以5G为主要标志的新技术，为启用了“互联网+明厨亮灶”等系统，视频远程监管、自动识别抓拍违法行为等信息化监管方式提供有利支撑，为食品药品监管服务提质增效创造了有利条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 xml:space="preserve">二、“十三五”邵阳市食品药品安全总体状况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（一）食品药品安全形势总体稳定，保持向好趋势。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三五”期间，邵阳全市没有发生系统性、区域性和原发性食品药品安全事故，公众满意度和安全感稳步提高，食物中毒事故发生次数持续下降，仅发生1例食品安全中毒事件，群发性食品药品安全事零发生。在“十三五”期间，强化食品药品监督抽样频率，由1批次/千人提升4批次/千人，提升监督抽样产品的覆盖面，保障食品安全。全市总共抽样23168批次，不合格批次为233批次，产品的合格率保持在98.9%。2019年药品抽检药品监督抽样检验1267批次，合格率为92.84%，食品药品抽检合格率持续保持高水平。按照省市抽检的要求，通过监督抽验及时掌握全市的食品、药品、保健品和医疗器械的安全状况，及时消除食品药品的安全隐患，为食品药品安全监督管理提供可靠的技术支撑，为维护公众的饮食用药安全提供强有力的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（二）建成相对集中统一监管体系，监管力量得到加强。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三五”期间，邵阳市认真落实国务院、湖南省人民政府关于深化食品药品监管体制改革的精神，将原质监、工商、商业和农业部门承担的食品生产、食品流通和酒类流通环节食品安全监管职能划归食品药品监管部门，设立市、区（县、市 ）和街（镇）三级监管体制及监管网络，组成市场监督管理局，结束“九龙治水”局面，消除监管的盲区和真空地带，统筹食品药品安全管理，形成有机统一监管体系。此外，探索县级检察机关派驻食品药品监督部门，强化食品药品安全入刑和问责的力度，监管力量进一步加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（三）强化打击违法犯罪行为，市场消费环境得到改善。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十三五”时期，出动执法人员9万余人次，执法车辆3万余台次，检查食品单位7万余家次，取缔违法生产经营窝点100余个，没收销毁假冒伪劣和有毒有害食品20余吨，有力地打击了制售假冒伪劣食品的违法犯罪活动，净化了市场。市场监管部门查处食品类案件1208件，罚款1069.06万。公安机关查处食品涉刑案件62起，挂牌督办案件9起。检察机关批准逮捕危害食品安全案件4件6人，起诉12件23人，挂牌督办2件，有效促进行政执法与刑事司法衔接。 有力打击食品药品领域的违法行为，净化市场环境，有力保护消费者的利益和广大人民群众的利益。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（四）完善食品药品安全监管制度，创造良好食品药品安全环境</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积极完善食品药品安全监管制度，出台《关于深化改革加强食品安全工作的实施意见湘发〔2019〕15号》、《邵阳市食品安全事故应急预案》、《邵阳市人民政府关于进一步加强食品安全工作的实施意见》（市政发〔2017〕16号）、《邵阳市食品安全信用信息管理办法》和《邵阳市食品生产加工小作坊禁止生产加工食品目录（试行）》的通告（邵市政发〔2019〕9号）等系列纲领性改革和规划文件。同时积极推进食品药品行政审批制度改革，理清市食品药品监管局审批权和发布权责清单。依法办理举报投诉及违法案件，市食品药品监管局被评为市依法行政示范单位。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三、食品药品安全存在的主要问题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“十三五”期间，虽然邵阳市食品药品安全总体形势稳定并持续向好发展，但现有食品药品安全状况与产业发展以及与经济社会发展要求和人民群众的期待相比，还有不小的差距。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（一）食品药品安全系统风险依然存在。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食品药品安全问题作为系统性问题与产业发展水平、社会诚信意识等多方面密切相关。一是食品药品产业基础较为薄弱，产业层次较低，准入门槛低，从业人员素质低，监管对象多、小、散、乱；尤其是小作坊、小餐饮、小摊贩安全隐患较多。二是源头环境污染和违规使用高毒农药现象时有发生，如土壤污染，造成水稻的重金属镉超标，高毒农药如敌敌畏、甲胺磷不时出现在田间地头，但监管手段的滞后和监测手段的落后，同时农产品的追溯体系的缺失，导致发现问题，无法及时溯源和产品追踪。三是社会诚信道德失范、社会心态焦虑、消费者风险认知偏差等多种因素交互影响，风险叠加。部分食品药品生产经营企业不能做好诚信生产经营，违规使用食品添加剂，超限量、超范围使用食品添加剂，非法添加非食品物质等问题还没有彻底解决。四是企业主体安全责任尚未完全落实。大部分小企业、小作坊、小餐饮的主体责任不清楚，对《食品安全法》相关违法的条款，理解不充分。食品药品安全的相关责任意识的培训，存在重培训，轻实效。食品药品企业的企业主体责任没能压实。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（二）食品药品安全风险地方特征明显。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作为典型农业人口占主要的四线城市，邵阳市食品药品安全风险呈现显著地方特征。一是邵阳市外来食品药品供应量大，来源途径广，集散速度快，输入型食品药品安全风险不容忽视。邵阳市全市户籍人口超过800万人，邵阳市食品药品本地企业的产品还不能满足日常消耗，同时邵阳市地处山区，山区人口密度低，偏远山区和农村容易形成食品药品监督管理的空白地带，极易造成食品药品安全风险。二是食品药品产业市场化程度高，新技术、新品种、新业态快速发展，食品药品生产流通链条更加复杂，给食品药品安全带来新的挑战。三是本地产业规模化、集约化水平不高，粗放型产业发展特点易产生食品药品安全质量风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（三）食品药品安全监管队伍、检测能力和检测经费与安全形势不相适应。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食品、药品、质量监督、工商行政整合以来，基层监管机构人员、经费、装备等方面不能满足监督的需求，监督管理制度、执法规范等方面亟待规范化和标准化。从全市7县、2市、4区的调研数据分析发现，基层食品药品监管机构缺编情况十分普遍，超过3个县（市）区以上的食品股和药品监管股室，在职人员只有1人，无法满足监管、执法的需要；人员严重老化，平均年龄46-53岁之间；人才结构不合理，专业人才匮乏，食品药品专业人员的总体占比低于20%，但从股室编制看，食品股和药品股的专业人员比例将更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食品药品管理机构改革以来，原来的质监系统的检测机构，基本上暂停运转，除邵东市和武冈市以外，其他县级市场监督管理局均无食品药品检测机构。此外，能够运转的检测机构，也存在检测装备落后、检测项目少，不能满足日常监督的需要和监督执法快速检测的需要。同时，全市缺少第三方检测机构，抽检的样品需要外送至长沙、广州等地，检测结果的实效性、时效性均不能满足监管需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食品和药品管理机构取消省级垂直管理以来，各区县（市）级的食品药品经费财政保障不足，抽检经费仅满足抽样检测批次的60-70%，严重影响监督抽样的广泛性和代表性，进而影响监管的有效性。由于经费不足，导致新技术的引进和应用较难开展，食品药品安全风险监测、评估、预警和“互联网+”等技术支撑体系建设尚处起步阶段，防范和化解食品药品安全风险的能力不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所以，在新形势下，缺乏有效快速分析手段和经费，同时人员专业知识也缺乏，从而导致目前食品药品监管能力和执法能力不能满足需求，监管业务能力和依法行政能力亟待提升。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（四）食品药品安全的培训和科普不能适应新形势要求。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基于《中华人民共和国食品安全法》、《中华人民共和国药品管理法》和《中华人民共和国疫苗管理法》的“四个最严”，目前监管执法人员缺乏食品药品专业背景，专业知识不能满足日常监管的要求。特别是，机构重组之后，市场监督管理局的执法监督管理人员对于特殊食品、保健品和药品，监管人员每年接受的培训不能满足日益复杂的产品形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从实际调研情况看，目前食品生产经营企业人员的食品安全培训实效不能满足食品安全管理需要，存在重证而轻效果的现象，因此，普遍食品生产经营企业都获得《食品安全管理员资质证书》，却没有掌握食品安全管理的常规知识，进而给监管带来困难。所以，普遍存在两个矛盾：食品药品安全的要求与食品药品安全认识的矛盾，执法监管力度与企业承担能力的矛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外，食品药品科普宣传和风险交流的针对性和有效性仍需提升，不少生产经营者和消费者不了解食品药品安全法律法规，公众仍然容易信谣、传谣。特别是老年消费者对保健品和特殊医疗食品的科普不足，导致老年人上当受骗，容易导致食品和药品安全事故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（五）食品药品安全管理体制没有理顺，职能职责交叉，基层疲于应对。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国务院新的行政机构改革以来，邵阳市场监督管理局整合原来分散在工商、质监、食品药品、农委等机构的食品药品管理职能，基于县（市）区的三定方案不同，在食品药品安全管理，各县机构设置不一致，基层股室设置与上级不一致，出现一个基层股室对应上级6个科室的局面，疲于应付。同时，职能职责方面规范性制度性文件缺失，职能职责梳理有待进一步明确和规范。同时，食品安全委员会办公室设置在市场监督管理局的食品协调部门，导致食品药品安全股室协调公安、卫生、农业部门时，效果不佳，从而削弱食品安全委员会的综合协调职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（六）药品管理，特别是中药和草药管理存在盲区，影响用药安全管理。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目前各医疗机构的药品安全管理存在盲区，按照职责划分原则，药品的日常监管归属市场监督管理局，然而，医疗机构的上级主管机构是卫生健康委。当各医疗机构，尤其乡村基层医疗机构，药品管理出现不能达到《</w:t>
      </w:r>
      <w:r>
        <w:rPr>
          <w:rFonts w:hint="eastAsia" w:ascii="仿宋" w:hAnsi="仿宋" w:eastAsia="仿宋" w:cs="仿宋"/>
          <w:color w:val="000000" w:themeColor="text1"/>
          <w:kern w:val="0"/>
          <w:sz w:val="32"/>
          <w:szCs w:val="32"/>
          <w14:textFill>
            <w14:solidFill>
              <w14:schemeClr w14:val="tx1"/>
            </w14:solidFill>
          </w14:textFill>
        </w:rPr>
        <w:t>中华人民共和国</w:t>
      </w:r>
      <w:r>
        <w:rPr>
          <w:rFonts w:hint="eastAsia" w:ascii="仿宋" w:hAnsi="仿宋" w:eastAsia="仿宋" w:cs="仿宋"/>
          <w:color w:val="000000" w:themeColor="text1"/>
          <w:sz w:val="32"/>
          <w:szCs w:val="32"/>
          <w14:textFill>
            <w14:solidFill>
              <w14:schemeClr w14:val="tx1"/>
            </w14:solidFill>
          </w14:textFill>
        </w:rPr>
        <w:t>药品管理法》的要求时，市场监督管理局无相应的处置权，从而影响药品安全管理。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草药在我国源远流长,有广泛的民间基础和长期使用的历史。然而近年来，随着科学技术发展，中草药的生产经营许可和加工工艺出现新状况，如超微粉碎中草药。按照国家规定在三甲以上医院才能使用中草药超微粉，由于其便利性，现在中小医院也逐渐广泛使用，但国家又无相关政策出台，从而造成市场监督管理局的执法处于尴尬局面。同时草药经营许可较为混乱，部分草药未列入中药管理范畴，草药经营经社会团体组织科协许可，即可经营销售，存在较高的安全风险，如新宁县出现类似的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（七）疫情导致食品药品持续充足安全供应的不确定性增加。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于新冠病毒的特点，在全球疫情变成常态的条件下，食品药品监管尚未形成标准化和规范化的监管方式，在冷链物流和仓储缺乏统一标准，冷链企业数字化水平参差不齐，增加了冷冻产品安全隐患；农贸市场、肉类加工厂等长期处于低温、潮湿、密闭环境的场所管理仍有疏忽，增加了病毒传播风险，存在食品药品安全隐患。此外，生鲜果蔬、医药用品外卖零售和网络订餐呈爆发式增长，对其质量安全监管提出了更高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（八）社会共治力量没有充分激活。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目前邵阳市的社会组织相对薄弱，食品药品安全的相关的社会组织的作用没能有效的发挥，行业协会对企业的扶持或指导力度不够，不能有效引导行业通过自律规范管理提升行业整体质量安全水平。同时行业协会的不能与政府行政管理形成良性互补，从而导致社会力量参与政府评议考核不够，整体影响食品药品安全的监管力量。</w:t>
      </w:r>
      <w:r>
        <w:rPr>
          <w:rFonts w:hint="eastAsia" w:ascii="仿宋" w:hAnsi="仿宋" w:eastAsia="仿宋" w:cs="仿宋"/>
          <w:color w:val="000000" w:themeColor="text1"/>
          <w:sz w:val="32"/>
          <w:szCs w:val="32"/>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第二章 指导思想、总体原则和发展目标</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以习近平新时代特色社会主义思想为指导，全面贯彻党的十九大系列方略， 坚持以人民群众为中心， 坚持 “五位一体”总体布局， 以及 “四个全面” 和 “三高四新”战略布局，紧扣《中共中央、国务院关于深化改革加强食品安全工作的意见》、省委省政府《关于深化改革加强食品安全工作的实施意见》、《湖南省“十四五”食品药品安全规划》确定的任务目标，大力推进食品药品安全放心工程建设，不断推动食品药品安全治理体系和治理能力现代化，建立更加严格的全过程监管，完善更加有效的监管机制，实施更加严厉的监管执法，全面落实各方主体责任，健全更加有力的监管保障机制，充分利用现代化的互联网和大数据，科学配置监管资源，加强监管执法队伍和技术支撑体系建设，不断提升依法监管、科学监管的能力和水平，形成严密高效、社会共治的食品安全治理体系，有效防控和化解食品药品安全风险，深入推进食品和药品安全治理行动，全面提升食品和药品安全现代化治理能力，形成严治、善治、共治的食品药品安全现代化治理体系。为推动我市经济社会发展再上新台阶，建设富饶美丽幸福新邵阳做出积极贡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二、总体原则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（一）坚持严格监管与优化服务相结合，强化安全的原则。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始终把严格监管、切实维护人民群众生命健康权益作为工作的出发点和落脚点。在确保安全前提下，围绕全市经济发展规划，不断提高服务意识和服务质量，着力支持做大做强食品药品产业集群，特别是邵阳特色产品。食品药品安全监管必须不断满足人民群众饮食、用药安全放心的需要，努力把“社会认可、群众满意”作为监管和服务的出发点和落脚点。充分发挥食品药品行业健康发展对国民经济的促进作用，围绕重点品种、特色产品、重点品牌、企业、业态和重点区域，提升质量、帮促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（二）坚持全面提高与重点加强相结合，突出基层的原则。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把全市食品药品管理作为一盘棋，全面对监管执法队伍专业性，经费预算全面提高，同时将街道（乡镇）基层监管能力专业化建设作为提高食品药品安全保障能力的重点，采用“点”和“面”结合方式，加财政预算大支持力度，补齐监管短板。在经费保障、资金扶持、项目建设和技术援助等方面向基层倾斜，全面改善基层执法条件，提升基层队伍素质，实现全市食品药品安全的保障能力和水平的区域统筹协调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（三）坚持科学监管与技术监督相结合，加强技术的原则。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树立科学监管理念，强化监管手段创新，优化配置安全监管资源。继续完善行政监管体系，加强监管机构、行政执法能力以及相关基础设施建设。加快以食品药品检验检测和信息化为重点的技术支撑体系建设，实现行政监管与技术支撑协调发展。以夯实基层监管能力为重点，加大基层投入。进一步完善技术支撑体系，提升食品药品安全技术装备水平，推进监管手段信息化和监管配备专业化。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（四）坚持守信激励和失信惩戒相结合，弘扬诚信的原则。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着力构建监管部门为主导，强化企业和从业人员的主体责任，全社会监督和参与的食品药品安全诚信体系，打造食品药品安全诚信管理平台，定期公布监督和执法过程发现不诚信企业和个人，建立完善“黑名单”制度，实行银行部门和相关部门联动惩戒制度，让失信企业和个人，寸步难行。逐步形成政府监管、企业自律、社会协同、公众参与的食品药品安全社会共治格局，诚信经营的良好局面。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（五）坚持统一协调与分工负责相结合，注重联动的原则。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监管部门严格履行工作职责，按照责任分工负责食品药品安全工作。建立统一权威的工作协调和联动机制，整合利用监管资源，联合执法，统一行动，形成合力，实现食品药品安全各领域、各环节的全面有效监管的工作格局。充分发挥各监管部门和各级政府的组织领导、引导和推动作用，落实各县（市）区政府对本行政区域食品药品安全监管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（六）坚持全程监管与重点监管相结合，注重预防和风险管理原则</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严格实施食品从农田到餐桌、药品从研制到医院全链条监管，引进食品药品安全管理先进理念或体系，建立健全和严格执行覆盖全程的监管制度、覆盖所有食品药品的安全标准、覆盖食品药品各类生产经营行为的良好操作规范，全面推进食品药品安全监管法治化、标准化、专业化、信息化建设。</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监督管理关口前移，采用现代大数据技术和互联网技术，全面排查、及时发现处置苗头性、倾向性问题，严把食品药品安全的源头关、生产关、流通关、入口关，坚决守住不发生系统性、区域性食品药品安全风险的底线。</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树立风险防范意识，强化食品药品安全风险评估、监测、预警和风险交流，建立健全以风险分析为基础的科学监管制度，严防严管严控风险隐患，确保监管跑在风险前面。</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三、发展目标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到2025年，全市基本建成体制成熟、法治完善、科学高效的市场监管体系，市场准入、竞争、消费、监管环境进一步优化，形成有利于创新创业、诚信守法、公平竞争的市场环境，实施食品药品安全科学精细监管、集中高效监管和社会协同共治，实现食品药品安全治理能力显著提高、安全形势持续稳定向好、市民群众安全满意度明显提升、食品药品产业健康有序发展，将邵阳建设成为市民群众放心的食品药品安全城市，设定食品药品安全管理的目标，详见表1。</w:t>
      </w:r>
    </w:p>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表1 “十四五”食品药品安全监管主要指标</w:t>
      </w:r>
    </w:p>
    <w:tbl>
      <w:tblPr>
        <w:tblStyle w:val="7"/>
        <w:tblW w:w="8921" w:type="dxa"/>
        <w:tblInd w:w="0" w:type="dxa"/>
        <w:tblLayout w:type="autofit"/>
        <w:tblCellMar>
          <w:top w:w="0" w:type="dxa"/>
          <w:left w:w="108" w:type="dxa"/>
          <w:bottom w:w="0" w:type="dxa"/>
          <w:right w:w="108" w:type="dxa"/>
        </w:tblCellMar>
      </w:tblPr>
      <w:tblGrid>
        <w:gridCol w:w="557"/>
        <w:gridCol w:w="5670"/>
        <w:gridCol w:w="1134"/>
        <w:gridCol w:w="1560"/>
      </w:tblGrid>
      <w:tr>
        <w:tblPrEx>
          <w:tblCellMar>
            <w:top w:w="0" w:type="dxa"/>
            <w:left w:w="108" w:type="dxa"/>
            <w:bottom w:w="0" w:type="dxa"/>
            <w:right w:w="108" w:type="dxa"/>
          </w:tblCellMar>
        </w:tblPrEx>
        <w:trPr>
          <w:trHeight w:val="457" w:hRule="atLeast"/>
        </w:trPr>
        <w:tc>
          <w:tcPr>
            <w:tcW w:w="55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序号</w:t>
            </w:r>
          </w:p>
        </w:tc>
        <w:tc>
          <w:tcPr>
            <w:tcW w:w="5670" w:type="dxa"/>
            <w:tcBorders>
              <w:top w:val="single" w:color="auto" w:sz="8" w:space="0"/>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指标名称</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预期目标</w:t>
            </w:r>
          </w:p>
        </w:tc>
        <w:tc>
          <w:tcPr>
            <w:tcW w:w="1560" w:type="dxa"/>
            <w:tcBorders>
              <w:top w:val="single" w:color="auto" w:sz="8" w:space="0"/>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重大食品药品安全事故处置率（%）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2</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食品（包括农产品）抽检的批次（不含快检）（批次/千人</w:t>
            </w:r>
            <w:r>
              <w:rPr>
                <w:rFonts w:ascii="Calibri" w:hAnsi="Calibri" w:eastAsia="仿宋" w:cs="Calibri"/>
                <w:color w:val="000000" w:themeColor="text1"/>
                <w:kern w:val="0"/>
                <w:sz w:val="22"/>
                <w14:textFill>
                  <w14:solidFill>
                    <w14:schemeClr w14:val="tx1"/>
                  </w14:solidFill>
                </w14:textFill>
              </w:rPr>
              <w:t>•</w:t>
            </w:r>
            <w:r>
              <w:rPr>
                <w:rFonts w:hint="eastAsia" w:ascii="仿宋" w:hAnsi="仿宋" w:eastAsia="仿宋" w:cs="宋体"/>
                <w:color w:val="000000" w:themeColor="text1"/>
                <w:kern w:val="0"/>
                <w:sz w:val="22"/>
                <w14:textFill>
                  <w14:solidFill>
                    <w14:schemeClr w14:val="tx1"/>
                  </w14:solidFill>
                </w14:textFill>
              </w:rPr>
              <w:t>年）</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≥4</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3</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食品（包括农产品）抽检的批次（不含快检）的合格率（%）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96</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4</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药品、化妆品、医疗器械抽检的批次（不含快检）（批次/万人</w:t>
            </w:r>
            <w:r>
              <w:rPr>
                <w:rFonts w:ascii="Calibri" w:hAnsi="Calibri" w:eastAsia="仿宋" w:cs="Calibri"/>
                <w:color w:val="000000" w:themeColor="text1"/>
                <w:kern w:val="0"/>
                <w:sz w:val="22"/>
                <w14:textFill>
                  <w14:solidFill>
                    <w14:schemeClr w14:val="tx1"/>
                  </w14:solidFill>
                </w14:textFill>
              </w:rPr>
              <w:t>•</w:t>
            </w:r>
            <w:r>
              <w:rPr>
                <w:rFonts w:hint="eastAsia" w:ascii="仿宋" w:hAnsi="仿宋" w:eastAsia="仿宋" w:cs="宋体"/>
                <w:color w:val="000000" w:themeColor="text1"/>
                <w:kern w:val="0"/>
                <w:sz w:val="22"/>
                <w14:textFill>
                  <w14:solidFill>
                    <w14:schemeClr w14:val="tx1"/>
                  </w14:solidFill>
                </w14:textFill>
              </w:rPr>
              <w:t>年）</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ascii="仿宋" w:hAnsi="仿宋" w:eastAsia="仿宋" w:cs="宋体"/>
                <w:color w:val="000000" w:themeColor="text1"/>
                <w:kern w:val="0"/>
                <w:sz w:val="22"/>
                <w14:textFill>
                  <w14:solidFill>
                    <w14:schemeClr w14:val="tx1"/>
                  </w14:solidFill>
                </w14:textFill>
              </w:rPr>
              <w:t>2</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5</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食品评价性抽验总体合格率（%）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9</w:t>
            </w:r>
            <w:r>
              <w:rPr>
                <w:rFonts w:ascii="仿宋" w:hAnsi="仿宋" w:eastAsia="仿宋" w:cs="宋体"/>
                <w:color w:val="000000" w:themeColor="text1"/>
                <w:kern w:val="0"/>
                <w:sz w:val="22"/>
                <w14:textFill>
                  <w14:solidFill>
                    <w14:schemeClr w14:val="tx1"/>
                  </w14:solidFill>
                </w14:textFill>
              </w:rPr>
              <w:t>8</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6</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药品评价性抽验总体合格率（%）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9</w:t>
            </w:r>
            <w:r>
              <w:rPr>
                <w:rFonts w:ascii="仿宋" w:hAnsi="仿宋" w:eastAsia="仿宋" w:cs="宋体"/>
                <w:color w:val="000000" w:themeColor="text1"/>
                <w:kern w:val="0"/>
                <w:sz w:val="22"/>
                <w14:textFill>
                  <w14:solidFill>
                    <w14:schemeClr w14:val="tx1"/>
                  </w14:solidFill>
                </w14:textFill>
              </w:rPr>
              <w:t>6</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7</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保健品、化妆品抽检合格率（%）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90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8</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基本药物、疫苗、高风险品种、重点品种、企业检测、监测覆盖率（%）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9</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《食品安全法》、《药品管理法》和食品药品安全科普活动进社区、学校覆盖率（%）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ascii="仿宋" w:hAnsi="仿宋" w:eastAsia="仿宋" w:cs="宋体"/>
                <w:color w:val="000000" w:themeColor="text1"/>
                <w:kern w:val="0"/>
                <w:sz w:val="22"/>
                <w14:textFill>
                  <w14:solidFill>
                    <w14:schemeClr w14:val="tx1"/>
                  </w14:solidFill>
                </w14:textFill>
              </w:rPr>
              <w:t>100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09"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10</w:t>
            </w:r>
          </w:p>
        </w:tc>
        <w:tc>
          <w:tcPr>
            <w:tcW w:w="56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食品药品安全监管人员本科以上学历达标率（%）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8</w:t>
            </w:r>
            <w:r>
              <w:rPr>
                <w:rFonts w:ascii="仿宋" w:hAnsi="仿宋" w:eastAsia="仿宋" w:cs="宋体"/>
                <w:color w:val="000000" w:themeColor="text1"/>
                <w:kern w:val="0"/>
                <w:sz w:val="22"/>
                <w14:textFill>
                  <w14:solidFill>
                    <w14:schemeClr w14:val="tx1"/>
                  </w14:solidFill>
                </w14:textFill>
              </w:rPr>
              <w:t>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专业对口</w:t>
            </w:r>
          </w:p>
        </w:tc>
      </w:tr>
      <w:tr>
        <w:tblPrEx>
          <w:tblCellMar>
            <w:top w:w="0" w:type="dxa"/>
            <w:left w:w="108" w:type="dxa"/>
            <w:bottom w:w="0" w:type="dxa"/>
            <w:right w:w="108" w:type="dxa"/>
          </w:tblCellMar>
        </w:tblPrEx>
        <w:trPr>
          <w:trHeight w:val="573"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11</w:t>
            </w:r>
          </w:p>
        </w:tc>
        <w:tc>
          <w:tcPr>
            <w:tcW w:w="56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食品药品安全监管人员培训（课时/人</w:t>
            </w:r>
            <w:r>
              <w:rPr>
                <w:rFonts w:hint="eastAsia" w:ascii="微软雅黑" w:hAnsi="微软雅黑" w:eastAsia="微软雅黑" w:cs="微软雅黑"/>
                <w:color w:val="000000" w:themeColor="text1"/>
                <w:kern w:val="0"/>
                <w:sz w:val="22"/>
                <w14:textFill>
                  <w14:solidFill>
                    <w14:schemeClr w14:val="tx1"/>
                  </w14:solidFill>
                </w14:textFill>
              </w:rPr>
              <w:t>•</w:t>
            </w:r>
            <w:r>
              <w:rPr>
                <w:rFonts w:hint="eastAsia" w:ascii="仿宋" w:hAnsi="仿宋" w:eastAsia="仿宋" w:cs="仿宋"/>
                <w:color w:val="000000" w:themeColor="text1"/>
                <w:kern w:val="0"/>
                <w:sz w:val="22"/>
                <w14:textFill>
                  <w14:solidFill>
                    <w14:schemeClr w14:val="tx1"/>
                  </w14:solidFill>
                </w14:textFill>
              </w:rPr>
              <w:t>年</w:t>
            </w:r>
            <w:r>
              <w:rPr>
                <w:rFonts w:hint="eastAsia" w:ascii="仿宋" w:hAnsi="仿宋" w:eastAsia="仿宋" w:cs="宋体"/>
                <w:color w:val="000000" w:themeColor="text1"/>
                <w:kern w:val="0"/>
                <w:sz w:val="22"/>
                <w14:textFill>
                  <w14:solidFill>
                    <w14:schemeClr w14:val="tx1"/>
                  </w14:solidFill>
                </w14:textFill>
              </w:rPr>
              <w:t>）</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80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线上线下</w:t>
            </w: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12</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食品药品安全示范县（个）</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3</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13</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农产品质量安全县（个）</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5</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14</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规模以上</w:t>
            </w:r>
            <w:r>
              <w:rPr>
                <w:rFonts w:ascii="仿宋" w:hAnsi="仿宋" w:eastAsia="仿宋" w:cs="宋体"/>
                <w:color w:val="000000" w:themeColor="text1"/>
                <w:kern w:val="0"/>
                <w:sz w:val="22"/>
                <w14:textFill>
                  <w14:solidFill>
                    <w14:schemeClr w14:val="tx1"/>
                  </w14:solidFill>
                </w14:textFill>
              </w:rPr>
              <w:t>生产经营主体纳入农产品质量</w:t>
            </w:r>
            <w:r>
              <w:rPr>
                <w:rFonts w:hint="eastAsia" w:ascii="仿宋" w:hAnsi="仿宋" w:eastAsia="仿宋" w:cs="宋体"/>
                <w:color w:val="000000" w:themeColor="text1"/>
                <w:kern w:val="0"/>
                <w:sz w:val="22"/>
                <w14:textFill>
                  <w14:solidFill>
                    <w14:schemeClr w14:val="tx1"/>
                  </w14:solidFill>
                </w14:textFill>
              </w:rPr>
              <w:t>追溯</w:t>
            </w:r>
            <w:r>
              <w:rPr>
                <w:rFonts w:ascii="仿宋" w:hAnsi="仿宋" w:eastAsia="仿宋" w:cs="宋体"/>
                <w:color w:val="000000" w:themeColor="text1"/>
                <w:kern w:val="0"/>
                <w:sz w:val="22"/>
                <w14:textFill>
                  <w14:solidFill>
                    <w14:schemeClr w14:val="tx1"/>
                  </w14:solidFill>
                </w14:textFill>
              </w:rPr>
              <w:t>信息平台信息库</w:t>
            </w:r>
            <w:r>
              <w:rPr>
                <w:rFonts w:hint="eastAsia" w:ascii="仿宋" w:hAnsi="仿宋" w:eastAsia="仿宋" w:cs="宋体"/>
                <w:color w:val="000000" w:themeColor="text1"/>
                <w:kern w:val="0"/>
                <w:sz w:val="22"/>
                <w14:textFill>
                  <w14:solidFill>
                    <w14:schemeClr w14:val="tx1"/>
                  </w14:solidFill>
                </w14:textFill>
              </w:rPr>
              <w:t>完成率（%）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ascii="仿宋" w:hAnsi="仿宋" w:eastAsia="仿宋" w:cs="宋体"/>
                <w:color w:val="000000" w:themeColor="text1"/>
                <w:kern w:val="0"/>
                <w:sz w:val="22"/>
                <w14:textFill>
                  <w14:solidFill>
                    <w14:schemeClr w14:val="tx1"/>
                  </w14:solidFill>
                </w14:textFill>
              </w:rPr>
              <w:t>9</w:t>
            </w:r>
            <w:r>
              <w:rPr>
                <w:rFonts w:hint="eastAsia" w:ascii="仿宋" w:hAnsi="仿宋" w:eastAsia="仿宋" w:cs="宋体"/>
                <w:color w:val="000000" w:themeColor="text1"/>
                <w:kern w:val="0"/>
                <w:sz w:val="22"/>
                <w14:textFill>
                  <w14:solidFill>
                    <w14:schemeClr w14:val="tx1"/>
                  </w14:solidFill>
                </w14:textFill>
              </w:rPr>
              <w:t>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15</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学校食堂“互联网+明厨亮灶”完成率（%）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16</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食品企业配备专职质量安全管理人员比例（%）</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7</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公众食品安全满意度（%）</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8</w:t>
            </w:r>
            <w:r>
              <w:rPr>
                <w:rFonts w:ascii="仿宋" w:hAnsi="仿宋" w:eastAsia="仿宋" w:cs="宋体"/>
                <w:color w:val="000000" w:themeColor="text1"/>
                <w:kern w:val="0"/>
                <w:sz w:val="22"/>
                <w14:textFill>
                  <w14:solidFill>
                    <w14:schemeClr w14:val="tx1"/>
                  </w14:solidFill>
                </w14:textFill>
              </w:rPr>
              <w:t>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8</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食品生产企业食品安全管理体系认证比例（%）</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00</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00</w:t>
            </w:r>
            <w:r>
              <w:rPr>
                <w:rFonts w:hint="eastAsia" w:ascii="仿宋" w:hAnsi="仿宋" w:eastAsia="仿宋" w:cs="宋体"/>
                <w:color w:val="000000" w:themeColor="text1"/>
                <w:kern w:val="0"/>
                <w:sz w:val="22"/>
                <w14:textFill>
                  <w14:solidFill>
                    <w14:schemeClr w14:val="tx1"/>
                  </w14:solidFill>
                </w14:textFill>
              </w:rPr>
              <w:t>人以上</w:t>
            </w: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9</w:t>
            </w:r>
          </w:p>
        </w:tc>
        <w:tc>
          <w:tcPr>
            <w:tcW w:w="5670"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餐饮单位食品安全量化等级</w:t>
            </w:r>
            <w:r>
              <w:rPr>
                <w:rFonts w:ascii="仿宋" w:hAnsi="仿宋" w:eastAsia="仿宋" w:cs="宋体"/>
                <w:color w:val="000000" w:themeColor="text1"/>
                <w:kern w:val="0"/>
                <w:sz w:val="22"/>
                <w14:textFill>
                  <w14:solidFill>
                    <w14:schemeClr w14:val="tx1"/>
                  </w14:solidFill>
                </w14:textFill>
              </w:rPr>
              <w:t>A级率（%）</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2</w:t>
            </w:r>
            <w:r>
              <w:rPr>
                <w:rFonts w:ascii="仿宋" w:hAnsi="仿宋" w:eastAsia="仿宋" w:cs="宋体"/>
                <w:color w:val="000000" w:themeColor="text1"/>
                <w:kern w:val="0"/>
                <w:sz w:val="22"/>
                <w14:textFill>
                  <w14:solidFill>
                    <w14:schemeClr w14:val="tx1"/>
                  </w14:solidFill>
                </w14:textFill>
              </w:rPr>
              <w:t>5</w:t>
            </w:r>
          </w:p>
        </w:tc>
        <w:tc>
          <w:tcPr>
            <w:tcW w:w="1560" w:type="dxa"/>
            <w:tcBorders>
              <w:top w:val="nil"/>
              <w:left w:val="nil"/>
              <w:bottom w:val="single" w:color="auto" w:sz="4"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人数800人以上）</w:t>
            </w:r>
          </w:p>
        </w:tc>
      </w:tr>
      <w:tr>
        <w:tblPrEx>
          <w:tblCellMar>
            <w:top w:w="0" w:type="dxa"/>
            <w:left w:w="108" w:type="dxa"/>
            <w:bottom w:w="0" w:type="dxa"/>
            <w:right w:w="108" w:type="dxa"/>
          </w:tblCellMar>
        </w:tblPrEx>
        <w:trPr>
          <w:trHeight w:val="390" w:hRule="atLeast"/>
        </w:trPr>
        <w:tc>
          <w:tcPr>
            <w:tcW w:w="557" w:type="dxa"/>
            <w:tcBorders>
              <w:top w:val="nil"/>
              <w:left w:val="single" w:color="auto" w:sz="8" w:space="0"/>
              <w:bottom w:val="single" w:color="auto" w:sz="8"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2</w:t>
            </w:r>
            <w:r>
              <w:rPr>
                <w:rFonts w:ascii="仿宋" w:hAnsi="仿宋" w:eastAsia="仿宋" w:cs="宋体"/>
                <w:color w:val="000000" w:themeColor="text1"/>
                <w:kern w:val="0"/>
                <w:sz w:val="22"/>
                <w14:textFill>
                  <w14:solidFill>
                    <w14:schemeClr w14:val="tx1"/>
                  </w14:solidFill>
                </w14:textFill>
              </w:rPr>
              <w:t>0</w:t>
            </w:r>
          </w:p>
        </w:tc>
        <w:tc>
          <w:tcPr>
            <w:tcW w:w="5670" w:type="dxa"/>
            <w:tcBorders>
              <w:top w:val="nil"/>
              <w:left w:val="nil"/>
              <w:bottom w:val="single" w:color="auto" w:sz="8"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食品药品抽样检验预算经费达标率</w:t>
            </w:r>
          </w:p>
        </w:tc>
        <w:tc>
          <w:tcPr>
            <w:tcW w:w="1134" w:type="dxa"/>
            <w:tcBorders>
              <w:top w:val="nil"/>
              <w:left w:val="nil"/>
              <w:bottom w:val="single" w:color="auto" w:sz="8" w:space="0"/>
              <w:right w:val="single" w:color="auto" w:sz="4" w:space="0"/>
            </w:tcBorders>
            <w:shd w:val="clear" w:color="auto" w:fill="auto"/>
            <w:noWrap/>
            <w:vAlign w:val="center"/>
          </w:tcPr>
          <w:p>
            <w:pPr>
              <w:widowControl/>
              <w:adjustRightInd w:val="0"/>
              <w:snapToGrid w:val="0"/>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宋体"/>
                <w:color w:val="000000" w:themeColor="text1"/>
                <w:kern w:val="0"/>
                <w:sz w:val="22"/>
                <w14:textFill>
                  <w14:solidFill>
                    <w14:schemeClr w14:val="tx1"/>
                  </w14:solidFill>
                </w14:textFill>
              </w:rPr>
              <w:t>1</w:t>
            </w:r>
            <w:r>
              <w:rPr>
                <w:rFonts w:ascii="仿宋" w:hAnsi="仿宋" w:eastAsia="仿宋" w:cs="宋体"/>
                <w:color w:val="000000" w:themeColor="text1"/>
                <w:kern w:val="0"/>
                <w:sz w:val="22"/>
                <w14:textFill>
                  <w14:solidFill>
                    <w14:schemeClr w14:val="tx1"/>
                  </w14:solidFill>
                </w14:textFill>
              </w:rPr>
              <w:t>00</w:t>
            </w:r>
          </w:p>
        </w:tc>
        <w:tc>
          <w:tcPr>
            <w:tcW w:w="1560" w:type="dxa"/>
            <w:tcBorders>
              <w:top w:val="nil"/>
              <w:left w:val="nil"/>
              <w:bottom w:val="single" w:color="auto" w:sz="8" w:space="0"/>
              <w:right w:val="single" w:color="auto" w:sz="8" w:space="0"/>
            </w:tcBorders>
            <w:shd w:val="clear" w:color="auto" w:fill="auto"/>
            <w:noWrap/>
            <w:vAlign w:val="center"/>
          </w:tcPr>
          <w:p>
            <w:pPr>
              <w:widowControl/>
              <w:adjustRightInd w:val="0"/>
              <w:snapToGrid w:val="0"/>
              <w:rPr>
                <w:rFonts w:ascii="仿宋" w:hAnsi="仿宋" w:eastAsia="仿宋" w:cs="宋体"/>
                <w:color w:val="000000" w:themeColor="text1"/>
                <w:kern w:val="0"/>
                <w:szCs w:val="21"/>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 xml:space="preserve">四、主要任务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（一）完善相应监督管理体系和健全食品药品安全应急处置体系，打造食品药品安全示范城市和单位。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加快完善与新形势下的专业化监管体系，建立健全食品和药品检查、检测、审评、准入等监管组织架构，保障食品药品安全监管的系统性和科学性。根据产业分布特点，市级监管部门探索建立区域性监管分支机构，提升监管效能。县级加强综合执法队伍的食品药品监管专业力量配备，探索建立专业化食品药品检查员队伍，推动技术资源和服务资源向基层集聚，实现监管资源的科学配置。探索食品药品重大事故应急救援机制，制定《邵阳市食品药品重大事故应急救援行动方案》，组建食品药品重大事故应急救援行动小组，统筹全市的食品药品重大事故处理。制定实施食品药品安全应急处置规范，完善应急预案，开展应急管理培训，每年至少组织应急演练一次。建立应急药品供应数据库，制订应急药品保障预案，确保突发事件应急药品的有效供应，探索建立常用应急药品（如破抗）储备情况定期通报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集中解决食品药品安全方面存在的突出问题，实现安全保障体系进一步完善、依法监管能力进一步提升、食品药品安全形势持续稳定向好、群众食品药品安全满意度持续提高的目标。推动开展食品药品安全示范店、示范单位的创建，明确建设标准和等级，鼓励引导企业提高管理成效，提升管理品质。利用各种宣传手段和平台，宣传示范单位先进典型，吸引社会眼球和消费者关注，促进守法经营企业的管理投入与经济效益同步提升。巩固和优化市、区、街（镇）三级食品药品监管体制机制，完善街（镇）食品药品安全监管员制度，确保街（镇）的监管人员编制达标95%以上，同时强化重点领域、重点环节、重点市场的监管覆盖，各级食品药品监管机构基础设施建设及装备配备达到国家、省相关标准，充分满足基层执法需要。形成食品药品行政管理、监管执法、技术支撑和基层监管“四位一体”监管体系建设，不断提升食品药品安全保障水平。以点带面，将邵东市、武冈市和洞口县发展为食品药品安全示范城市，带动邵阳市的食品药品安全管理保障能力提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探索“行刑纪”衔接机制，强化行政、刑事、纪检联动。完善各级食品药品监管部门的权力清单和责任清单，厘清职责模糊领域，全面堵塞监管漏洞和盲区、 消除监管空白地带。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（二）进一步强化源头管理，完善源头的追溯体系，强化平台管理。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食品安全委员会统筹市场监督管理局、农业农村局及其相关部门，强化农产品的源头管理，实施农业标准化推广工程，推行良好农业规范，推进新鲜蔬菜、干制蔬菜和中药材饮片等种植户、农民专业合作经济组织标准化生产建设和农产品批发市场的市场主体责任建设，强化农药、兽药和食品添加剂使用规范，杜绝高毒农药兽药和非法添加食品添加剂的违规使用。支持“三品一标”（无公害农产品、绿色食品、有机农产品和农产品地理标志）品牌农产品发展，提高安全优质品牌农产品比重。建立健全畜禽屠宰管理制度，加强病死畜禽、屠宰废弃物无害化处理和资源化利用。建立完善食用农产品产地准出管理与市场准入管理衔接机制。加大对大气、水源、土壤污染治理力度，降低污染物排放对食品质量安全的影响。加强粮食质量安全监测与监管，建立健全不合格粮食处置长效机制，做好污染粮食收购和处置。按照农贸市场的规模，200平方米以上的农贸市场都要配置10平方米以上食品安全快速检测室，并配置相应的快检设备和操作人员，食品安全检测项目覆盖农药残留、非法添加和重金属等，主要农产品食品安全省级以上例行监测综合合格率达到96％以上。同时，运用现代互联网技术，每个县（市）建立一个标准的农产品交易追溯平台，确保农产品交易信息可以实现在线跟踪和追溯，促使农产品和中药材质量安全保障长效机制进一步完善。预包装食品产业实现集约化、规模化和标准化生产，逐步推广食品安全管理体系的建立，到2025年，规模以上企业食品安全管理体系全覆盖，小作坊式的生产企业逐步纳入食品安全管理体系管理，基本建立食品安全管理体系管理要求。推进“两证一追溯”农产品质量安全体系，加强重大动植物疫情预警体系和防疫体系建设。创建5个以上农产品质量安全县，争取全市90%以上规模生产经营主体纳入农产品质量追溯信息平台信息库。</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（三）食品药品安全联动机制，完善风险监测和风险交流机制。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制定重大食品药品安全事件的风险管理制度，联合湖南省内的高校食品药品安全管理专家，建立邵阳市食品药品安全风险管理模型和风险管理专家团队，促使邵阳市的食品药品安全风险管理水平提升。食品抽检样品数达到4批次/千人,食品抽检合格率稳定在98%以上，覆盖率100%;药品抽检样品数达到1批次/万人，药品监督抽验覆盖率达到100%，药品抽检合格率98%。食源性流行病学监测不低于1000份/百万人，全市年药品不良反应监测不低于500份/百万人，医疗器械不良事件监测不低于100份/百万人。实现风险分类分级管理，本市食品监督抽检和风险监测（地区、主要供应渠道和类别）覆盖率、食品安全风险监测完成率。到2025年，全面建成“15分钟城市社区健康服务圈”和“30分钟乡村健康服务圈”。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（四）强化技术和人才支撑，建立专业化的监管队伍，建成统一权威的监管体系。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完善检验检测体系。分析是工业的眼睛，完善分析检验体系是食品药品安全监督管理的有效手段。在优化整合现有的食品药品检验资产，合理规划新建检验机构，完善资源共享、协调一致、运转高效，建立公正权威的检验检测体系，县（市）级市场监督管理局应建设不少于1000平方米的检测分析站，检测项目应该满足县级日常监督抽查执法的需求。加强现有检验机构的设备配置和人才培养，提高检验能力。支持第三方检测机构在邵阳建设独立的检测场所，引导发展独立、公正、权威、公信的检验检测服务业，建立第三方机构和职能部门检验检测机构优势互补、资源共享、结果互认、权威高效的食品药品安全检验监测体系。严格资质认定，推进检测结果责任终身制，加强对各级各类检验检测机构的监管并定期公示，确保检测结果的科学、准确和公正。按照平均400平方米的标准建设镇派出机构业务及辅助用房，购置执法用车等执法设施设备及操作台、留样柜、显微镜、紫外照度仪、农药残留快速检测仪、冰箱等快检仪器设备。邵阳市北塔区投资2.2亿元新建食品药品检验检测中心，邵阳县投资2.4亿元新建茶油产品质量监督检验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提供食品药品监管技术支撑。立足邵阳市农产品和中药材资源优势，加大食品药品安全投入，加强食品药品安全技术鉴别能力建设，建立与邵阳市高等院校合作，强化食品药品安全风险评估研究、快速简便准确检验检测技术研究、追溯技术及防伪技术研究和智能化监管网络的研究。应用新一代“互联网＋”技术，实现对全市食品药品安全状况的智能监管。建成全市食品药品安全综合监管数据中心，为监管部门和公众提供监管信息服务。各区监管机构及监管所执法人员100％配备移动执法终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食品药品监管队伍岗位设计合理和提升监管队伍的素质和能力。针对基层食品药品监管股室的人员编制状况，每个股室的人员在岗编制不得低于2人，保障执法的规范行和科学性。针对基层监管队伍的专业性人才不足，每年邵阳市财政预算100万元，联合邵阳市的高等院校，对现有食品药品安全监管人员开办专业在职学习班，每次不低于30天，每年2次，确保在职食品药品监管人员100%覆盖，同时加强食品药品人才和专业急需人才招聘和引进，市场监督管理局每年新进人员的专业背景的比例不低于75%。确保“十四五”结束时，食品药品的监管和执法队伍中本科以上学历、食品药品专业人员的比例达到80%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（五）健全食品药品监管网络平台建设，全面实现食品药品监管数字化、信息化管理。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充分利用现代“互联网＋”技术，打造食品药品监管网络平台，将县（市）和区监管系统数字化和信息化，构建食品药品生产经营企业的远程监管体系，将食品药品生产过程关键工序和高风险工序纳入数据采集和远程监控体系，将豆制品、卤制食品、罐头食品、饮料食品、特殊食品、保健食品和药品的配料工序、灌装工序、内包装工序、杀菌工序和特殊产品的储藏纳入远程监控系统，打造“透明车间”和“阳光仓库”。基于餐饮行业的特殊性和风险特点，市和县（市、区）每年预算100万，经营面积超过100平方米以上餐饮经营企业和中小学校食堂、幼儿园食堂和大学食堂100%实施“名厨亮灶”工程。新宁县以豆制品为发展重点，共同建设数字化车间，共同打造湖南省食品加工行业“数字化灯塔工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（六）提升公众食品药品安全科学素养，健全完善食品药品安全社会共治体系。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众的食品药品安全科学素养是食品药品安全管理的重要环节，将食品药品安全纳入公民法制普及、科普常识、职业技能和学生课堂教育。实施食品药品安全立体宣传计划，将食品药品安全纳入公民法制普及、科普宣传、职业技能和学生健康教育内容。深入开展“食品安全宣传周”和“安全用药月”等宣传活动，广泛普及食品药品安全知识，引导公众科学理性消费，提高公众食品药品安全科学素养。每年邵阳市财政支持经费100万元，联合邵阳市的高等院校、行业协会和产业联盟，组织实施食品药品安全科普教育和培训，中小学校学生接受食品药品安全教育课比例达到100％，公众食品药品安全知识知晓度评分维持在85％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加强投诉举报体系建设。畅通投诉举报渠道，健全完善市、县、街（镇）三级食品药品投诉举报体系和全省统一的“12315”投诉举报电话呼叫中心系统，加强与“12345”市民热线对接，严格投诉举报受理处置反馈时限，落实有奖举报政策。鼓励社会公众及行业内部人士举报食品药品安全违法行为。完善信息公开制度。全市食品药品监管部门及时发布行政许可、监督抽检、日常监管、稽查执法、行政处罚等信息，做到标准公开、程序公开、结果公开。加强社会舆论监督。建立与新闻媒体经常性沟通合作机制，支持开展公益性广告宣传和舆论监督，真实、公正报道食品药品安全监管信息。加强舆论引导，建立食品安全谣言综合治理机制，及时发布权威信息，主动回应公众关切，合理引导公众预期。发挥行业自律作用。支持食品药品相关行业协会建立健全行业规范、自律规范、职业道德准则和奖惩机制。形成多方互动局面，共建社会共治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（七）提高依法行政执法水平和能力</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中华人民共和国食品安全法》、《中华人民共和国药品管理法》和《中华人民共和国疫苗管理法》等法律法规要求，结合本市实际，积极做好地方性法规、规章立法调研等工作，加快建立与国家法律体系相配套、与本省公众饮食用药安全需求相适应的地方法规体系，完善法规保障机制，推动出台《邵阳市食品生产小作坊和食品摊贩管理条例》等地方性法规，制定修订《邵阳市中药饮片管理办法》和《邵阳市草药管理办法》等政府规章，以便完善执法的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加强行政执法信息平台建设，推进基层规范化执法，统一行政执法内容、程序、文书、标准，完善行政执法责任制。公开行政权力和责任清单，深化行政审批制度改革，逐步实行无纸化审批，推行行政处罚和行政许可信息公开。完善食品药品行政处罚裁量规则及相关标准，推进理性处罚决定书的实施。落实投诉举报奖励制度，充分发挥举报投诉的案源发现作用，促进社会共治。完善行政执法与刑事司法衔接机制，共享案件信息，落实涉刑案件移送保障措施，探索建立食品药品行政执法与刑事司法联合办案工作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突出问题导向，针对行政执法的突出问题开展执法监督检查。突出目标管理，开展政府食品药品安全目标考核和工作督查,促进严格规范公正文明执法。突出质量提升，开展行政执法案卷评查。规范行政复议程序，完善工作机制，注意分析解决趋势性问题，做到“案结讼止”。落实问责机制，依法追究行政过错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（八）以“重点项目”为抓手，根据“一县一特”，以品牌带动食品药品的安全管理提升，做好邵阳本地食品的“食品放心工程”，做强邵阳本地品牌。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邵阳地区湘西，气候独特，农产品资源丰富，具有特色农产品发展潜力。目前邵阳市的特色产品：邵阳特色米粉、茶籽油、卤制食品、橘子罐头、邵阳红茶、隆回百合及金银花、城步乳制品及竹木特色产品等。以食品安全为抓手，配合市委市政府的重点项目实施和平台建设。对于重点项目，邵阳市市场监督管理局统一派驻专人规范指导，落实食品药品安全主体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以“放心早餐工程”为示范，制订《邵阳米粉店建设与服务规范》《邵阳米粉店等级评定规范》《邵阳米粉厂建设与改造标准》《邵阳米粉（卤菜粉）标准》等产品标准和食品安全地方标准，打造邵阳米粉全产业链，形成特色邵阳米粉供应链体系，重点建设20家以上高水平的放心米粉早餐示范店，发挥示范带动作用，推动形成邵阳米粉规模化、产业化、标准化、绿色化发展格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邵阳县的“油罐子”、“菜篮子”、“米袋子”作为邵阳县的重点发展产业，以重点产品作为突破点，强化重点做好特色产业的食品安全管理，确保特色产品在食品安全符合人民群众的食品安全的需求，提升特色产品的加工从业者的食品安全意识和食品安全管理知识，带动邵阳市整体食品安全管理水平提升。作为“油罐子”、“菜篮子”、“米袋子”是人民日常生活中必需品，提供“油罐子”、“菜篮子”、“米袋子”的食品安全保障能力，为邵阳的农产品及其副产物加工行业融入大湾区提供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助力邵东</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生物医药转型升级的战略</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发挥邵阳市山区资源优势，发展中药材产业，积极推进中药材产业发展综合示范区创建工作，发挥天麻、茯苓、黄精等道地药材优势。引导企业与省内高校建立产学研合作平台，开展中药材重大课题基础性研究，加强特色中药企业的指导和培育；推进我市中药材交易市场药品追溯平台建设，服务和促进中药材产业健康安全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keepNext w:val="0"/>
        <w:keepLines w:val="0"/>
        <w:pageBreakBefore w:val="0"/>
        <w:widowControl/>
        <w:numPr>
          <w:numId w:val="0"/>
        </w:numPr>
        <w:kinsoku/>
        <w:wordWrap/>
        <w:overflowPunct/>
        <w:topLinePunct w:val="0"/>
        <w:autoSpaceDE/>
        <w:autoSpaceDN/>
        <w:bidi w:val="0"/>
        <w:adjustRightInd w:val="0"/>
        <w:snapToGrid w:val="0"/>
        <w:spacing w:line="560" w:lineRule="exact"/>
        <w:jc w:val="center"/>
        <w:textAlignment w:val="auto"/>
        <w:rPr>
          <w:rFonts w:hint="eastAsia"/>
          <w:color w:val="000000" w:themeColor="text1"/>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第三章</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eastAsia="zh-CN"/>
          <w14:textFill>
            <w14:solidFill>
              <w14:schemeClr w14:val="tx1"/>
            </w14:solidFill>
          </w14:textFill>
        </w:rPr>
        <w:t>保障措施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一、坚持政府主导，提高食品药品安全意识</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充分发挥政府的组织、领导、引导和推动作用，加快构建统一权威、科学高效的食品药品安全综合治理体系，建立高效快捷的食品药品监管网络。充分发挥食品安全委员会的职能，将食品安全委员会与生产安全等同配置，鼓励和调动各级监管部门、行业协会和社会各界的力量参与监督，加快形成企业自律、政府监管、社会协同、公众参与的社会共治格局。同时，政府设立食品药品安全举报奖励基金，鼓励公众依法举报食品药品安全的制假和售假行为。依托政务信息资源共享交换平台、信用信息共享平台，食品药品安全追溯平台，建设全市市场监管信息共享数据库和交换系统，并实现与国家企业信用信息公示系统（“全国一张网”）对接。到2025年，实现政务信息资源共享率达95%以上。建立市场监管大数据标准规范，制定大数据的基础标准、技术标准、应用标准和管理标准等。</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二、坚持财政和人力保障，确保投入。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探索建立相适应的发展政策和经费保障机制，实现食品和药品安全监管有健全机制、有专业队伍、有经费保障、有执法装备的“四有”目标。政府应根据监管实际情况加大经费投入，科学预算，确保食品药品安全重点工程、重点任务、重点环节建设经费。食品药品安全财政投入（工资福利除外）不得低于同级GDP值得0.01%，根据事权划分和科学测算，食品药品安全保障经费纳入各级政府的预算，并保证“两个100%”，即100%保证食品药品监督抽样的检验经费和100%保证食品药品安全的科普活动的经费，保证食品药品安全有钱办事、持续投入。按照编制要求和三定方案，确保食品药品安全监管人员数量和能力符合新形势下的食品药品安全监管。食品药品安全监管的手段和检测能力满足监管的需要，邵阳市级的检验机构的检验项目应100%覆盖监管产品的检测指标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三、坚持权责一致，分级负责。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规划是全市“十四五”期间食品、药品、医疗器械、特殊食品和保健食品、化妆品安全监管的纲领性文件，规划的实施是履行政府职能的具体体现。按照党政同则和事权划分原则，科学划分各级政府和监管部门的权责，完善工作机制，坚持一级抓一级、一级对一级负责，落实生产经营企业主体责任和部门市场监管责任和属地政府的领导责任。以食品安全委员会为主抓手，市场监督管理部门负责组织实施，市发改委、财政局、农业农村局、商务局等相关部门支持配合，制定食品药品安全评估考核办法。在规划实施过程中，应强化党的领导作用，以党委负责制，立足当前，着眼长远，重点保障，整体推进。各级政府将规划目标任务作为药品安全工作督查和考核评价的重要内容，健全完善地方考核“评估体系和监督机制，强化履责绩效评价。探索运用“互联网＋督查”，持续改进方式方法，提高监督效率和质量，加强规划实施情况监测、中期考核和效果评估，确保规划目标和任务落实到位，每年市场监督管理局需要向市委提交食品药品安全目标的实施状况和整体推进的效果，并提出滚动实施方案，保证规划有效实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四、建立完善诚信体系建设</w:t>
      </w:r>
      <w:r>
        <w:rPr>
          <w:rFonts w:hint="eastAsia" w:ascii="楷体" w:hAnsi="楷体" w:eastAsia="楷体" w:cs="楷体"/>
          <w:b/>
          <w:bCs/>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社会信用体系建设是优化营商环境、营造良好社会生态、实现市场经济良性发展的内在需要。随着市场经济快速发展，全社会对于信用以及信用工具的需求愈发强烈，社会信用体系可以为市场提供一种可信赖的“软环境”。社会信用体系建设是弘扬社会主义核心价值观、构建诚信社会的重要途径。诚信是中华民族的传统美德，是中华传统文化的优秀基因，也是社会主义核心价值观的重要内容之一。通过信用体系建设，能够在全社会推动树立正确的诚信观、构建诚信社会。将信用工具与市场管理、公共服务、营商环境建设深度结合，可以让政府部门更好地了解不同地区、行业和企业的失信和守信情况，抓住失信重点领域，鼓励信用优质的守信主体，有的放矢地合理分配监管资源，提高监管效率。着手建立食品药品行业信用和从业人员信用档案信息化系统，推进信用信息异地和部门间共享，促进信用状况与市场挂钩，建立实施统一的“黑名单”制度，推动信用报告制度，形成市场倒逼企业守法经营的机制。持续推进“双随机、一公开”监管、涉企信息归集公示、诚信典型创建、分级管理、联合惩戒等监管措施，试点实行市场主体住所申报承诺制改革，畅通信用修复渠道，构建以信用监管为基础的新型监管机制，探索建立诚信档案普通民众即时查询手段，强化企业诚信经营的意识，不断推进我市诚信体系建设。</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五、坚持严格监管，公正透明。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坚持严格执法、公正执法，首先要求执法者坚守职业良知，坚守法治信仰。作为执法者，不仅要知法、懂法，更要自觉守法、护法，养成惩恶扬善、执法如山的浩然正气，树立只服从事实、只服从法律的坚定信念。唯有从内心深处筑牢严格执法、公正执法的思想根基，才能真正把法律作为第一遵循，才能肩扛公正天平、手持正义之剑，做到努力在每一起案件办理、每一个执法司法环节上都能体现公平正义。</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坚持源头治理、标本兼治，实施最严谨的标准、最严格的监管、最严厉的处罚、最严肃的问责，推进治理体系和治理能力的现代化。坚持公开、公正、透明执法，保障市场主体和群众的知情权、参与权、监督权，建立规范合序、诚信守法、监管有力的市场秩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坚持严格执法、公正执法，要靠制度来保障。规范和约束执法行为，仅靠执法者的自律和良知远远不够，还需要把执法权力装进制度的笼子里运行，针对容易发生执法不严、司法不公问题的重点领域和关键环节，完善执法制度，细化执法标准，规范执法程序，健全执法监督，坚持以管理科学化、执法信息化推动执法规范化，坚持以公开促公正、以透明保廉洁，构建决策科学、执行坚决、监督有力的执法司法权运行体系，从源头上预防执法“失范”现象，让暗箱操作没有空间，让司法腐败无法藏身，让正义以公众“看得见”的方式实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440" w:lineRule="exact"/>
        <w:ind w:firstLine="480" w:firstLineChars="200"/>
        <w:jc w:val="center"/>
        <w:rPr>
          <w:rFonts w:hint="eastAsia" w:ascii="仿宋" w:hAnsi="仿宋" w:eastAsia="仿宋" w:cs="Arial"/>
          <w:color w:val="000000" w:themeColor="text1"/>
          <w:kern w:val="0"/>
          <w:sz w:val="24"/>
          <w:szCs w:val="24"/>
          <w14:textFill>
            <w14:solidFill>
              <w14:schemeClr w14:val="tx1"/>
            </w14:solidFill>
          </w14:textFill>
        </w:rPr>
      </w:pPr>
    </w:p>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附件一、支持重点项目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79"/>
        <w:gridCol w:w="709"/>
        <w:gridCol w:w="709"/>
        <w:gridCol w:w="1559"/>
        <w:gridCol w:w="5245"/>
        <w:gridCol w:w="708"/>
        <w:gridCol w:w="709"/>
        <w:gridCol w:w="11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序号</w:t>
            </w:r>
          </w:p>
        </w:tc>
        <w:tc>
          <w:tcPr>
            <w:tcW w:w="197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项目名称</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项目性质</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建设地</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承担单位</w:t>
            </w:r>
          </w:p>
        </w:tc>
        <w:tc>
          <w:tcPr>
            <w:tcW w:w="5245"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内容概况</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开工年份</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竣工年份</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十四五投资额</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（亿元）</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w:t>
            </w:r>
          </w:p>
        </w:tc>
        <w:tc>
          <w:tcPr>
            <w:tcW w:w="1979"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邵阳市食药用菌健康产业科技示范园</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续建</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大祥区</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湖南可诺耶生物科技有限公司</w:t>
            </w:r>
          </w:p>
        </w:tc>
        <w:tc>
          <w:tcPr>
            <w:tcW w:w="5245"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1、新建真菌多糖提取及加工车间</w:t>
            </w:r>
            <w:r>
              <w:rPr>
                <w:rFonts w:ascii="仿宋" w:hAnsi="仿宋" w:eastAsia="仿宋" w:cs="Arial"/>
                <w:color w:val="000000" w:themeColor="text1"/>
                <w:kern w:val="0"/>
                <w:szCs w:val="21"/>
                <w14:textFill>
                  <w14:solidFill>
                    <w14:schemeClr w14:val="tx1"/>
                  </w14:solidFill>
                </w14:textFill>
              </w:rPr>
              <w:t xml:space="preserve">13000 </w:t>
            </w:r>
            <w:r>
              <w:rPr>
                <w:rFonts w:hint="eastAsia" w:ascii="仿宋" w:hAnsi="仿宋" w:eastAsia="仿宋" w:cs="Arial"/>
                <w:color w:val="000000" w:themeColor="text1"/>
                <w:kern w:val="0"/>
                <w:szCs w:val="21"/>
                <w14:textFill>
                  <w14:solidFill>
                    <w14:schemeClr w14:val="tx1"/>
                  </w14:solidFill>
                </w14:textFill>
              </w:rPr>
              <w:t>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,菌类展览馆2</w:t>
            </w:r>
            <w:r>
              <w:rPr>
                <w:rFonts w:ascii="仿宋" w:hAnsi="仿宋" w:eastAsia="仿宋" w:cs="Arial"/>
                <w:color w:val="000000" w:themeColor="text1"/>
                <w:kern w:val="0"/>
                <w:szCs w:val="21"/>
                <w14:textFill>
                  <w14:solidFill>
                    <w14:schemeClr w14:val="tx1"/>
                  </w14:solidFill>
                </w14:textFill>
              </w:rPr>
              <w:t>000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，冷链物流3</w:t>
            </w:r>
            <w:r>
              <w:rPr>
                <w:rFonts w:ascii="仿宋" w:hAnsi="仿宋" w:eastAsia="仿宋" w:cs="Arial"/>
                <w:color w:val="000000" w:themeColor="text1"/>
                <w:kern w:val="0"/>
                <w:szCs w:val="21"/>
                <w14:textFill>
                  <w14:solidFill>
                    <w14:schemeClr w14:val="tx1"/>
                  </w14:solidFill>
                </w14:textFill>
              </w:rPr>
              <w:t>000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，建设1</w:t>
            </w:r>
            <w:r>
              <w:rPr>
                <w:rFonts w:ascii="仿宋" w:hAnsi="仿宋" w:eastAsia="仿宋" w:cs="Arial"/>
                <w:color w:val="000000" w:themeColor="text1"/>
                <w:kern w:val="0"/>
                <w:szCs w:val="21"/>
                <w14:textFill>
                  <w14:solidFill>
                    <w14:schemeClr w14:val="tx1"/>
                  </w14:solidFill>
                </w14:textFill>
              </w:rPr>
              <w:t>0000</w:t>
            </w:r>
            <w:r>
              <w:rPr>
                <w:rFonts w:hint="eastAsia" w:ascii="仿宋" w:hAnsi="仿宋" w:eastAsia="仿宋" w:cs="Arial"/>
                <w:color w:val="000000" w:themeColor="text1"/>
                <w:kern w:val="0"/>
                <w:szCs w:val="21"/>
                <w14:textFill>
                  <w14:solidFill>
                    <w14:schemeClr w14:val="tx1"/>
                  </w14:solidFill>
                </w14:textFill>
              </w:rPr>
              <w:t>t蔬菜（食用菌）深加工健康产业基地。</w:t>
            </w:r>
          </w:p>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、食用菌驯化及硒多糖提取研究项目建设科研实验室3</w:t>
            </w:r>
            <w:r>
              <w:rPr>
                <w:rFonts w:ascii="仿宋" w:hAnsi="仿宋" w:eastAsia="仿宋" w:cs="Arial"/>
                <w:color w:val="000000" w:themeColor="text1"/>
                <w:kern w:val="0"/>
                <w:szCs w:val="21"/>
                <w14:textFill>
                  <w14:solidFill>
                    <w14:schemeClr w14:val="tx1"/>
                  </w14:solidFill>
                </w14:textFill>
              </w:rPr>
              <w:t>500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，食用菌驯化玻璃温室2</w:t>
            </w:r>
            <w:r>
              <w:rPr>
                <w:rFonts w:ascii="仿宋" w:hAnsi="仿宋" w:eastAsia="仿宋" w:cs="Arial"/>
                <w:color w:val="000000" w:themeColor="text1"/>
                <w:kern w:val="0"/>
                <w:szCs w:val="21"/>
                <w14:textFill>
                  <w14:solidFill>
                    <w14:schemeClr w14:val="tx1"/>
                  </w14:solidFill>
                </w14:textFill>
              </w:rPr>
              <w:t>000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，及其辅助设施建设。</w:t>
            </w:r>
          </w:p>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3、新建建筑面积1</w:t>
            </w:r>
            <w:r>
              <w:rPr>
                <w:rFonts w:ascii="仿宋" w:hAnsi="仿宋" w:eastAsia="仿宋" w:cs="Arial"/>
                <w:color w:val="000000" w:themeColor="text1"/>
                <w:kern w:val="0"/>
                <w:szCs w:val="21"/>
                <w14:textFill>
                  <w14:solidFill>
                    <w14:schemeClr w14:val="tx1"/>
                  </w14:solidFill>
                </w14:textFill>
              </w:rPr>
              <w:t>0</w:t>
            </w:r>
            <w:r>
              <w:rPr>
                <w:rFonts w:hint="eastAsia" w:ascii="仿宋" w:hAnsi="仿宋" w:eastAsia="仿宋" w:cs="Arial"/>
                <w:color w:val="000000" w:themeColor="text1"/>
                <w:kern w:val="0"/>
                <w:szCs w:val="21"/>
                <w14:textFill>
                  <w14:solidFill>
                    <w14:schemeClr w14:val="tx1"/>
                  </w14:solidFill>
                </w14:textFill>
              </w:rPr>
              <w:t>万</w:t>
            </w:r>
            <w:r>
              <w:rPr>
                <w:rFonts w:ascii="仿宋" w:hAnsi="仿宋" w:eastAsia="仿宋" w:cs="Arial"/>
                <w:color w:val="000000" w:themeColor="text1"/>
                <w:kern w:val="0"/>
                <w:szCs w:val="21"/>
                <w14:textFill>
                  <w14:solidFill>
                    <w14:schemeClr w14:val="tx1"/>
                  </w14:solidFill>
                </w14:textFill>
              </w:rPr>
              <w:t xml:space="preserve"> </w:t>
            </w:r>
            <w:r>
              <w:rPr>
                <w:rFonts w:hint="eastAsia" w:ascii="仿宋" w:hAnsi="仿宋" w:eastAsia="仿宋" w:cs="Arial"/>
                <w:color w:val="000000" w:themeColor="text1"/>
                <w:kern w:val="0"/>
                <w:szCs w:val="21"/>
                <w14:textFill>
                  <w14:solidFill>
                    <w14:schemeClr w14:val="tx1"/>
                  </w14:solidFill>
                </w14:textFill>
              </w:rPr>
              <w:t>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，新建蔬菜、瓜果、农产品、菌类深加工区和冷链物流区5个功能区</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020</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023</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w:t>
            </w:r>
            <w:r>
              <w:rPr>
                <w:rFonts w:ascii="仿宋" w:hAnsi="仿宋" w:eastAsia="仿宋" w:cs="Arial"/>
                <w:color w:val="000000" w:themeColor="text1"/>
                <w:kern w:val="0"/>
                <w:szCs w:val="21"/>
                <w14:textFill>
                  <w14:solidFill>
                    <w14:schemeClr w14:val="tx1"/>
                  </w14:solidFill>
                </w14:textFill>
              </w:rPr>
              <w:t>6.2</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p>
        </w:tc>
        <w:tc>
          <w:tcPr>
            <w:tcW w:w="1979"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湖南中南制药甾体激素类制剂药物研发及生产项目</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双清区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湖南中南制药责任有限公司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新建生产线2条，新增甾体激素类制剂药物5亿片/年，新增设备3</w:t>
            </w:r>
            <w:r>
              <w:rPr>
                <w:rFonts w:ascii="仿宋" w:hAnsi="仿宋" w:eastAsia="仿宋" w:cs="Arial"/>
                <w:color w:val="000000" w:themeColor="text1"/>
                <w:kern w:val="0"/>
                <w:szCs w:val="21"/>
                <w14:textFill>
                  <w14:solidFill>
                    <w14:schemeClr w14:val="tx1"/>
                  </w14:solidFill>
                </w14:textFill>
              </w:rPr>
              <w:t>00</w:t>
            </w:r>
            <w:r>
              <w:rPr>
                <w:rFonts w:hint="eastAsia" w:ascii="仿宋" w:hAnsi="仿宋" w:eastAsia="仿宋" w:cs="Arial"/>
                <w:color w:val="000000" w:themeColor="text1"/>
                <w:kern w:val="0"/>
                <w:szCs w:val="21"/>
                <w14:textFill>
                  <w14:solidFill>
                    <w14:schemeClr w14:val="tx1"/>
                  </w14:solidFill>
                </w14:textFill>
              </w:rPr>
              <w:t>台</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3</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邵东福和医疗器械生产线</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邵东市</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湖南福和锦荣科技有限公司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新建2条医疗仪器设备及器械制造生产线，新建厂房面积1</w:t>
            </w:r>
            <w:r>
              <w:rPr>
                <w:rFonts w:ascii="仿宋" w:hAnsi="仿宋" w:eastAsia="仿宋" w:cs="Arial"/>
                <w:color w:val="000000" w:themeColor="text1"/>
                <w:kern w:val="0"/>
                <w:szCs w:val="21"/>
                <w14:textFill>
                  <w14:solidFill>
                    <w14:schemeClr w14:val="tx1"/>
                  </w14:solidFill>
                </w14:textFill>
              </w:rPr>
              <w:t>2000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022</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4</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邵东中药饮片加工产业园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续建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邵东市</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邵东市商务局</w:t>
            </w:r>
          </w:p>
        </w:tc>
        <w:tc>
          <w:tcPr>
            <w:tcW w:w="5245"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招商引进中药饮片生产企业1</w:t>
            </w:r>
            <w:r>
              <w:rPr>
                <w:rFonts w:ascii="仿宋" w:hAnsi="仿宋" w:eastAsia="仿宋" w:cs="Arial"/>
                <w:color w:val="000000" w:themeColor="text1"/>
                <w:kern w:val="0"/>
                <w:szCs w:val="21"/>
                <w14:textFill>
                  <w14:solidFill>
                    <w14:schemeClr w14:val="tx1"/>
                  </w14:solidFill>
                </w14:textFill>
              </w:rPr>
              <w:t>0</w:t>
            </w:r>
            <w:r>
              <w:rPr>
                <w:rFonts w:hint="eastAsia" w:ascii="仿宋" w:hAnsi="仿宋" w:eastAsia="仿宋" w:cs="Arial"/>
                <w:color w:val="000000" w:themeColor="text1"/>
                <w:kern w:val="0"/>
                <w:szCs w:val="21"/>
                <w14:textFill>
                  <w14:solidFill>
                    <w14:schemeClr w14:val="tx1"/>
                  </w14:solidFill>
                </w14:textFill>
              </w:rPr>
              <w:t>家，新建加工生产线1</w:t>
            </w:r>
            <w:r>
              <w:rPr>
                <w:rFonts w:ascii="仿宋" w:hAnsi="仿宋" w:eastAsia="仿宋" w:cs="Arial"/>
                <w:color w:val="000000" w:themeColor="text1"/>
                <w:kern w:val="0"/>
                <w:szCs w:val="21"/>
                <w14:textFill>
                  <w14:solidFill>
                    <w14:schemeClr w14:val="tx1"/>
                  </w14:solidFill>
                </w14:textFill>
              </w:rPr>
              <w:t>5</w:t>
            </w:r>
            <w:r>
              <w:rPr>
                <w:rFonts w:hint="eastAsia" w:ascii="仿宋" w:hAnsi="仿宋" w:eastAsia="仿宋" w:cs="Arial"/>
                <w:color w:val="000000" w:themeColor="text1"/>
                <w:kern w:val="0"/>
                <w:szCs w:val="21"/>
                <w14:textFill>
                  <w14:solidFill>
                    <w14:schemeClr w14:val="tx1"/>
                  </w14:solidFill>
                </w14:textFill>
              </w:rPr>
              <w:t>条</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w:t>
            </w:r>
            <w:r>
              <w:rPr>
                <w:rFonts w:ascii="仿宋" w:hAnsi="仿宋" w:eastAsia="仿宋" w:cs="Arial"/>
                <w:color w:val="000000" w:themeColor="text1"/>
                <w:kern w:val="0"/>
                <w:szCs w:val="21"/>
                <w14:textFill>
                  <w14:solidFill>
                    <w14:schemeClr w14:val="tx1"/>
                  </w14:solidFill>
                </w14:textFill>
              </w:rPr>
              <w:t>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5</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北塔区食品药品检验检测中心</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北塔区市场监督管理局</w:t>
            </w:r>
          </w:p>
        </w:tc>
        <w:tc>
          <w:tcPr>
            <w:tcW w:w="5245"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建设食品药品检验检测中心，开展食品、药品、药包材、保健品、化妆品的监督检验、福建和委托检验</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.2</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bl>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79"/>
        <w:gridCol w:w="709"/>
        <w:gridCol w:w="709"/>
        <w:gridCol w:w="1559"/>
        <w:gridCol w:w="5245"/>
        <w:gridCol w:w="708"/>
        <w:gridCol w:w="709"/>
        <w:gridCol w:w="11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bookmarkStart w:id="0" w:name="_Hlk76591415"/>
            <w:r>
              <w:rPr>
                <w:rFonts w:hint="eastAsia" w:ascii="仿宋" w:hAnsi="仿宋" w:eastAsia="仿宋" w:cs="Arial"/>
                <w:color w:val="000000" w:themeColor="text1"/>
                <w:kern w:val="0"/>
                <w:szCs w:val="21"/>
                <w14:textFill>
                  <w14:solidFill>
                    <w14:schemeClr w14:val="tx1"/>
                  </w14:solidFill>
                </w14:textFill>
              </w:rPr>
              <w:t>序号</w:t>
            </w:r>
          </w:p>
        </w:tc>
        <w:tc>
          <w:tcPr>
            <w:tcW w:w="197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项目名称</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项目性质</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建设地</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承担单位</w:t>
            </w:r>
          </w:p>
        </w:tc>
        <w:tc>
          <w:tcPr>
            <w:tcW w:w="5245"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内容概况</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开工年份</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竣工年份</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十四五投资额</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（亿元）</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6</w:t>
            </w:r>
          </w:p>
        </w:tc>
        <w:tc>
          <w:tcPr>
            <w:tcW w:w="1979"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邵阳县茶油产品检验中心</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邵阳县</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邵阳县林业局</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邵阳县油茶服务中心</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邵阳县市场监督管理局</w:t>
            </w:r>
          </w:p>
        </w:tc>
        <w:tc>
          <w:tcPr>
            <w:tcW w:w="5245"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茶油产品质量安全检测站，湖南省油茶产品质量监督检验中心：油茶检测楼、办公室、实验室、实验仪器设备，占地面积1</w:t>
            </w:r>
            <w:r>
              <w:rPr>
                <w:rFonts w:ascii="仿宋" w:hAnsi="仿宋" w:eastAsia="仿宋" w:cs="Arial"/>
                <w:color w:val="000000" w:themeColor="text1"/>
                <w:kern w:val="0"/>
                <w:szCs w:val="21"/>
                <w14:textFill>
                  <w14:solidFill>
                    <w14:schemeClr w14:val="tx1"/>
                  </w14:solidFill>
                </w14:textFill>
              </w:rPr>
              <w:t>663.7</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，总建筑面积6</w:t>
            </w:r>
            <w:r>
              <w:rPr>
                <w:rFonts w:ascii="仿宋" w:hAnsi="仿宋" w:eastAsia="仿宋" w:cs="Arial"/>
                <w:color w:val="000000" w:themeColor="text1"/>
                <w:kern w:val="0"/>
                <w:szCs w:val="21"/>
                <w14:textFill>
                  <w14:solidFill>
                    <w14:schemeClr w14:val="tx1"/>
                  </w14:solidFill>
                </w14:textFill>
              </w:rPr>
              <w:t>993.7</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023</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.4</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7</w:t>
            </w:r>
          </w:p>
        </w:tc>
        <w:tc>
          <w:tcPr>
            <w:tcW w:w="1979"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邵阳市绿色农产品电商（冷链）物流园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续建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大祥区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邵阳中农国发农产品有限公司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占地规模3</w:t>
            </w:r>
            <w:r>
              <w:rPr>
                <w:rFonts w:ascii="仿宋" w:hAnsi="仿宋" w:eastAsia="仿宋" w:cs="Arial"/>
                <w:color w:val="000000" w:themeColor="text1"/>
                <w:kern w:val="0"/>
                <w:szCs w:val="21"/>
                <w14:textFill>
                  <w14:solidFill>
                    <w14:schemeClr w14:val="tx1"/>
                  </w14:solidFill>
                </w14:textFill>
              </w:rPr>
              <w:t>00</w:t>
            </w:r>
            <w:r>
              <w:rPr>
                <w:rFonts w:hint="eastAsia" w:ascii="仿宋" w:hAnsi="仿宋" w:eastAsia="仿宋" w:cs="Arial"/>
                <w:color w:val="000000" w:themeColor="text1"/>
                <w:kern w:val="0"/>
                <w:szCs w:val="21"/>
                <w14:textFill>
                  <w14:solidFill>
                    <w14:schemeClr w14:val="tx1"/>
                  </w14:solidFill>
                </w14:textFill>
              </w:rPr>
              <w:t>亩，规划建设各类建筑面积2</w:t>
            </w:r>
            <w:r>
              <w:rPr>
                <w:rFonts w:ascii="仿宋" w:hAnsi="仿宋" w:eastAsia="仿宋" w:cs="Arial"/>
                <w:color w:val="000000" w:themeColor="text1"/>
                <w:kern w:val="0"/>
                <w:szCs w:val="21"/>
                <w14:textFill>
                  <w14:solidFill>
                    <w14:schemeClr w14:val="tx1"/>
                  </w14:solidFill>
                </w14:textFill>
              </w:rPr>
              <w:t>0</w:t>
            </w:r>
            <w:r>
              <w:rPr>
                <w:rFonts w:hint="eastAsia" w:ascii="仿宋" w:hAnsi="仿宋" w:eastAsia="仿宋" w:cs="Arial"/>
                <w:color w:val="000000" w:themeColor="text1"/>
                <w:kern w:val="0"/>
                <w:szCs w:val="21"/>
                <w14:textFill>
                  <w14:solidFill>
                    <w14:schemeClr w14:val="tx1"/>
                  </w14:solidFill>
                </w14:textFill>
              </w:rPr>
              <w:t>万m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 xml:space="preserve"> ，包括生鲜加工中心、多层冷库、气调保鲜库、制冰及冻结车间、红酒专用仓储、空调食品仓、综合物流配送中心、低温层仓储配送中心、恒温食品仓储配送中心、商务交易中心。</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020</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9.0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8</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湘商产业园农副产品加工物流园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大祥区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湘商产业园开发建设有限公司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规划5</w:t>
            </w:r>
            <w:r>
              <w:rPr>
                <w:rFonts w:ascii="仿宋" w:hAnsi="仿宋" w:eastAsia="仿宋" w:cs="Arial"/>
                <w:color w:val="000000" w:themeColor="text1"/>
                <w:kern w:val="0"/>
                <w:szCs w:val="21"/>
                <w14:textFill>
                  <w14:solidFill>
                    <w14:schemeClr w14:val="tx1"/>
                  </w14:solidFill>
                </w14:textFill>
              </w:rPr>
              <w:t>.1</w:t>
            </w:r>
            <w:r>
              <w:rPr>
                <w:rFonts w:hint="eastAsia" w:ascii="仿宋" w:hAnsi="仿宋" w:eastAsia="仿宋" w:cs="Arial"/>
                <w:color w:val="000000" w:themeColor="text1"/>
                <w:kern w:val="0"/>
                <w:szCs w:val="21"/>
                <w14:textFill>
                  <w14:solidFill>
                    <w14:schemeClr w14:val="tx1"/>
                  </w14:solidFill>
                </w14:textFill>
              </w:rPr>
              <w:t>平方公里、建设农副产品加工物流园机配套设施。一期2</w:t>
            </w:r>
            <w:r>
              <w:rPr>
                <w:rFonts w:ascii="仿宋" w:hAnsi="仿宋" w:eastAsia="仿宋" w:cs="Arial"/>
                <w:color w:val="000000" w:themeColor="text1"/>
                <w:kern w:val="0"/>
                <w:szCs w:val="21"/>
                <w14:textFill>
                  <w14:solidFill>
                    <w14:schemeClr w14:val="tx1"/>
                  </w14:solidFill>
                </w14:textFill>
              </w:rPr>
              <w:t>.1</w:t>
            </w:r>
            <w:r>
              <w:rPr>
                <w:rFonts w:hint="eastAsia" w:ascii="仿宋" w:hAnsi="仿宋" w:eastAsia="仿宋" w:cs="Arial"/>
                <w:color w:val="000000" w:themeColor="text1"/>
                <w:kern w:val="0"/>
                <w:szCs w:val="21"/>
                <w14:textFill>
                  <w14:solidFill>
                    <w14:schemeClr w14:val="tx1"/>
                  </w14:solidFill>
                </w14:textFill>
              </w:rPr>
              <w:t>平方公里，建设标准厂房、园区道路、加工物流园及其园区管理中心</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18.0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9</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湘西南粮食仓储中心</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续建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邵阳经开区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湖南邵阳小江糊国家粮食储备库</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项目规划用地1</w:t>
            </w:r>
            <w:r>
              <w:rPr>
                <w:rFonts w:ascii="仿宋" w:hAnsi="仿宋" w:eastAsia="仿宋" w:cs="Arial"/>
                <w:color w:val="000000" w:themeColor="text1"/>
                <w:kern w:val="0"/>
                <w:szCs w:val="21"/>
                <w14:textFill>
                  <w14:solidFill>
                    <w14:schemeClr w14:val="tx1"/>
                  </w14:solidFill>
                </w14:textFill>
              </w:rPr>
              <w:t>00</w:t>
            </w:r>
            <w:r>
              <w:rPr>
                <w:rFonts w:hint="eastAsia" w:ascii="仿宋" w:hAnsi="仿宋" w:eastAsia="仿宋" w:cs="Arial"/>
                <w:color w:val="000000" w:themeColor="text1"/>
                <w:kern w:val="0"/>
                <w:szCs w:val="21"/>
                <w14:textFill>
                  <w14:solidFill>
                    <w14:schemeClr w14:val="tx1"/>
                  </w14:solidFill>
                </w14:textFill>
              </w:rPr>
              <w:t>亩，概算投资2</w:t>
            </w:r>
            <w:r>
              <w:rPr>
                <w:rFonts w:ascii="仿宋" w:hAnsi="仿宋" w:eastAsia="仿宋" w:cs="Arial"/>
                <w:color w:val="000000" w:themeColor="text1"/>
                <w:kern w:val="0"/>
                <w:szCs w:val="21"/>
                <w14:textFill>
                  <w14:solidFill>
                    <w14:schemeClr w14:val="tx1"/>
                  </w14:solidFill>
                </w14:textFill>
              </w:rPr>
              <w:t>.6</w:t>
            </w:r>
            <w:r>
              <w:rPr>
                <w:rFonts w:hint="eastAsia" w:ascii="仿宋" w:hAnsi="仿宋" w:eastAsia="仿宋" w:cs="Arial"/>
                <w:color w:val="000000" w:themeColor="text1"/>
                <w:kern w:val="0"/>
                <w:szCs w:val="21"/>
                <w14:textFill>
                  <w14:solidFill>
                    <w14:schemeClr w14:val="tx1"/>
                  </w14:solidFill>
                </w14:textFill>
              </w:rPr>
              <w:t>亿元，总建筑面积4</w:t>
            </w:r>
            <w:r>
              <w:rPr>
                <w:rFonts w:ascii="仿宋" w:hAnsi="仿宋" w:eastAsia="仿宋" w:cs="Arial"/>
                <w:color w:val="000000" w:themeColor="text1"/>
                <w:kern w:val="0"/>
                <w:szCs w:val="21"/>
                <w14:textFill>
                  <w14:solidFill>
                    <w14:schemeClr w14:val="tx1"/>
                  </w14:solidFill>
                </w14:textFill>
              </w:rPr>
              <w:t>.9</w:t>
            </w:r>
            <w:r>
              <w:rPr>
                <w:rFonts w:hint="eastAsia" w:ascii="仿宋" w:hAnsi="仿宋" w:eastAsia="仿宋" w:cs="Arial"/>
                <w:color w:val="000000" w:themeColor="text1"/>
                <w:kern w:val="0"/>
                <w:szCs w:val="21"/>
                <w14:textFill>
                  <w14:solidFill>
                    <w14:schemeClr w14:val="tx1"/>
                  </w14:solidFill>
                </w14:textFill>
              </w:rPr>
              <w:t>万m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，建设7</w:t>
            </w:r>
            <w:r>
              <w:rPr>
                <w:rFonts w:ascii="仿宋" w:hAnsi="仿宋" w:eastAsia="仿宋" w:cs="Arial"/>
                <w:color w:val="000000" w:themeColor="text1"/>
                <w:kern w:val="0"/>
                <w:szCs w:val="21"/>
                <w14:textFill>
                  <w14:solidFill>
                    <w14:schemeClr w14:val="tx1"/>
                  </w14:solidFill>
                </w14:textFill>
              </w:rPr>
              <w:t>.9</w:t>
            </w:r>
            <w:r>
              <w:rPr>
                <w:rFonts w:hint="eastAsia" w:ascii="仿宋" w:hAnsi="仿宋" w:eastAsia="仿宋" w:cs="Arial"/>
                <w:color w:val="000000" w:themeColor="text1"/>
                <w:kern w:val="0"/>
                <w:szCs w:val="21"/>
                <w14:textFill>
                  <w14:solidFill>
                    <w14:schemeClr w14:val="tx1"/>
                  </w14:solidFill>
                </w14:textFill>
              </w:rPr>
              <w:t>万吨高大平房仓、1</w:t>
            </w:r>
            <w:r>
              <w:rPr>
                <w:rFonts w:ascii="仿宋" w:hAnsi="仿宋" w:eastAsia="仿宋" w:cs="Arial"/>
                <w:color w:val="000000" w:themeColor="text1"/>
                <w:kern w:val="0"/>
                <w:szCs w:val="21"/>
                <w14:textFill>
                  <w14:solidFill>
                    <w14:schemeClr w14:val="tx1"/>
                  </w14:solidFill>
                </w14:textFill>
              </w:rPr>
              <w:t>.1</w:t>
            </w:r>
            <w:r>
              <w:rPr>
                <w:rFonts w:hint="eastAsia" w:ascii="仿宋" w:hAnsi="仿宋" w:eastAsia="仿宋" w:cs="Arial"/>
                <w:color w:val="000000" w:themeColor="text1"/>
                <w:kern w:val="0"/>
                <w:szCs w:val="21"/>
                <w14:textFill>
                  <w14:solidFill>
                    <w14:schemeClr w14:val="tx1"/>
                  </w14:solidFill>
                </w14:textFill>
              </w:rPr>
              <w:t>万吨粮食中转仓库，年产2万吨大米加工生产线、2</w:t>
            </w:r>
            <w:r>
              <w:rPr>
                <w:rFonts w:ascii="仿宋" w:hAnsi="仿宋" w:eastAsia="仿宋" w:cs="Arial"/>
                <w:color w:val="000000" w:themeColor="text1"/>
                <w:kern w:val="0"/>
                <w:szCs w:val="21"/>
                <w14:textFill>
                  <w14:solidFill>
                    <w14:schemeClr w14:val="tx1"/>
                  </w14:solidFill>
                </w14:textFill>
              </w:rPr>
              <w:t>800</w:t>
            </w:r>
            <w:r>
              <w:rPr>
                <w:rFonts w:hint="eastAsia" w:ascii="仿宋" w:hAnsi="仿宋" w:eastAsia="仿宋" w:cs="Arial"/>
                <w:color w:val="000000" w:themeColor="text1"/>
                <w:kern w:val="0"/>
                <w:szCs w:val="21"/>
                <w14:textFill>
                  <w14:solidFill>
                    <w14:schemeClr w14:val="tx1"/>
                  </w14:solidFill>
                </w14:textFill>
              </w:rPr>
              <w:t>立方食用油罐</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2017</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022</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1.6</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bookmarkEnd w:id="0"/>
    </w:tbl>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79"/>
        <w:gridCol w:w="709"/>
        <w:gridCol w:w="709"/>
        <w:gridCol w:w="1559"/>
        <w:gridCol w:w="5245"/>
        <w:gridCol w:w="708"/>
        <w:gridCol w:w="709"/>
        <w:gridCol w:w="11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序号</w:t>
            </w:r>
          </w:p>
        </w:tc>
        <w:tc>
          <w:tcPr>
            <w:tcW w:w="197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项目名称</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项目性质</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建设地</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承担单位</w:t>
            </w:r>
          </w:p>
        </w:tc>
        <w:tc>
          <w:tcPr>
            <w:tcW w:w="5245"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内容概况</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开工年份</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竣工年份</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十四五投资额</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（亿元）</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10</w:t>
            </w:r>
          </w:p>
        </w:tc>
        <w:tc>
          <w:tcPr>
            <w:tcW w:w="1979"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绥宁县优质矿泉水开发利用项目</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绥宁县</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绥宁县自然资源局</w:t>
            </w:r>
          </w:p>
        </w:tc>
        <w:tc>
          <w:tcPr>
            <w:tcW w:w="5245"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引进矿泉水加工企业，新建厂房及购置设备、建设年产4</w:t>
            </w:r>
            <w:r>
              <w:rPr>
                <w:rFonts w:ascii="仿宋" w:hAnsi="仿宋" w:eastAsia="仿宋" w:cs="Arial"/>
                <w:color w:val="000000" w:themeColor="text1"/>
                <w:kern w:val="0"/>
                <w:szCs w:val="21"/>
                <w14:textFill>
                  <w14:solidFill>
                    <w14:schemeClr w14:val="tx1"/>
                  </w14:solidFill>
                </w14:textFill>
              </w:rPr>
              <w:t>00</w:t>
            </w:r>
            <w:r>
              <w:rPr>
                <w:rFonts w:hint="eastAsia" w:ascii="仿宋" w:hAnsi="仿宋" w:eastAsia="仿宋" w:cs="Arial"/>
                <w:color w:val="000000" w:themeColor="text1"/>
                <w:kern w:val="0"/>
                <w:szCs w:val="21"/>
                <w14:textFill>
                  <w14:solidFill>
                    <w14:schemeClr w14:val="tx1"/>
                  </w14:solidFill>
                </w14:textFill>
              </w:rPr>
              <w:t>万吨优质矿泉水生产线及其水源补给区生态保护、水源涵养林、开采区周边环境治理等配套工程</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3.2</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11</w:t>
            </w:r>
          </w:p>
        </w:tc>
        <w:tc>
          <w:tcPr>
            <w:tcW w:w="1979"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新宁县食品、药品旅游产品加工集中区建设项目</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新宁县</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新宁县中野集中区管理委员会</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建设5</w:t>
            </w:r>
            <w:r>
              <w:rPr>
                <w:rFonts w:ascii="仿宋" w:hAnsi="仿宋" w:eastAsia="仿宋" w:cs="Arial"/>
                <w:color w:val="000000" w:themeColor="text1"/>
                <w:kern w:val="0"/>
                <w:szCs w:val="21"/>
                <w14:textFill>
                  <w14:solidFill>
                    <w14:schemeClr w14:val="tx1"/>
                  </w14:solidFill>
                </w14:textFill>
              </w:rPr>
              <w:t>0000</w:t>
            </w:r>
            <w:r>
              <w:rPr>
                <w:rFonts w:hint="eastAsia" w:ascii="仿宋" w:hAnsi="仿宋" w:eastAsia="仿宋" w:cs="Arial"/>
                <w:color w:val="000000" w:themeColor="text1"/>
                <w:kern w:val="0"/>
                <w:szCs w:val="21"/>
                <w14:textFill>
                  <w14:solidFill>
                    <w14:schemeClr w14:val="tx1"/>
                  </w14:solidFill>
                </w14:textFill>
              </w:rPr>
              <w:t xml:space="preserve"> 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的标准，引进3</w:t>
            </w:r>
            <w:r>
              <w:rPr>
                <w:rFonts w:ascii="仿宋" w:hAnsi="仿宋" w:eastAsia="仿宋" w:cs="Arial"/>
                <w:color w:val="000000" w:themeColor="text1"/>
                <w:kern w:val="0"/>
                <w:szCs w:val="21"/>
                <w14:textFill>
                  <w14:solidFill>
                    <w14:schemeClr w14:val="tx1"/>
                  </w14:solidFill>
                </w14:textFill>
              </w:rPr>
              <w:t>0</w:t>
            </w:r>
            <w:r>
              <w:rPr>
                <w:rFonts w:hint="eastAsia" w:ascii="仿宋" w:hAnsi="仿宋" w:eastAsia="仿宋" w:cs="Arial"/>
                <w:color w:val="000000" w:themeColor="text1"/>
                <w:kern w:val="0"/>
                <w:szCs w:val="21"/>
                <w14:textFill>
                  <w14:solidFill>
                    <w14:schemeClr w14:val="tx1"/>
                  </w14:solidFill>
                </w14:textFill>
              </w:rPr>
              <w:t>家企业，重点以豆制品、风味小吃、铁皮石斛制品为代表的旅游食品，联合满师傅、振农食品、海盛食品、崀山果业等大型食品企业共建数字化车间，共同打造湖南食品加工行业“灯塔工厂”，同时建设食品加工自动化生产线5条。</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020</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4.0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12</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城步苗族自治县省级工业园特色食品产业园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城步县</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城步工业集中区管理委员会</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项目预计投资总额1</w:t>
            </w:r>
            <w:r>
              <w:rPr>
                <w:rFonts w:ascii="仿宋" w:hAnsi="仿宋" w:eastAsia="仿宋" w:cs="Arial"/>
                <w:color w:val="000000" w:themeColor="text1"/>
                <w:kern w:val="0"/>
                <w:szCs w:val="21"/>
                <w14:textFill>
                  <w14:solidFill>
                    <w14:schemeClr w14:val="tx1"/>
                  </w14:solidFill>
                </w14:textFill>
              </w:rPr>
              <w:t>0.99</w:t>
            </w:r>
            <w:r>
              <w:rPr>
                <w:rFonts w:hint="eastAsia" w:ascii="仿宋" w:hAnsi="仿宋" w:eastAsia="仿宋" w:cs="Arial"/>
                <w:color w:val="000000" w:themeColor="text1"/>
                <w:kern w:val="0"/>
                <w:szCs w:val="21"/>
                <w14:textFill>
                  <w14:solidFill>
                    <w14:schemeClr w14:val="tx1"/>
                  </w14:solidFill>
                </w14:textFill>
              </w:rPr>
              <w:t>亿元，包括：1、园区标准厂房及其配套基础设施建设。2、羴羊羊乳全产业链二期工程，南山牧业相关项目建设</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10.99</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13</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武冈特色食品产业园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武冈市</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深圳燃气集团公司、湖南金福元股份有限公司、湖南乡乡嘴食品有限公司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项目占地3</w:t>
            </w:r>
            <w:r>
              <w:rPr>
                <w:rFonts w:ascii="仿宋" w:hAnsi="仿宋" w:eastAsia="仿宋" w:cs="Arial"/>
                <w:color w:val="000000" w:themeColor="text1"/>
                <w:kern w:val="0"/>
                <w:szCs w:val="21"/>
                <w14:textFill>
                  <w14:solidFill>
                    <w14:schemeClr w14:val="tx1"/>
                  </w14:solidFill>
                </w14:textFill>
              </w:rPr>
              <w:t>50</w:t>
            </w:r>
            <w:r>
              <w:rPr>
                <w:rFonts w:hint="eastAsia" w:ascii="仿宋" w:hAnsi="仿宋" w:eastAsia="仿宋" w:cs="Arial"/>
                <w:color w:val="000000" w:themeColor="text1"/>
                <w:kern w:val="0"/>
                <w:szCs w:val="21"/>
                <w14:textFill>
                  <w14:solidFill>
                    <w14:schemeClr w14:val="tx1"/>
                  </w14:solidFill>
                </w14:textFill>
              </w:rPr>
              <w:t>亩，建设武冈卤菜食品城、卤菜文化展览馆、卤菜物流中心。新建厂房面积1</w:t>
            </w:r>
            <w:r>
              <w:rPr>
                <w:rFonts w:ascii="仿宋" w:hAnsi="仿宋" w:eastAsia="仿宋" w:cs="Arial"/>
                <w:color w:val="000000" w:themeColor="text1"/>
                <w:kern w:val="0"/>
                <w:szCs w:val="21"/>
                <w14:textFill>
                  <w14:solidFill>
                    <w14:schemeClr w14:val="tx1"/>
                  </w14:solidFill>
                </w14:textFill>
              </w:rPr>
              <w:t>5</w:t>
            </w:r>
            <w:r>
              <w:rPr>
                <w:rFonts w:hint="eastAsia" w:ascii="仿宋" w:hAnsi="仿宋" w:eastAsia="仿宋" w:cs="Arial"/>
                <w:color w:val="000000" w:themeColor="text1"/>
                <w:kern w:val="0"/>
                <w:szCs w:val="21"/>
                <w14:textFill>
                  <w14:solidFill>
                    <w14:schemeClr w14:val="tx1"/>
                  </w14:solidFill>
                </w14:textFill>
              </w:rPr>
              <w:t>万平方米，加工大豆1</w:t>
            </w:r>
            <w:r>
              <w:rPr>
                <w:rFonts w:ascii="仿宋" w:hAnsi="仿宋" w:eastAsia="仿宋" w:cs="Arial"/>
                <w:color w:val="000000" w:themeColor="text1"/>
                <w:kern w:val="0"/>
                <w:szCs w:val="21"/>
                <w14:textFill>
                  <w14:solidFill>
                    <w14:schemeClr w14:val="tx1"/>
                  </w14:solidFill>
                </w14:textFill>
              </w:rPr>
              <w:t>4.5</w:t>
            </w:r>
            <w:r>
              <w:rPr>
                <w:rFonts w:hint="eastAsia" w:ascii="仿宋" w:hAnsi="仿宋" w:eastAsia="仿宋" w:cs="Arial"/>
                <w:color w:val="000000" w:themeColor="text1"/>
                <w:kern w:val="0"/>
                <w:szCs w:val="21"/>
                <w14:textFill>
                  <w14:solidFill>
                    <w14:schemeClr w14:val="tx1"/>
                  </w14:solidFill>
                </w14:textFill>
              </w:rPr>
              <w:t>吨，直投式发酵剂1万吨，酸汤1</w:t>
            </w:r>
            <w:r>
              <w:rPr>
                <w:rFonts w:ascii="仿宋" w:hAnsi="仿宋" w:eastAsia="仿宋" w:cs="Arial"/>
                <w:color w:val="000000" w:themeColor="text1"/>
                <w:kern w:val="0"/>
                <w:szCs w:val="21"/>
                <w14:textFill>
                  <w14:solidFill>
                    <w14:schemeClr w14:val="tx1"/>
                  </w14:solidFill>
                </w14:textFill>
              </w:rPr>
              <w:t>5</w:t>
            </w:r>
            <w:r>
              <w:rPr>
                <w:rFonts w:hint="eastAsia" w:ascii="仿宋" w:hAnsi="仿宋" w:eastAsia="仿宋" w:cs="Arial"/>
                <w:color w:val="000000" w:themeColor="text1"/>
                <w:kern w:val="0"/>
                <w:szCs w:val="21"/>
                <w14:textFill>
                  <w14:solidFill>
                    <w14:schemeClr w14:val="tx1"/>
                  </w14:solidFill>
                </w14:textFill>
              </w:rPr>
              <w:t>万吨，休闲特色食品3万吨的加工生产线。仓储1万吨卤制食品冷藏库等。</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2021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023</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17.95</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bl>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p>
    <w:p>
      <w:pPr>
        <w:pStyle w:val="2"/>
        <w:rPr>
          <w:color w:val="000000" w:themeColor="text1"/>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79"/>
        <w:gridCol w:w="709"/>
        <w:gridCol w:w="709"/>
        <w:gridCol w:w="1559"/>
        <w:gridCol w:w="5245"/>
        <w:gridCol w:w="708"/>
        <w:gridCol w:w="709"/>
        <w:gridCol w:w="11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序号</w:t>
            </w:r>
          </w:p>
        </w:tc>
        <w:tc>
          <w:tcPr>
            <w:tcW w:w="197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项目名称</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项目性质</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建设地</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承担单位</w:t>
            </w:r>
          </w:p>
        </w:tc>
        <w:tc>
          <w:tcPr>
            <w:tcW w:w="5245"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内容概况</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开工年份</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竣工年份</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十四五投资额</w:t>
            </w:r>
          </w:p>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（亿元）</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14</w:t>
            </w:r>
          </w:p>
        </w:tc>
        <w:tc>
          <w:tcPr>
            <w:tcW w:w="1979"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湘窖酒业二期建设项目</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续建</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w:t>
            </w:r>
          </w:p>
        </w:tc>
        <w:tc>
          <w:tcPr>
            <w:tcW w:w="155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湖南湘窖酒业有限公司</w:t>
            </w:r>
          </w:p>
        </w:tc>
        <w:tc>
          <w:tcPr>
            <w:tcW w:w="5245" w:type="dxa"/>
            <w:vAlign w:val="center"/>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占地面积3</w:t>
            </w:r>
            <w:r>
              <w:rPr>
                <w:rFonts w:ascii="仿宋" w:hAnsi="仿宋" w:eastAsia="仿宋" w:cs="Arial"/>
                <w:color w:val="000000" w:themeColor="text1"/>
                <w:kern w:val="0"/>
                <w:szCs w:val="21"/>
                <w14:textFill>
                  <w14:solidFill>
                    <w14:schemeClr w14:val="tx1"/>
                  </w14:solidFill>
                </w14:textFill>
              </w:rPr>
              <w:t>1447</w:t>
            </w:r>
            <w:r>
              <w:rPr>
                <w:rFonts w:hint="eastAsia" w:ascii="仿宋" w:hAnsi="仿宋" w:eastAsia="仿宋" w:cs="Arial"/>
                <w:color w:val="000000" w:themeColor="text1"/>
                <w:kern w:val="0"/>
                <w:szCs w:val="21"/>
                <w14:textFill>
                  <w14:solidFill>
                    <w14:schemeClr w14:val="tx1"/>
                  </w14:solidFill>
                </w14:textFill>
              </w:rPr>
              <w:t>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，建筑总面积3</w:t>
            </w:r>
            <w:r>
              <w:rPr>
                <w:rFonts w:ascii="仿宋" w:hAnsi="仿宋" w:eastAsia="仿宋" w:cs="Arial"/>
                <w:color w:val="000000" w:themeColor="text1"/>
                <w:kern w:val="0"/>
                <w:szCs w:val="21"/>
                <w14:textFill>
                  <w14:solidFill>
                    <w14:schemeClr w14:val="tx1"/>
                  </w14:solidFill>
                </w14:textFill>
              </w:rPr>
              <w:t>1663</w:t>
            </w:r>
            <w:r>
              <w:rPr>
                <w:rFonts w:hint="eastAsia" w:ascii="仿宋" w:hAnsi="仿宋" w:eastAsia="仿宋" w:cs="Arial"/>
                <w:color w:val="000000" w:themeColor="text1"/>
                <w:kern w:val="0"/>
                <w:szCs w:val="21"/>
                <w14:textFill>
                  <w14:solidFill>
                    <w14:schemeClr w14:val="tx1"/>
                  </w14:solidFill>
                </w14:textFill>
              </w:rPr>
              <w:t>m</w:t>
            </w:r>
            <w:r>
              <w:rPr>
                <w:rFonts w:ascii="仿宋" w:hAnsi="仿宋" w:eastAsia="仿宋" w:cs="Arial"/>
                <w:color w:val="000000" w:themeColor="text1"/>
                <w:kern w:val="0"/>
                <w:szCs w:val="21"/>
                <w:vertAlign w:val="superscript"/>
                <w14:textFill>
                  <w14:solidFill>
                    <w14:schemeClr w14:val="tx1"/>
                  </w14:solidFill>
                </w14:textFill>
              </w:rPr>
              <w:t>2</w:t>
            </w:r>
            <w:r>
              <w:rPr>
                <w:rFonts w:hint="eastAsia" w:ascii="仿宋" w:hAnsi="仿宋" w:eastAsia="仿宋" w:cs="Arial"/>
                <w:color w:val="000000" w:themeColor="text1"/>
                <w:kern w:val="0"/>
                <w:szCs w:val="21"/>
                <w14:textFill>
                  <w14:solidFill>
                    <w14:schemeClr w14:val="tx1"/>
                  </w14:solidFill>
                </w14:textFill>
              </w:rPr>
              <w:t>，建设0</w:t>
            </w:r>
            <w:r>
              <w:rPr>
                <w:rFonts w:ascii="仿宋" w:hAnsi="仿宋" w:eastAsia="仿宋" w:cs="Arial"/>
                <w:color w:val="000000" w:themeColor="text1"/>
                <w:kern w:val="0"/>
                <w:szCs w:val="21"/>
                <w14:textFill>
                  <w14:solidFill>
                    <w14:schemeClr w14:val="tx1"/>
                  </w14:solidFill>
                </w14:textFill>
              </w:rPr>
              <w:t>.75</w:t>
            </w:r>
            <w:r>
              <w:rPr>
                <w:rFonts w:hint="eastAsia" w:ascii="仿宋" w:hAnsi="仿宋" w:eastAsia="仿宋" w:cs="Arial"/>
                <w:color w:val="000000" w:themeColor="text1"/>
                <w:kern w:val="0"/>
                <w:szCs w:val="21"/>
                <w14:textFill>
                  <w14:solidFill>
                    <w14:schemeClr w14:val="tx1"/>
                  </w14:solidFill>
                </w14:textFill>
              </w:rPr>
              <w:t>万吨浓香型和0</w:t>
            </w:r>
            <w:r>
              <w:rPr>
                <w:rFonts w:ascii="仿宋" w:hAnsi="仿宋" w:eastAsia="仿宋" w:cs="Arial"/>
                <w:color w:val="000000" w:themeColor="text1"/>
                <w:kern w:val="0"/>
                <w:szCs w:val="21"/>
                <w14:textFill>
                  <w14:solidFill>
                    <w14:schemeClr w14:val="tx1"/>
                  </w14:solidFill>
                </w14:textFill>
              </w:rPr>
              <w:t>.48</w:t>
            </w:r>
            <w:r>
              <w:rPr>
                <w:rFonts w:hint="eastAsia" w:ascii="仿宋" w:hAnsi="仿宋" w:eastAsia="仿宋" w:cs="Arial"/>
                <w:color w:val="000000" w:themeColor="text1"/>
                <w:kern w:val="0"/>
                <w:szCs w:val="21"/>
                <w14:textFill>
                  <w14:solidFill>
                    <w14:schemeClr w14:val="tx1"/>
                  </w14:solidFill>
                </w14:textFill>
              </w:rPr>
              <w:t>万吨酱香型酿酒车间等生产厂房及其相关配套设施。</w:t>
            </w:r>
          </w:p>
        </w:tc>
        <w:tc>
          <w:tcPr>
            <w:tcW w:w="708"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019</w:t>
            </w:r>
          </w:p>
        </w:tc>
        <w:tc>
          <w:tcPr>
            <w:tcW w:w="709"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022</w:t>
            </w:r>
          </w:p>
        </w:tc>
        <w:tc>
          <w:tcPr>
            <w:tcW w:w="1134"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6.0</w:t>
            </w:r>
          </w:p>
        </w:tc>
        <w:tc>
          <w:tcPr>
            <w:tcW w:w="770" w:type="dxa"/>
            <w:vAlign w:val="center"/>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15</w:t>
            </w:r>
          </w:p>
        </w:tc>
        <w:tc>
          <w:tcPr>
            <w:tcW w:w="1979"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北塔食品产业园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湖南恭兵食品有限公司</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整合资源、建设集生产、销售为一体的食品工业城</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020</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023</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5.0</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16</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北塔民族特色米粉基地</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北塔区人民政府</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新建集米粉生产加工制作生产基地</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025</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2.6</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17</w:t>
            </w:r>
          </w:p>
        </w:tc>
        <w:tc>
          <w:tcPr>
            <w:tcW w:w="197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城步县省级工业园区竹木生态及农副特旅高新特色产业园</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新建</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城步县</w:t>
            </w:r>
          </w:p>
        </w:tc>
        <w:tc>
          <w:tcPr>
            <w:tcW w:w="155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城步工业集中区管理委员会</w:t>
            </w:r>
          </w:p>
        </w:tc>
        <w:tc>
          <w:tcPr>
            <w:tcW w:w="5245" w:type="dxa"/>
          </w:tcPr>
          <w:p>
            <w:pPr>
              <w:adjustRightInd w:val="0"/>
              <w:snapToGrid w:val="0"/>
              <w:spacing w:line="360" w:lineRule="exact"/>
              <w:jc w:val="left"/>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项目投资总额1</w:t>
            </w:r>
            <w:r>
              <w:rPr>
                <w:rFonts w:ascii="仿宋" w:hAnsi="仿宋" w:eastAsia="仿宋" w:cs="Arial"/>
                <w:color w:val="000000" w:themeColor="text1"/>
                <w:kern w:val="0"/>
                <w:szCs w:val="21"/>
                <w14:textFill>
                  <w14:solidFill>
                    <w14:schemeClr w14:val="tx1"/>
                  </w14:solidFill>
                </w14:textFill>
              </w:rPr>
              <w:t>4.2</w:t>
            </w:r>
            <w:r>
              <w:rPr>
                <w:rFonts w:hint="eastAsia" w:ascii="仿宋" w:hAnsi="仿宋" w:eastAsia="仿宋" w:cs="Arial"/>
                <w:color w:val="000000" w:themeColor="text1"/>
                <w:kern w:val="0"/>
                <w:szCs w:val="21"/>
                <w14:textFill>
                  <w14:solidFill>
                    <w14:schemeClr w14:val="tx1"/>
                  </w14:solidFill>
                </w14:textFill>
              </w:rPr>
              <w:t>亿元，包括竹木生态特色产业园、农副特旅高新特色产业园、物流信息平台和农副产品交易中心的标准厂房及其配套基础设施建设。</w:t>
            </w:r>
          </w:p>
        </w:tc>
        <w:tc>
          <w:tcPr>
            <w:tcW w:w="708"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2021</w:t>
            </w:r>
          </w:p>
        </w:tc>
        <w:tc>
          <w:tcPr>
            <w:tcW w:w="709"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2</w:t>
            </w:r>
            <w:r>
              <w:rPr>
                <w:rFonts w:ascii="仿宋" w:hAnsi="仿宋" w:eastAsia="仿宋" w:cs="Arial"/>
                <w:color w:val="000000" w:themeColor="text1"/>
                <w:kern w:val="0"/>
                <w:szCs w:val="21"/>
                <w14:textFill>
                  <w14:solidFill>
                    <w14:schemeClr w14:val="tx1"/>
                  </w14:solidFill>
                </w14:textFill>
              </w:rPr>
              <w:t>023</w:t>
            </w:r>
          </w:p>
        </w:tc>
        <w:tc>
          <w:tcPr>
            <w:tcW w:w="1134"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r>
              <w:rPr>
                <w:rFonts w:ascii="仿宋" w:hAnsi="仿宋" w:eastAsia="仿宋" w:cs="Arial"/>
                <w:color w:val="000000" w:themeColor="text1"/>
                <w:kern w:val="0"/>
                <w:szCs w:val="21"/>
                <w14:textFill>
                  <w14:solidFill>
                    <w14:schemeClr w14:val="tx1"/>
                  </w14:solidFill>
                </w14:textFill>
              </w:rPr>
              <w:t>14.2</w:t>
            </w:r>
          </w:p>
        </w:tc>
        <w:tc>
          <w:tcPr>
            <w:tcW w:w="770" w:type="dxa"/>
          </w:tcPr>
          <w:p>
            <w:pPr>
              <w:adjustRightInd w:val="0"/>
              <w:snapToGrid w:val="0"/>
              <w:spacing w:line="360" w:lineRule="exact"/>
              <w:jc w:val="center"/>
              <w:rPr>
                <w:rFonts w:ascii="仿宋" w:hAnsi="仿宋" w:eastAsia="仿宋" w:cs="Arial"/>
                <w:color w:val="000000" w:themeColor="text1"/>
                <w:kern w:val="0"/>
                <w:szCs w:val="21"/>
                <w14:textFill>
                  <w14:solidFill>
                    <w14:schemeClr w14:val="tx1"/>
                  </w14:solidFill>
                </w14:textFill>
              </w:rPr>
            </w:pPr>
          </w:p>
        </w:tc>
      </w:tr>
    </w:tbl>
    <w:p>
      <w:pPr>
        <w:adjustRightInd w:val="0"/>
        <w:snapToGrid w:val="0"/>
        <w:spacing w:line="440" w:lineRule="exact"/>
        <w:ind w:firstLine="480" w:firstLineChars="200"/>
        <w:jc w:val="center"/>
        <w:rPr>
          <w:rFonts w:ascii="仿宋" w:hAnsi="仿宋" w:eastAsia="仿宋" w:cs="Arial"/>
          <w:color w:val="000000" w:themeColor="text1"/>
          <w:kern w:val="0"/>
          <w:sz w:val="24"/>
          <w:szCs w:val="24"/>
          <w14:textFill>
            <w14:solidFill>
              <w14:schemeClr w14:val="tx1"/>
            </w14:solidFill>
          </w14:textFill>
        </w:rPr>
      </w:pPr>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87"/>
    <w:rsid w:val="00001407"/>
    <w:rsid w:val="00035E50"/>
    <w:rsid w:val="00042D7D"/>
    <w:rsid w:val="000719DA"/>
    <w:rsid w:val="00077C80"/>
    <w:rsid w:val="00082B09"/>
    <w:rsid w:val="000862DC"/>
    <w:rsid w:val="000A2381"/>
    <w:rsid w:val="000A30FD"/>
    <w:rsid w:val="000B3E49"/>
    <w:rsid w:val="000C5E90"/>
    <w:rsid w:val="000D2B97"/>
    <w:rsid w:val="000D7C9C"/>
    <w:rsid w:val="000E0CFD"/>
    <w:rsid w:val="000F5983"/>
    <w:rsid w:val="0010662A"/>
    <w:rsid w:val="00120AD0"/>
    <w:rsid w:val="00131C0F"/>
    <w:rsid w:val="001409FF"/>
    <w:rsid w:val="00165ACE"/>
    <w:rsid w:val="00174F15"/>
    <w:rsid w:val="0018186D"/>
    <w:rsid w:val="00187E09"/>
    <w:rsid w:val="001A09BE"/>
    <w:rsid w:val="001A66CB"/>
    <w:rsid w:val="001D6503"/>
    <w:rsid w:val="001E1866"/>
    <w:rsid w:val="001E6E51"/>
    <w:rsid w:val="00203FFD"/>
    <w:rsid w:val="00206CAE"/>
    <w:rsid w:val="00210E82"/>
    <w:rsid w:val="00246B56"/>
    <w:rsid w:val="0025016A"/>
    <w:rsid w:val="002836EF"/>
    <w:rsid w:val="002B116D"/>
    <w:rsid w:val="002F5C95"/>
    <w:rsid w:val="0032690A"/>
    <w:rsid w:val="00326A22"/>
    <w:rsid w:val="00337465"/>
    <w:rsid w:val="0033752C"/>
    <w:rsid w:val="0033767E"/>
    <w:rsid w:val="0035217C"/>
    <w:rsid w:val="003524EE"/>
    <w:rsid w:val="00352808"/>
    <w:rsid w:val="003537D3"/>
    <w:rsid w:val="00360E19"/>
    <w:rsid w:val="00371333"/>
    <w:rsid w:val="00372042"/>
    <w:rsid w:val="00381673"/>
    <w:rsid w:val="00394E5D"/>
    <w:rsid w:val="003B0145"/>
    <w:rsid w:val="003D2A27"/>
    <w:rsid w:val="003E7633"/>
    <w:rsid w:val="003F6EB6"/>
    <w:rsid w:val="00442DD4"/>
    <w:rsid w:val="0044552B"/>
    <w:rsid w:val="00472737"/>
    <w:rsid w:val="00474304"/>
    <w:rsid w:val="00487086"/>
    <w:rsid w:val="004920F5"/>
    <w:rsid w:val="004A29FB"/>
    <w:rsid w:val="004B0447"/>
    <w:rsid w:val="004E148E"/>
    <w:rsid w:val="004F1443"/>
    <w:rsid w:val="0050340C"/>
    <w:rsid w:val="005123C4"/>
    <w:rsid w:val="00514A61"/>
    <w:rsid w:val="0055258B"/>
    <w:rsid w:val="00553E82"/>
    <w:rsid w:val="0056086D"/>
    <w:rsid w:val="00561CDD"/>
    <w:rsid w:val="00561D13"/>
    <w:rsid w:val="00566F75"/>
    <w:rsid w:val="005672A8"/>
    <w:rsid w:val="00570DBA"/>
    <w:rsid w:val="005867DA"/>
    <w:rsid w:val="00594F22"/>
    <w:rsid w:val="005B264F"/>
    <w:rsid w:val="005B39CD"/>
    <w:rsid w:val="005B5DB3"/>
    <w:rsid w:val="005C5C95"/>
    <w:rsid w:val="005E07C8"/>
    <w:rsid w:val="005E162B"/>
    <w:rsid w:val="00602B65"/>
    <w:rsid w:val="006047D3"/>
    <w:rsid w:val="00604BD8"/>
    <w:rsid w:val="00654079"/>
    <w:rsid w:val="006559CB"/>
    <w:rsid w:val="00675E7E"/>
    <w:rsid w:val="006808FD"/>
    <w:rsid w:val="00686CF2"/>
    <w:rsid w:val="00696BDD"/>
    <w:rsid w:val="006B2199"/>
    <w:rsid w:val="006C0946"/>
    <w:rsid w:val="006C48D1"/>
    <w:rsid w:val="006C7DF0"/>
    <w:rsid w:val="006D1B83"/>
    <w:rsid w:val="006E207A"/>
    <w:rsid w:val="006F052E"/>
    <w:rsid w:val="006F3BE9"/>
    <w:rsid w:val="006F7514"/>
    <w:rsid w:val="00710848"/>
    <w:rsid w:val="00711481"/>
    <w:rsid w:val="00713D48"/>
    <w:rsid w:val="00721E71"/>
    <w:rsid w:val="00731822"/>
    <w:rsid w:val="00763A0C"/>
    <w:rsid w:val="0077178A"/>
    <w:rsid w:val="00780CF1"/>
    <w:rsid w:val="007C28E4"/>
    <w:rsid w:val="007D4B1E"/>
    <w:rsid w:val="007E29DE"/>
    <w:rsid w:val="007E3153"/>
    <w:rsid w:val="007E7B14"/>
    <w:rsid w:val="00801499"/>
    <w:rsid w:val="00812ECC"/>
    <w:rsid w:val="00820DF1"/>
    <w:rsid w:val="00831F21"/>
    <w:rsid w:val="00836787"/>
    <w:rsid w:val="00840FAB"/>
    <w:rsid w:val="008466A2"/>
    <w:rsid w:val="0085196D"/>
    <w:rsid w:val="00872C4F"/>
    <w:rsid w:val="0087676F"/>
    <w:rsid w:val="008837AB"/>
    <w:rsid w:val="00885685"/>
    <w:rsid w:val="008B1E0E"/>
    <w:rsid w:val="008C0C39"/>
    <w:rsid w:val="008C5D1C"/>
    <w:rsid w:val="008C6170"/>
    <w:rsid w:val="008E2053"/>
    <w:rsid w:val="008F0047"/>
    <w:rsid w:val="00914E5E"/>
    <w:rsid w:val="0091625A"/>
    <w:rsid w:val="00943CCC"/>
    <w:rsid w:val="009651AA"/>
    <w:rsid w:val="009707DD"/>
    <w:rsid w:val="00992857"/>
    <w:rsid w:val="009A1C45"/>
    <w:rsid w:val="009A1CA1"/>
    <w:rsid w:val="009A41A3"/>
    <w:rsid w:val="009C2189"/>
    <w:rsid w:val="009C3AC2"/>
    <w:rsid w:val="009C6A6C"/>
    <w:rsid w:val="009C79A7"/>
    <w:rsid w:val="009D1876"/>
    <w:rsid w:val="009D254F"/>
    <w:rsid w:val="009D60FC"/>
    <w:rsid w:val="009F36F1"/>
    <w:rsid w:val="00A00A22"/>
    <w:rsid w:val="00A201E1"/>
    <w:rsid w:val="00A20912"/>
    <w:rsid w:val="00A30EE1"/>
    <w:rsid w:val="00A32738"/>
    <w:rsid w:val="00A36603"/>
    <w:rsid w:val="00A368C4"/>
    <w:rsid w:val="00A47AB7"/>
    <w:rsid w:val="00A638E9"/>
    <w:rsid w:val="00A720DA"/>
    <w:rsid w:val="00A76932"/>
    <w:rsid w:val="00A9618D"/>
    <w:rsid w:val="00AB2134"/>
    <w:rsid w:val="00AC491D"/>
    <w:rsid w:val="00B461E8"/>
    <w:rsid w:val="00B571AF"/>
    <w:rsid w:val="00B66D36"/>
    <w:rsid w:val="00B72731"/>
    <w:rsid w:val="00B955C8"/>
    <w:rsid w:val="00B95702"/>
    <w:rsid w:val="00B96033"/>
    <w:rsid w:val="00BA4829"/>
    <w:rsid w:val="00BA5C48"/>
    <w:rsid w:val="00BA5FF0"/>
    <w:rsid w:val="00BB0997"/>
    <w:rsid w:val="00BB1255"/>
    <w:rsid w:val="00BD69CC"/>
    <w:rsid w:val="00BE4843"/>
    <w:rsid w:val="00BF4E7E"/>
    <w:rsid w:val="00C0405F"/>
    <w:rsid w:val="00C22E8A"/>
    <w:rsid w:val="00C60D3D"/>
    <w:rsid w:val="00C87E8B"/>
    <w:rsid w:val="00C946FF"/>
    <w:rsid w:val="00C9629F"/>
    <w:rsid w:val="00CB6253"/>
    <w:rsid w:val="00CC230D"/>
    <w:rsid w:val="00CC2955"/>
    <w:rsid w:val="00CC2B5A"/>
    <w:rsid w:val="00CC770C"/>
    <w:rsid w:val="00CD0884"/>
    <w:rsid w:val="00CE7178"/>
    <w:rsid w:val="00CF3E14"/>
    <w:rsid w:val="00D04A00"/>
    <w:rsid w:val="00D125EC"/>
    <w:rsid w:val="00D221D6"/>
    <w:rsid w:val="00D31BA9"/>
    <w:rsid w:val="00D32958"/>
    <w:rsid w:val="00D34C88"/>
    <w:rsid w:val="00D40C52"/>
    <w:rsid w:val="00D63283"/>
    <w:rsid w:val="00D72839"/>
    <w:rsid w:val="00D73FD2"/>
    <w:rsid w:val="00D9388D"/>
    <w:rsid w:val="00D94484"/>
    <w:rsid w:val="00DB0CC8"/>
    <w:rsid w:val="00DC10F7"/>
    <w:rsid w:val="00DD63EF"/>
    <w:rsid w:val="00DE523A"/>
    <w:rsid w:val="00E039BA"/>
    <w:rsid w:val="00E24BF4"/>
    <w:rsid w:val="00E254B5"/>
    <w:rsid w:val="00E568EF"/>
    <w:rsid w:val="00E81157"/>
    <w:rsid w:val="00EB3B6A"/>
    <w:rsid w:val="00EB3D28"/>
    <w:rsid w:val="00EB400C"/>
    <w:rsid w:val="00EB426F"/>
    <w:rsid w:val="00EB4A84"/>
    <w:rsid w:val="00EC44E2"/>
    <w:rsid w:val="00EE24A4"/>
    <w:rsid w:val="00EF0626"/>
    <w:rsid w:val="00F053C6"/>
    <w:rsid w:val="00F076E5"/>
    <w:rsid w:val="00F23D1B"/>
    <w:rsid w:val="00F531F3"/>
    <w:rsid w:val="00F66CBB"/>
    <w:rsid w:val="00F75D15"/>
    <w:rsid w:val="00F9126F"/>
    <w:rsid w:val="00FB493A"/>
    <w:rsid w:val="00FC2B27"/>
    <w:rsid w:val="00FF76BA"/>
    <w:rsid w:val="383C073C"/>
    <w:rsid w:val="4170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Emphasis"/>
    <w:basedOn w:val="9"/>
    <w:qFormat/>
    <w:uiPriority w:val="20"/>
    <w:rPr>
      <w:i/>
      <w:iCs/>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标题 1 字符"/>
    <w:basedOn w:val="9"/>
    <w:link w:val="3"/>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2817</Words>
  <Characters>16059</Characters>
  <Lines>133</Lines>
  <Paragraphs>37</Paragraphs>
  <TotalTime>0</TotalTime>
  <ScaleCrop>false</ScaleCrop>
  <LinksUpToDate>false</LinksUpToDate>
  <CharactersWithSpaces>18839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2020-11-09T12:21:00Z</dcterms:created>
  <dc:creator>李明</dc:creator>
  <cp:lastModifiedBy>Administrator</cp:lastModifiedBy>
  <dcterms:modified xsi:type="dcterms:W3CDTF">2021-09-02T08:39:36Z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581186DFE3D44877B79AF22A6B8AB577</vt:lpwstr>
  </property>
</Properties>
</file>