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line="560" w:lineRule="exact"/>
        <w:jc w:val="center"/>
        <w:rPr>
          <w:rFonts w:hint="eastAsia"/>
          <w:b/>
          <w:color w:val="000000" w:themeColor="text1"/>
          <w:sz w:val="40"/>
          <w:szCs w:val="32"/>
          <w14:textFill>
            <w14:solidFill>
              <w14:schemeClr w14:val="tx1"/>
            </w14:solidFill>
          </w14:textFill>
        </w:rPr>
      </w:pPr>
    </w:p>
    <w:p>
      <w:pPr>
        <w:overflowPunct w:val="0"/>
        <w:topLinePunct/>
        <w:spacing w:line="560" w:lineRule="exact"/>
        <w:jc w:val="center"/>
        <w:rPr>
          <w:b/>
          <w:color w:val="000000" w:themeColor="text1"/>
          <w:sz w:val="40"/>
          <w:szCs w:val="32"/>
          <w14:textFill>
            <w14:solidFill>
              <w14:schemeClr w14:val="tx1"/>
            </w14:solidFill>
          </w14:textFill>
        </w:rPr>
      </w:pPr>
    </w:p>
    <w:p>
      <w:pPr>
        <w:overflowPunct w:val="0"/>
        <w:topLinePunct/>
        <w:spacing w:line="560" w:lineRule="exact"/>
        <w:jc w:val="center"/>
        <w:rPr>
          <w:b/>
          <w:color w:val="000000" w:themeColor="text1"/>
          <w:sz w:val="40"/>
          <w:szCs w:val="32"/>
          <w14:textFill>
            <w14:solidFill>
              <w14:schemeClr w14:val="tx1"/>
            </w14:solidFill>
          </w14:textFill>
        </w:rPr>
      </w:pPr>
    </w:p>
    <w:p>
      <w:pPr>
        <w:overflowPunct w:val="0"/>
        <w:topLinePunct/>
        <w:spacing w:line="560" w:lineRule="exact"/>
        <w:jc w:val="center"/>
        <w:rPr>
          <w:b/>
          <w:color w:val="000000" w:themeColor="text1"/>
          <w:sz w:val="40"/>
          <w:szCs w:val="32"/>
          <w14:textFill>
            <w14:solidFill>
              <w14:schemeClr w14:val="tx1"/>
            </w14:solidFill>
          </w14:textFill>
        </w:rPr>
      </w:pPr>
    </w:p>
    <w:p>
      <w:pPr>
        <w:overflowPunct w:val="0"/>
        <w:topLinePunct/>
        <w:spacing w:before="312" w:beforeLines="100" w:after="312" w:afterLines="100" w:line="560" w:lineRule="exact"/>
        <w:jc w:val="center"/>
        <w:rPr>
          <w:rFonts w:hint="eastAsia" w:ascii="方正小标宋简体" w:hAnsi="Calibri" w:eastAsia="方正小标宋简体" w:cs="宋体"/>
          <w:b/>
          <w:color w:val="000000" w:themeColor="text1"/>
          <w:sz w:val="52"/>
          <w:szCs w:val="52"/>
          <w14:textFill>
            <w14:solidFill>
              <w14:schemeClr w14:val="tx1"/>
            </w14:solidFill>
          </w14:textFill>
        </w:rPr>
      </w:pPr>
      <w:r>
        <w:rPr>
          <w:rFonts w:hint="eastAsia" w:ascii="方正小标宋简体" w:hAnsi="Calibri" w:eastAsia="方正小标宋简体" w:cs="宋体"/>
          <w:b/>
          <w:color w:val="000000" w:themeColor="text1"/>
          <w:sz w:val="52"/>
          <w:szCs w:val="52"/>
          <w:lang w:val="en-US" w:eastAsia="zh-CN"/>
          <w14:textFill>
            <w14:solidFill>
              <w14:schemeClr w14:val="tx1"/>
            </w14:solidFill>
          </w14:textFill>
        </w:rPr>
        <w:t>邵阳市</w:t>
      </w:r>
      <w:r>
        <w:rPr>
          <w:rFonts w:hint="eastAsia" w:ascii="方正小标宋简体" w:hAnsi="Calibri" w:eastAsia="方正小标宋简体" w:cs="宋体"/>
          <w:b/>
          <w:color w:val="000000" w:themeColor="text1"/>
          <w:sz w:val="52"/>
          <w:szCs w:val="52"/>
          <w:lang w:eastAsia="zh-CN"/>
          <w14:textFill>
            <w14:solidFill>
              <w14:schemeClr w14:val="tx1"/>
            </w14:solidFill>
          </w14:textFill>
        </w:rPr>
        <w:t>“十四五”知识产权发展规划</w:t>
      </w:r>
    </w:p>
    <w:p>
      <w:pPr>
        <w:pStyle w:val="2"/>
        <w:jc w:val="center"/>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44"/>
          <w:szCs w:val="44"/>
          <w14:textFill>
            <w14:solidFill>
              <w14:schemeClr w14:val="tx1"/>
            </w14:solidFill>
          </w14:textFill>
        </w:rPr>
        <w:t>（征求意见稿）</w:t>
      </w:r>
    </w:p>
    <w:p>
      <w:pPr>
        <w:pStyle w:val="2"/>
        <w:jc w:val="center"/>
        <w:rPr>
          <w:rFonts w:hint="eastAsia" w:ascii="仿宋" w:hAnsi="仿宋" w:eastAsia="仿宋" w:cs="仿宋"/>
          <w:color w:val="000000" w:themeColor="text1"/>
          <w:sz w:val="32"/>
          <w:szCs w:val="32"/>
          <w14:textFill>
            <w14:solidFill>
              <w14:schemeClr w14:val="tx1"/>
            </w14:solidFill>
          </w14:textFill>
        </w:rPr>
      </w:pPr>
    </w:p>
    <w:p>
      <w:pPr>
        <w:pStyle w:val="2"/>
        <w:rPr>
          <w:rFonts w:hint="eastAsia" w:ascii="仿宋" w:hAnsi="仿宋" w:eastAsia="仿宋" w:cs="仿宋"/>
          <w:color w:val="000000" w:themeColor="text1"/>
          <w:sz w:val="32"/>
          <w:szCs w:val="32"/>
          <w14:textFill>
            <w14:solidFill>
              <w14:schemeClr w14:val="tx1"/>
            </w14:solidFill>
          </w14:textFill>
        </w:rPr>
      </w:pPr>
    </w:p>
    <w:p>
      <w:pPr>
        <w:pStyle w:val="2"/>
        <w:rPr>
          <w:rFonts w:hint="eastAsia" w:ascii="仿宋" w:hAnsi="仿宋" w:eastAsia="仿宋" w:cs="仿宋"/>
          <w:color w:val="000000" w:themeColor="text1"/>
          <w:sz w:val="32"/>
          <w:szCs w:val="32"/>
          <w14:textFill>
            <w14:solidFill>
              <w14:schemeClr w14:val="tx1"/>
            </w14:solidFill>
          </w14:textFill>
        </w:rPr>
      </w:pPr>
    </w:p>
    <w:p>
      <w:pPr>
        <w:pStyle w:val="2"/>
        <w:rPr>
          <w:rFonts w:hint="eastAsia" w:ascii="仿宋" w:hAnsi="仿宋" w:eastAsia="仿宋" w:cs="仿宋"/>
          <w:color w:val="000000" w:themeColor="text1"/>
          <w:sz w:val="32"/>
          <w:szCs w:val="32"/>
          <w14:textFill>
            <w14:solidFill>
              <w14:schemeClr w14:val="tx1"/>
            </w14:solidFill>
          </w14:textFill>
        </w:rPr>
      </w:pPr>
    </w:p>
    <w:p>
      <w:pPr>
        <w:pStyle w:val="2"/>
        <w:rPr>
          <w:rFonts w:hint="eastAsia" w:ascii="仿宋" w:hAnsi="仿宋" w:eastAsia="仿宋" w:cs="仿宋"/>
          <w:color w:val="000000" w:themeColor="text1"/>
          <w:sz w:val="32"/>
          <w:szCs w:val="32"/>
          <w14:textFill>
            <w14:solidFill>
              <w14:schemeClr w14:val="tx1"/>
            </w14:solidFill>
          </w14:textFill>
        </w:rPr>
      </w:pPr>
    </w:p>
    <w:p>
      <w:pPr>
        <w:pStyle w:val="2"/>
        <w:rPr>
          <w:rFonts w:hint="eastAsia" w:ascii="仿宋" w:hAnsi="仿宋" w:eastAsia="仿宋" w:cs="仿宋"/>
          <w:color w:val="000000" w:themeColor="text1"/>
          <w:sz w:val="32"/>
          <w:szCs w:val="32"/>
          <w14:textFill>
            <w14:solidFill>
              <w14:schemeClr w14:val="tx1"/>
            </w14:solidFill>
          </w14:textFill>
        </w:rPr>
      </w:pPr>
    </w:p>
    <w:p>
      <w:pPr>
        <w:pStyle w:val="2"/>
        <w:rPr>
          <w:rFonts w:hint="eastAsia" w:ascii="仿宋" w:hAnsi="仿宋" w:eastAsia="仿宋" w:cs="仿宋"/>
          <w:color w:val="000000" w:themeColor="text1"/>
          <w:sz w:val="32"/>
          <w:szCs w:val="32"/>
          <w14:textFill>
            <w14:solidFill>
              <w14:schemeClr w14:val="tx1"/>
            </w14:solidFill>
          </w14:textFill>
        </w:rPr>
      </w:pPr>
    </w:p>
    <w:p>
      <w:pPr>
        <w:pStyle w:val="2"/>
        <w:rPr>
          <w:rFonts w:hint="eastAsia" w:ascii="仿宋" w:hAnsi="仿宋" w:eastAsia="仿宋" w:cs="仿宋"/>
          <w:color w:val="000000" w:themeColor="text1"/>
          <w:sz w:val="32"/>
          <w:szCs w:val="32"/>
          <w14:textFill>
            <w14:solidFill>
              <w14:schemeClr w14:val="tx1"/>
            </w14:solidFill>
          </w14:textFill>
        </w:rPr>
      </w:pPr>
    </w:p>
    <w:p>
      <w:pPr>
        <w:pStyle w:val="2"/>
        <w:rPr>
          <w:rFonts w:hint="eastAsia" w:ascii="仿宋" w:hAnsi="仿宋" w:eastAsia="仿宋" w:cs="仿宋"/>
          <w:color w:val="000000" w:themeColor="text1"/>
          <w:sz w:val="32"/>
          <w:szCs w:val="32"/>
          <w14:textFill>
            <w14:solidFill>
              <w14:schemeClr w14:val="tx1"/>
            </w14:solidFill>
          </w14:textFill>
        </w:rPr>
      </w:pPr>
    </w:p>
    <w:p>
      <w:pPr>
        <w:pStyle w:val="2"/>
        <w:rPr>
          <w:rFonts w:hint="eastAsia" w:ascii="仿宋" w:hAnsi="仿宋" w:eastAsia="仿宋" w:cs="仿宋"/>
          <w:color w:val="000000" w:themeColor="text1"/>
          <w:sz w:val="32"/>
          <w:szCs w:val="32"/>
          <w14:textFill>
            <w14:solidFill>
              <w14:schemeClr w14:val="tx1"/>
            </w14:solidFill>
          </w14:textFill>
        </w:rPr>
      </w:pPr>
    </w:p>
    <w:p>
      <w:pPr>
        <w:jc w:val="both"/>
        <w:rPr>
          <w:rFonts w:hint="eastAsia" w:ascii="仿宋" w:hAnsi="仿宋" w:eastAsia="仿宋" w:cs="仿宋"/>
          <w:color w:val="000000" w:themeColor="text1"/>
          <w:sz w:val="32"/>
          <w:szCs w:val="32"/>
          <w14:textFill>
            <w14:solidFill>
              <w14:schemeClr w14:val="tx1"/>
            </w14:solidFill>
          </w14:textFill>
        </w:rPr>
      </w:pPr>
    </w:p>
    <w:p>
      <w:pPr>
        <w:jc w:val="center"/>
        <w:rPr>
          <w:rFonts w:hint="eastAsia" w:ascii="楷体" w:hAnsi="楷体" w:eastAsia="楷体" w:cs="楷体"/>
          <w:b/>
          <w:bCs/>
          <w:color w:val="000000" w:themeColor="text1"/>
          <w:sz w:val="36"/>
          <w:szCs w:val="36"/>
          <w14:textFill>
            <w14:solidFill>
              <w14:schemeClr w14:val="tx1"/>
            </w14:solidFill>
          </w14:textFill>
        </w:rPr>
      </w:pPr>
      <w:r>
        <w:rPr>
          <w:rFonts w:hint="eastAsia" w:ascii="楷体" w:hAnsi="楷体" w:eastAsia="楷体" w:cs="楷体"/>
          <w:b/>
          <w:bCs/>
          <w:color w:val="000000" w:themeColor="text1"/>
          <w:sz w:val="36"/>
          <w:szCs w:val="36"/>
          <w14:textFill>
            <w14:solidFill>
              <w14:schemeClr w14:val="tx1"/>
            </w14:solidFill>
          </w14:textFill>
        </w:rPr>
        <w:t>2021年</w:t>
      </w:r>
      <w:r>
        <w:rPr>
          <w:rFonts w:hint="eastAsia" w:ascii="楷体" w:hAnsi="楷体" w:eastAsia="楷体" w:cs="楷体"/>
          <w:b/>
          <w:bCs/>
          <w:color w:val="000000" w:themeColor="text1"/>
          <w:sz w:val="36"/>
          <w:szCs w:val="36"/>
          <w:lang w:val="en-US" w:eastAsia="zh-CN"/>
          <w14:textFill>
            <w14:solidFill>
              <w14:schemeClr w14:val="tx1"/>
            </w14:solidFill>
          </w14:textFill>
        </w:rPr>
        <w:t>8</w:t>
      </w:r>
      <w:r>
        <w:rPr>
          <w:rFonts w:hint="eastAsia" w:ascii="楷体" w:hAnsi="楷体" w:eastAsia="楷体" w:cs="楷体"/>
          <w:b/>
          <w:bCs/>
          <w:color w:val="000000" w:themeColor="text1"/>
          <w:sz w:val="36"/>
          <w:szCs w:val="36"/>
          <w14:textFill>
            <w14:solidFill>
              <w14:schemeClr w14:val="tx1"/>
            </w14:solidFill>
          </w14:textFill>
        </w:rPr>
        <w:t>月</w:t>
      </w:r>
    </w:p>
    <w:p>
      <w:pPr>
        <w:jc w:val="center"/>
        <w:rPr>
          <w:rFonts w:hint="eastAsia" w:ascii="仿宋" w:hAnsi="仿宋" w:eastAsia="仿宋" w:cs="仿宋"/>
          <w:b/>
          <w:bCs/>
          <w:color w:val="000000" w:themeColor="text1"/>
          <w:sz w:val="44"/>
          <w:szCs w:val="44"/>
          <w:lang w:eastAsia="zh-CN"/>
          <w14:textFill>
            <w14:solidFill>
              <w14:schemeClr w14:val="tx1"/>
            </w14:solidFill>
          </w14:textFill>
        </w:rPr>
      </w:pPr>
    </w:p>
    <w:p>
      <w:pPr>
        <w:jc w:val="center"/>
        <w:rPr>
          <w:rFonts w:hint="eastAsia" w:ascii="黑体" w:hAnsi="黑体" w:eastAsia="黑体" w:cs="黑体"/>
          <w:b/>
          <w:bCs/>
          <w:color w:val="000000" w:themeColor="text1"/>
          <w:sz w:val="44"/>
          <w:szCs w:val="44"/>
          <w:lang w:eastAsia="zh-CN"/>
          <w14:textFill>
            <w14:solidFill>
              <w14:schemeClr w14:val="tx1"/>
            </w14:solidFill>
          </w14:textFill>
        </w:rPr>
      </w:pPr>
    </w:p>
    <w:p>
      <w:pPr>
        <w:jc w:val="center"/>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bCs/>
          <w:color w:val="000000" w:themeColor="text1"/>
          <w:sz w:val="44"/>
          <w:szCs w:val="44"/>
          <w:lang w:eastAsia="zh-CN"/>
          <w14:textFill>
            <w14:solidFill>
              <w14:schemeClr w14:val="tx1"/>
            </w14:solidFill>
          </w14:textFill>
        </w:rPr>
        <w:t>目  录</w:t>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TOC \o "1-4" \h \z \u </w:instrText>
      </w:r>
      <w:r>
        <w:rPr>
          <w:rFonts w:hint="eastAsia" w:ascii="仿宋" w:hAnsi="仿宋" w:eastAsia="仿宋" w:cs="仿宋"/>
          <w:color w:val="000000" w:themeColor="text1"/>
          <w:sz w:val="32"/>
          <w:szCs w:val="32"/>
          <w14:textFill>
            <w14:solidFill>
              <w14:schemeClr w14:val="tx1"/>
            </w14:solidFill>
          </w14:textFill>
        </w:rPr>
        <w:fldChar w:fldCharType="separate"/>
      </w:r>
    </w:p>
    <w:p>
      <w:pPr>
        <w:rPr>
          <w:rFonts w:hint="eastAsia" w:ascii="仿宋" w:hAnsi="仿宋" w:eastAsia="仿宋" w:cs="仿宋"/>
          <w:color w:val="000000" w:themeColor="text1"/>
          <w:sz w:val="32"/>
          <w:szCs w:val="32"/>
          <w14:textFill>
            <w14:solidFill>
              <w14:schemeClr w14:val="tx1"/>
            </w14:solidFill>
          </w14:textFill>
        </w:rPr>
      </w:pP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HYPERLINK \l "_Toc69062493"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lang w:val="en-US" w:eastAsia="zh-CN"/>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发展基础和发展形势</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end"/>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HYPERLINK \l "_Toc69062494"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一</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取得的成绩</w:t>
      </w:r>
      <w:r>
        <w:rPr>
          <w:rFonts w:hint="eastAsia" w:ascii="仿宋" w:hAnsi="仿宋" w:eastAsia="仿宋" w:cs="仿宋"/>
          <w:color w:val="000000" w:themeColor="text1"/>
          <w:sz w:val="32"/>
          <w:szCs w:val="32"/>
          <w14:textFill>
            <w14:solidFill>
              <w14:schemeClr w14:val="tx1"/>
            </w14:solidFill>
          </w14:textFill>
        </w:rPr>
        <w:fldChar w:fldCharType="end"/>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HYPERLINK \l "_Toc69062495"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二</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发展形势</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end"/>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HYPERLINK \l "_Toc69062496"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lang w:val="en-US" w:eastAsia="zh-CN"/>
          <w14:textFill>
            <w14:solidFill>
              <w14:schemeClr w14:val="tx1"/>
            </w14:solidFill>
          </w14:textFill>
        </w:rPr>
        <w:t>二、总体要求</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end"/>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HYPERLINK \l "_Toc69062497"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一</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指导思想</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end"/>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HYPERLINK \l "_Toc69062498"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二</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基本原则</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end"/>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HYPERLINK \l "_Toc69062499"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三</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发展</w:t>
      </w:r>
      <w:r>
        <w:rPr>
          <w:rFonts w:hint="eastAsia" w:ascii="仿宋" w:hAnsi="仿宋" w:eastAsia="仿宋" w:cs="仿宋"/>
          <w:color w:val="000000" w:themeColor="text1"/>
          <w:sz w:val="32"/>
          <w:szCs w:val="32"/>
          <w14:textFill>
            <w14:solidFill>
              <w14:schemeClr w14:val="tx1"/>
            </w14:solidFill>
          </w14:textFill>
        </w:rPr>
        <w:t>目标</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end"/>
      </w:r>
    </w:p>
    <w:p>
      <w:p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HYPERLINK \l "_Toc69062500"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lang w:val="en-US" w:eastAsia="zh-CN"/>
          <w14:textFill>
            <w14:solidFill>
              <w14:schemeClr w14:val="tx1"/>
            </w14:solidFill>
          </w14:textFill>
        </w:rPr>
        <w:t>三、主要任务</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一</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全面加强知识产权保护</w:t>
      </w:r>
    </w:p>
    <w:p>
      <w:p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促进知识</w:t>
      </w:r>
      <w:r>
        <w:rPr>
          <w:rFonts w:hint="eastAsia" w:ascii="仿宋" w:hAnsi="仿宋" w:eastAsia="仿宋" w:cs="仿宋"/>
          <w:color w:val="000000" w:themeColor="text1"/>
          <w:sz w:val="32"/>
          <w:szCs w:val="32"/>
          <w:lang w:val="en-US" w:eastAsia="zh-CN"/>
          <w14:textFill>
            <w14:solidFill>
              <w14:schemeClr w14:val="tx1"/>
            </w14:solidFill>
          </w14:textFill>
        </w:rPr>
        <w:t>产权</w:t>
      </w:r>
      <w:r>
        <w:rPr>
          <w:rFonts w:hint="eastAsia" w:ascii="仿宋" w:hAnsi="仿宋" w:eastAsia="仿宋" w:cs="仿宋"/>
          <w:color w:val="000000" w:themeColor="text1"/>
          <w:sz w:val="32"/>
          <w:szCs w:val="32"/>
          <w14:textFill>
            <w14:solidFill>
              <w14:schemeClr w14:val="tx1"/>
            </w14:solidFill>
          </w14:textFill>
        </w:rPr>
        <w:t>运用</w:t>
      </w:r>
      <w:r>
        <w:rPr>
          <w:rFonts w:hint="eastAsia" w:ascii="仿宋" w:hAnsi="仿宋" w:eastAsia="仿宋" w:cs="仿宋"/>
          <w:color w:val="000000" w:themeColor="text1"/>
          <w:sz w:val="32"/>
          <w:szCs w:val="32"/>
          <w:lang w:val="en-US" w:eastAsia="zh-CN"/>
          <w14:textFill>
            <w14:solidFill>
              <w14:schemeClr w14:val="tx1"/>
            </w14:solidFill>
          </w14:textFill>
        </w:rPr>
        <w:t>转化</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三</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提升知识产权创造质量</w:t>
      </w:r>
    </w:p>
    <w:p>
      <w:p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（四）健全</w:t>
      </w:r>
      <w:r>
        <w:rPr>
          <w:rFonts w:hint="eastAsia" w:ascii="仿宋" w:hAnsi="仿宋" w:eastAsia="仿宋" w:cs="仿宋"/>
          <w:color w:val="000000" w:themeColor="text1"/>
          <w:sz w:val="32"/>
          <w:szCs w:val="32"/>
          <w14:textFill>
            <w14:solidFill>
              <w14:schemeClr w14:val="tx1"/>
            </w14:solidFill>
          </w14:textFill>
        </w:rPr>
        <w:t>知识产权</w:t>
      </w:r>
      <w:r>
        <w:rPr>
          <w:rFonts w:hint="eastAsia" w:ascii="仿宋" w:hAnsi="仿宋" w:eastAsia="仿宋" w:cs="仿宋"/>
          <w:color w:val="000000" w:themeColor="text1"/>
          <w:sz w:val="32"/>
          <w:szCs w:val="32"/>
          <w:lang w:val="en-US" w:eastAsia="zh-CN"/>
          <w14:textFill>
            <w14:solidFill>
              <w14:schemeClr w14:val="tx1"/>
            </w14:solidFill>
          </w14:textFill>
        </w:rPr>
        <w:t>管理和服务体系</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五</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夯实知识产权发展基础</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HYPERLINK \l "_Toc69062537"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lang w:val="en-US" w:eastAsia="zh-CN"/>
          <w14:textFill>
            <w14:solidFill>
              <w14:schemeClr w14:val="tx1"/>
            </w14:solidFill>
          </w14:textFill>
        </w:rPr>
        <w:t>四</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保障措施</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_Toc69062537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14:textFill>
            <w14:solidFill>
              <w14:schemeClr w14:val="tx1"/>
            </w14:solidFill>
          </w14:textFill>
        </w:rPr>
        <w:fldChar w:fldCharType="end"/>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HYPERLINK \l "_Toc69062538"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一</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强化组织领导</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end"/>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HYPERLINK \l "_Toc69062539"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二</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加大</w:t>
      </w:r>
      <w:r>
        <w:rPr>
          <w:rFonts w:hint="eastAsia" w:ascii="仿宋" w:hAnsi="仿宋" w:eastAsia="仿宋" w:cs="仿宋"/>
          <w:color w:val="000000" w:themeColor="text1"/>
          <w:sz w:val="32"/>
          <w:szCs w:val="32"/>
          <w:lang w:val="en-US" w:eastAsia="zh-CN"/>
          <w14:textFill>
            <w14:solidFill>
              <w14:schemeClr w14:val="tx1"/>
            </w14:solidFill>
          </w14:textFill>
        </w:rPr>
        <w:t>财政投入</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end"/>
      </w:r>
    </w:p>
    <w:p>
      <w:p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三</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强化督查考评</w:t>
      </w:r>
    </w:p>
    <w:p>
      <w:pPr>
        <w:rPr>
          <w:rFonts w:hint="eastAsia" w:ascii="仿宋" w:hAnsi="仿宋" w:eastAsia="仿宋" w:cs="仿宋"/>
          <w:color w:val="000000" w:themeColor="text1"/>
          <w:sz w:val="32"/>
          <w:szCs w:val="32"/>
          <w:lang w:eastAsia="zh-CN"/>
          <w14:textFill>
            <w14:solidFill>
              <w14:schemeClr w14:val="tx1"/>
            </w14:solidFill>
          </w14:textFill>
        </w:rPr>
      </w:pPr>
    </w:p>
    <w:p>
      <w:pP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p>
    <w:p>
      <w:p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“十四五”时期是我国全面建成小康社会、实现第一个百年奋斗目标之后，乘势而上开启全面建设社会主义现代化国家新征程、向第二个百年奋斗目标进军的第一个五年。</w:t>
      </w:r>
      <w:r>
        <w:rPr>
          <w:rFonts w:hint="eastAsia" w:ascii="仿宋" w:hAnsi="仿宋" w:eastAsia="仿宋" w:cs="仿宋"/>
          <w:color w:val="000000" w:themeColor="text1"/>
          <w:kern w:val="2"/>
          <w:sz w:val="32"/>
          <w:szCs w:val="32"/>
          <w:lang w:val="en-US" w:eastAsia="zh-CN" w:bidi="ar-SA"/>
          <w14:textFill>
            <w14:solidFill>
              <w14:schemeClr w14:val="tx1"/>
            </w14:solidFill>
          </w14:textFill>
        </w:rPr>
        <w:t>为全面实施知识产权强国战略，贯彻新发展理念，构建新发展格局，激发全社会创新活力，提升知识产权综合能力和水平，建设知识产权强市，</w:t>
      </w:r>
      <w:r>
        <w:rPr>
          <w:rFonts w:hint="eastAsia" w:ascii="仿宋" w:hAnsi="仿宋" w:eastAsia="仿宋" w:cs="仿宋"/>
          <w:color w:val="000000" w:themeColor="text1"/>
          <w:sz w:val="32"/>
          <w:szCs w:val="32"/>
          <w14:textFill>
            <w14:solidFill>
              <w14:schemeClr w14:val="tx1"/>
            </w14:solidFill>
          </w14:textFill>
        </w:rPr>
        <w:t>推动“三高四新”战略实施</w:t>
      </w:r>
      <w:r>
        <w:rPr>
          <w:rFonts w:hint="eastAsia" w:ascii="仿宋" w:hAnsi="仿宋" w:eastAsia="仿宋" w:cs="仿宋"/>
          <w:color w:val="000000" w:themeColor="text1"/>
          <w:kern w:val="2"/>
          <w:sz w:val="32"/>
          <w:szCs w:val="32"/>
          <w:lang w:val="en-US" w:eastAsia="zh-CN" w:bidi="ar-SA"/>
          <w14:textFill>
            <w14:solidFill>
              <w14:schemeClr w14:val="tx1"/>
            </w14:solidFill>
          </w14:textFill>
        </w:rPr>
        <w:t>和经济社会高质量发展，</w:t>
      </w:r>
      <w:r>
        <w:rPr>
          <w:rFonts w:hint="eastAsia" w:ascii="仿宋" w:hAnsi="仿宋" w:eastAsia="仿宋" w:cs="仿宋"/>
          <w:color w:val="000000" w:themeColor="text1"/>
          <w:sz w:val="32"/>
          <w:szCs w:val="32"/>
          <w:lang w:val="en-US" w:eastAsia="zh-CN"/>
          <w14:textFill>
            <w14:solidFill>
              <w14:schemeClr w14:val="tx1"/>
            </w14:solidFill>
          </w14:textFill>
        </w:rPr>
        <w:t>制定本规划。</w:t>
      </w:r>
    </w:p>
    <w:p>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w:t>
      </w:r>
      <w:r>
        <w:rPr>
          <w:rFonts w:hint="eastAsia" w:ascii="黑体" w:hAnsi="黑体" w:eastAsia="黑体" w:cs="黑体"/>
          <w:color w:val="000000" w:themeColor="text1"/>
          <w:sz w:val="32"/>
          <w:szCs w:val="32"/>
          <w14:textFill>
            <w14:solidFill>
              <w14:schemeClr w14:val="tx1"/>
            </w14:solidFill>
          </w14:textFill>
        </w:rPr>
        <w:t>发展基础和发展形势</w:t>
      </w:r>
    </w:p>
    <w:p>
      <w:pPr>
        <w:ind w:firstLine="643" w:firstLineChars="200"/>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（一）发展基础</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“十三五”期间，</w:t>
      </w:r>
      <w:r>
        <w:rPr>
          <w:rFonts w:hint="eastAsia" w:ascii="仿宋" w:hAnsi="仿宋" w:eastAsia="仿宋" w:cs="仿宋"/>
          <w:color w:val="000000" w:themeColor="text1"/>
          <w:sz w:val="32"/>
          <w:szCs w:val="32"/>
          <w14:textFill>
            <w14:solidFill>
              <w14:schemeClr w14:val="tx1"/>
            </w14:solidFill>
          </w14:textFill>
        </w:rPr>
        <w:t>在市委市政府坚强领导下，全市坚持以习近平新时代中国特色社会主义思想为指导，</w:t>
      </w:r>
      <w:r>
        <w:rPr>
          <w:rFonts w:hint="eastAsia" w:ascii="仿宋" w:hAnsi="仿宋" w:eastAsia="仿宋" w:cs="仿宋"/>
          <w:color w:val="000000" w:themeColor="text1"/>
          <w:sz w:val="32"/>
          <w:szCs w:val="32"/>
          <w:lang w:val="en-US" w:eastAsia="zh-CN"/>
          <w14:textFill>
            <w14:solidFill>
              <w14:schemeClr w14:val="tx1"/>
            </w14:solidFill>
          </w14:textFill>
        </w:rPr>
        <w:t>坚持把知识产权工作</w:t>
      </w:r>
      <w:r>
        <w:rPr>
          <w:rFonts w:hint="eastAsia" w:ascii="仿宋" w:hAnsi="仿宋" w:eastAsia="仿宋" w:cs="仿宋"/>
          <w:color w:val="000000" w:themeColor="text1"/>
          <w:sz w:val="32"/>
          <w:szCs w:val="32"/>
          <w14:textFill>
            <w14:solidFill>
              <w14:schemeClr w14:val="tx1"/>
            </w14:solidFill>
          </w14:textFill>
        </w:rPr>
        <w:t>融入全市经济社会发展大局，坚持知识产权工作与国家发展战略紧密衔接，紧紧围绕“</w:t>
      </w:r>
      <w:r>
        <w:rPr>
          <w:rFonts w:hint="eastAsia" w:ascii="仿宋" w:hAnsi="仿宋" w:eastAsia="仿宋" w:cs="仿宋"/>
          <w:color w:val="000000" w:themeColor="text1"/>
          <w:sz w:val="32"/>
          <w:szCs w:val="32"/>
          <w:lang w:val="en-US" w:eastAsia="zh-CN"/>
          <w14:textFill>
            <w14:solidFill>
              <w14:schemeClr w14:val="tx1"/>
            </w14:solidFill>
          </w14:textFill>
        </w:rPr>
        <w:t>两中心一枢纽</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战略实施</w:t>
      </w:r>
      <w:r>
        <w:rPr>
          <w:rFonts w:hint="eastAsia" w:ascii="仿宋" w:hAnsi="仿宋" w:eastAsia="仿宋" w:cs="仿宋"/>
          <w:color w:val="000000" w:themeColor="text1"/>
          <w:sz w:val="32"/>
          <w:szCs w:val="32"/>
          <w14:textFill>
            <w14:solidFill>
              <w14:schemeClr w14:val="tx1"/>
            </w14:solidFill>
          </w14:textFill>
        </w:rPr>
        <w:t>和促进经济高质量发展，扎实推进知识产权强市建设，知识产权创造、运用、保护、 管理和服务全面发展，各项指标再创新高，对</w:t>
      </w:r>
      <w:r>
        <w:rPr>
          <w:rFonts w:hint="eastAsia" w:ascii="仿宋" w:hAnsi="仿宋" w:eastAsia="仿宋" w:cs="仿宋"/>
          <w:color w:val="000000" w:themeColor="text1"/>
          <w:sz w:val="32"/>
          <w:szCs w:val="32"/>
          <w:lang w:val="en-US" w:eastAsia="zh-CN"/>
          <w14:textFill>
            <w14:solidFill>
              <w14:schemeClr w14:val="tx1"/>
            </w14:solidFill>
          </w14:textFill>
        </w:rPr>
        <w:t>全市</w:t>
      </w:r>
      <w:r>
        <w:rPr>
          <w:rFonts w:hint="eastAsia" w:ascii="仿宋" w:hAnsi="仿宋" w:eastAsia="仿宋" w:cs="仿宋"/>
          <w:color w:val="000000" w:themeColor="text1"/>
          <w:sz w:val="32"/>
          <w:szCs w:val="32"/>
          <w14:textFill>
            <w14:solidFill>
              <w14:schemeClr w14:val="tx1"/>
            </w14:solidFill>
          </w14:textFill>
        </w:rPr>
        <w:t>经济社会发展发挥了重要支撑引领作用。</w:t>
      </w:r>
    </w:p>
    <w:p>
      <w:p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知识产权数量质量实现双提升。“十三五”期间（2016年1月1日—2020年9月30日），专利申请量达21785件，专利授权量达13105件，年均增长率分别达35.52%、36.83%，其中发明专利申请量达4129件、发明专利授权量达470件，年均增长率为48.32%、14.22%；PCT专利申请量达39件，为“十二五”末的3.9倍；拥有有效发明专利593件，专利密度（件/万人）为0.81；拥有有效注册商标总量达42788件，有效注册商标总量连续五年位居全省第二，相比“十二五”末增长168%，其中马德里国际注册商标136件、中国驰名商标17件、中国地理标志证明商标13件、</w:t>
      </w:r>
      <w:r>
        <w:rPr>
          <w:rFonts w:hint="eastAsia" w:ascii="仿宋" w:hAnsi="仿宋" w:eastAsia="仿宋" w:cs="仿宋"/>
          <w:color w:val="000000" w:themeColor="text1"/>
          <w:sz w:val="32"/>
          <w:szCs w:val="32"/>
          <w14:textFill>
            <w14:solidFill>
              <w14:schemeClr w14:val="tx1"/>
            </w14:solidFill>
          </w14:textFill>
        </w:rPr>
        <w:t>地理标志保护产品16个</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商标拥有量位居湘西南片区首位；集成电路布图设计达到189件，作品版权登记量350件，对外输出版权数达到521件，计算机软件著作权登记量238件，植物新品种数达到15件。</w:t>
      </w:r>
    </w:p>
    <w:p>
      <w:p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知识产权保护力度不断加大</w:t>
      </w:r>
      <w:r>
        <w:rPr>
          <w:rFonts w:hint="eastAsia" w:ascii="仿宋" w:hAnsi="仿宋" w:eastAsia="仿宋" w:cs="仿宋"/>
          <w:color w:val="000000" w:themeColor="text1"/>
          <w:sz w:val="32"/>
          <w:szCs w:val="32"/>
          <w:lang w:val="en-US" w:eastAsia="zh-CN"/>
          <w14:textFill>
            <w14:solidFill>
              <w14:schemeClr w14:val="tx1"/>
            </w14:solidFill>
          </w14:textFill>
        </w:rPr>
        <w:t>。全市知识产权行政、司法保护力度不断加大，各部门之间的协作机制更加完善，九县三区之间的交流与合作愈加频繁，知识产权保护力度不断增强，为邵阳建设现代化创新型城市营造了良好的法治环境。按照省局的统一部署，结合“双随机、一公开”监管的具体要求，制定下发了邵阳市专利代理“蓝天”专项整治行动方案，在全市范围内组织开展专项行动。坚持“双随机”方式进行日常监管，开展商标使用、专利真实性监督抽查，抽查药品、家用电器、日用品经营企业140家。组织开展假冒伪劣重点领域治理“雷霆”行动、“铁拳”行动，集中整治专利、商标侵权，严厉打击侵犯知识产权违法行为，2019年共办理专利案件41件；商标案件68件，其中涉及驰名商标案件9件，积极开展“武冈卤菜”驰名商标专项整治保护行动，全市共出动执法人员600人次，执法车辆120台次，检查超市、集贸市场、批发市场等商品密集区780余家，查处侵权案例1件，扣留侵权物资17.2万元。</w:t>
      </w:r>
    </w:p>
    <w:p>
      <w:p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知识产权运用水平持续提高。企业知识产权意识不断增强，形成了一批具有竞争力的知识产权优势企业。拥有国家知识产权优势企业12家（由2家增加到12家，增长率500%，全省排第一）、湖南省知识产权中小试点企业5家、贯标企业3家。新增国家知识产权强县工程示范县1个，新增省知识产权建设强县2个。双清区、经开区等科技创新资源集聚的区域，知识产权质押融资越来越活跃，质押融资额逐年升高。专利质押融资笔数达5笔，专利质押融资总额达到0.51亿元，</w:t>
      </w:r>
      <w:r>
        <w:rPr>
          <w:rFonts w:hint="eastAsia" w:ascii="仿宋" w:hAnsi="仿宋" w:eastAsia="仿宋" w:cs="仿宋"/>
          <w:color w:val="000000" w:themeColor="text1"/>
          <w:sz w:val="32"/>
          <w:szCs w:val="32"/>
          <w14:textFill>
            <w14:solidFill>
              <w14:schemeClr w14:val="tx1"/>
            </w14:solidFill>
          </w14:textFill>
        </w:rPr>
        <w:t>融资増长率全省第二。</w:t>
      </w:r>
      <w:r>
        <w:rPr>
          <w:rFonts w:hint="eastAsia" w:ascii="仿宋" w:hAnsi="仿宋" w:eastAsia="仿宋" w:cs="仿宋"/>
          <w:color w:val="000000" w:themeColor="text1"/>
          <w:sz w:val="32"/>
          <w:szCs w:val="32"/>
          <w:lang w:val="en-US" w:eastAsia="zh-CN"/>
          <w14:textFill>
            <w14:solidFill>
              <w14:schemeClr w14:val="tx1"/>
            </w14:solidFill>
          </w14:textFill>
        </w:rPr>
        <w:t>商标品牌建设突出。继纺织机械、维克液压、达力电源、彩虹玻璃、口味王槟榔、开口笑酒等国内外知名品牌后，湘中及图、南山奶粉、华鹏食品、永吉红包、伟特家具、松龄堂饮片、百山及图等一批商标获得驰名商标保护。积极推进“邵阳红”公共品牌建设。通过政府购买服务方式委托依法设立的商标代理机构对“邵阳红”公共品牌进行商标注册、运作和保护。牵头组织“邵阳红”公共品牌授权企业参加金芒果地理标志产品国际博览会（长沙），集中展示推介“邵阳红”公共品牌。</w:t>
      </w:r>
    </w:p>
    <w:p>
      <w:p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知识产权管理和服务能力进一步加强。知识产权管理体制机制不断创新。2019年7月，我局以机构改革为契机，将商标、专利、地理标志等职能深度融合，对标省局分别设置了知识产权促进科、保护科、运用科，配备了10名工作人员，率先在全省实现了知识产权领域改革到位，确保知识产权职能交接平稳过渡。知识产权服务实现本土化，知识产权服务机构开始在邵阳设立分之机构。2020年5月成立了成都弘毅天承知识产权代理有限公司邵阳分公司，打破了邵阳无本土知识产权运营机构的记录。</w:t>
      </w:r>
    </w:p>
    <w:p>
      <w:p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知识产权政策法规体系更加完善。“十三五”期间，为进一步发挥知识产权工作在提高自主创新能力、建设创新型城市中的重要作用，促使各级政府加大对知识产权工作的重视，凝聚各单位各部门合力，争取成立邵阳市知识产权领导小组，通过领导小组的抓手作用，推动我市知识产权工作有效开展。制定出台《邵阳市关于加快知识产权强市建设的若干意见》《邵阳知识产权专项资金管理办法》等相关文件，加大政府政策支持和资金扶持，加强产业、区域、科技、经济、贸易、人才、文化政策与知识产权政策的衔接，推动我市知识产权工作更好地服务地方经济高质量发展。</w:t>
      </w:r>
    </w:p>
    <w:p>
      <w:p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6、知识产权文化建设成果突出。“十三五”期间，全市各级知识产权职能部门积极弘扬“尊重知识、崇尚创新、诚信守法”的知识产权文化理念，在全社会营造了良好的知识产权文化氛围。一是初步建立了完善的知识产权宣传工作体系。制订了知识产权日、专利活动周、科普宣传日等活动方案，通过开展现场咨询、座谈研讨、政策解读、业务培训等多种形式，积极宣传知识产权有关政策和科普知识。同时，积极发挥新闻媒体和市局官网、微信公众号、手机短信平台等自媒体的作用，宣传知识产权科普知识和工作动态。以“4.26知识产权宣传周”“中国专利周”等主题活动为载体，强化科普宣传，2019年全年共刊发知识产权信息报道100余篇，发放宣传资料20000余份。二是知识产权培训力度不断加大，知识产权培训工作更具针对性和有效性。2019年，组织开展知识产权研讨会、交流会等重大活动，举办知识产权资助政策解读、知识产权保护与维权、知识产权质押融资、知识产权保险等专题培训8场，参训人员达1200余人次。三是知识产权人才教育和培养工作稳步推进。市知识产权局充分利用邵阳学院、邵阳职业技术学院等知识产权培训基地的优势，每年在基地开展多期知识产权专业人才培训班，累计参加培训的学生超过5000余人次，有效增强学生的知识产权保护意识和创新精神。发动和鼓励全市企事业单位及相关人员参加全国专利代理人资格考试。</w:t>
      </w:r>
      <w:bookmarkStart w:id="10" w:name="_GoBack"/>
      <w:bookmarkEnd w:id="10"/>
    </w:p>
    <w:p>
      <w:pPr>
        <w:ind w:firstLine="643" w:firstLineChars="200"/>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（二）发展形势</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放眼全球，新一轮科技革命和产业革命加快重塑世界，世界正处于百年之未有大变局。</w:t>
      </w:r>
      <w:r>
        <w:rPr>
          <w:rFonts w:hint="eastAsia" w:ascii="仿宋" w:hAnsi="仿宋" w:eastAsia="仿宋" w:cs="仿宋"/>
          <w:color w:val="000000" w:themeColor="text1"/>
          <w:sz w:val="32"/>
          <w:szCs w:val="32"/>
          <w:lang w:val="en-US" w:eastAsia="zh-CN"/>
          <w14:textFill>
            <w14:solidFill>
              <w14:schemeClr w14:val="tx1"/>
            </w14:solidFill>
          </w14:textFill>
        </w:rPr>
        <w:t>习近平总书记指出，我国经济已由高速增长阶段转向高质量发展阶段。我国</w:t>
      </w:r>
      <w:r>
        <w:rPr>
          <w:rFonts w:hint="eastAsia" w:ascii="仿宋" w:hAnsi="仿宋" w:eastAsia="仿宋" w:cs="仿宋"/>
          <w:color w:val="000000" w:themeColor="text1"/>
          <w:sz w:val="32"/>
          <w:szCs w:val="32"/>
          <w14:textFill>
            <w14:solidFill>
              <w14:schemeClr w14:val="tx1"/>
            </w14:solidFill>
          </w14:textFill>
        </w:rPr>
        <w:t>正在从知识产权引进大国向知识产权创造大国转变，知识产权工作正在从追求数量向提高质量转变。</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随着</w:t>
      </w:r>
      <w:r>
        <w:rPr>
          <w:rFonts w:hint="eastAsia" w:ascii="仿宋" w:hAnsi="仿宋" w:eastAsia="仿宋" w:cs="仿宋"/>
          <w:color w:val="000000" w:themeColor="text1"/>
          <w:sz w:val="32"/>
          <w:szCs w:val="32"/>
          <w:lang w:eastAsia="zh-CN"/>
          <w14:textFill>
            <w14:solidFill>
              <w14:schemeClr w14:val="tx1"/>
            </w14:solidFill>
          </w14:textFill>
        </w:rPr>
        <w:t>国家</w:t>
      </w:r>
      <w:r>
        <w:rPr>
          <w:rFonts w:hint="eastAsia" w:ascii="仿宋" w:hAnsi="仿宋" w:eastAsia="仿宋" w:cs="仿宋"/>
          <w:color w:val="000000" w:themeColor="text1"/>
          <w:sz w:val="32"/>
          <w:szCs w:val="32"/>
          <w14:textFill>
            <w14:solidFill>
              <w14:schemeClr w14:val="tx1"/>
            </w14:solidFill>
          </w14:textFill>
        </w:rPr>
        <w:t>知识产权强国战略</w:t>
      </w:r>
      <w:r>
        <w:rPr>
          <w:rFonts w:hint="eastAsia" w:ascii="仿宋" w:hAnsi="仿宋" w:eastAsia="仿宋" w:cs="仿宋"/>
          <w:color w:val="000000" w:themeColor="text1"/>
          <w:sz w:val="32"/>
          <w:szCs w:val="32"/>
          <w:lang w:eastAsia="zh-CN"/>
          <w14:textFill>
            <w14:solidFill>
              <w14:schemeClr w14:val="tx1"/>
            </w14:solidFill>
          </w14:textFill>
        </w:rPr>
        <w:t>、湖南省</w:t>
      </w:r>
      <w:r>
        <w:rPr>
          <w:rFonts w:hint="eastAsia" w:ascii="仿宋" w:hAnsi="仿宋" w:eastAsia="仿宋" w:cs="仿宋"/>
          <w:color w:val="000000" w:themeColor="text1"/>
          <w:sz w:val="32"/>
          <w:szCs w:val="32"/>
          <w14:textFill>
            <w14:solidFill>
              <w14:schemeClr w14:val="tx1"/>
            </w14:solidFill>
          </w14:textFill>
        </w:rPr>
        <w:t>“三高四新”战略</w:t>
      </w:r>
      <w:r>
        <w:rPr>
          <w:rFonts w:hint="eastAsia" w:ascii="仿宋" w:hAnsi="仿宋" w:eastAsia="仿宋" w:cs="仿宋"/>
          <w:color w:val="000000" w:themeColor="text1"/>
          <w:sz w:val="32"/>
          <w:szCs w:val="32"/>
          <w:lang w:val="en-US" w:eastAsia="zh-CN"/>
          <w14:textFill>
            <w14:solidFill>
              <w14:schemeClr w14:val="tx1"/>
            </w14:solidFill>
          </w14:textFill>
        </w:rPr>
        <w:t>和邵阳市“两中心一枢纽”战略的</w:t>
      </w:r>
      <w:r>
        <w:rPr>
          <w:rFonts w:hint="eastAsia" w:ascii="仿宋" w:hAnsi="仿宋" w:eastAsia="仿宋" w:cs="仿宋"/>
          <w:color w:val="000000" w:themeColor="text1"/>
          <w:sz w:val="32"/>
          <w:szCs w:val="32"/>
          <w14:textFill>
            <w14:solidFill>
              <w14:schemeClr w14:val="tx1"/>
            </w14:solidFill>
          </w14:textFill>
        </w:rPr>
        <w:t>深入实施，“十四五”</w:t>
      </w:r>
      <w:r>
        <w:rPr>
          <w:rFonts w:hint="eastAsia" w:ascii="仿宋" w:hAnsi="仿宋" w:eastAsia="仿宋" w:cs="仿宋"/>
          <w:color w:val="000000" w:themeColor="text1"/>
          <w:sz w:val="32"/>
          <w:szCs w:val="32"/>
          <w:lang w:eastAsia="zh-CN"/>
          <w14:textFill>
            <w14:solidFill>
              <w14:schemeClr w14:val="tx1"/>
            </w14:solidFill>
          </w14:textFill>
        </w:rPr>
        <w:t>期间，</w:t>
      </w:r>
      <w:r>
        <w:rPr>
          <w:rFonts w:hint="eastAsia" w:ascii="仿宋" w:hAnsi="仿宋" w:eastAsia="仿宋" w:cs="仿宋"/>
          <w:color w:val="000000" w:themeColor="text1"/>
          <w:sz w:val="32"/>
          <w:szCs w:val="32"/>
          <w:lang w:val="en-US" w:eastAsia="zh-CN"/>
          <w14:textFill>
            <w14:solidFill>
              <w14:schemeClr w14:val="tx1"/>
            </w14:solidFill>
          </w14:textFill>
        </w:rPr>
        <w:t>我市</w:t>
      </w:r>
      <w:r>
        <w:rPr>
          <w:rFonts w:hint="eastAsia" w:ascii="仿宋" w:hAnsi="仿宋" w:eastAsia="仿宋" w:cs="仿宋"/>
          <w:color w:val="000000" w:themeColor="text1"/>
          <w:sz w:val="32"/>
          <w:szCs w:val="32"/>
          <w14:textFill>
            <w14:solidFill>
              <w14:schemeClr w14:val="tx1"/>
            </w14:solidFill>
          </w14:textFill>
        </w:rPr>
        <w:t>知识产权事业发展面临重大机遇</w:t>
      </w:r>
      <w:r>
        <w:rPr>
          <w:rFonts w:hint="eastAsia" w:ascii="仿宋" w:hAnsi="仿宋" w:eastAsia="仿宋" w:cs="仿宋"/>
          <w:color w:val="000000" w:themeColor="text1"/>
          <w:sz w:val="32"/>
          <w:szCs w:val="32"/>
          <w:lang w:val="en-US" w:eastAsia="zh-CN"/>
          <w14:textFill>
            <w14:solidFill>
              <w14:schemeClr w14:val="tx1"/>
            </w14:solidFill>
          </w14:textFill>
        </w:rPr>
        <w:t>和挑战</w:t>
      </w:r>
      <w:r>
        <w:rPr>
          <w:rFonts w:hint="eastAsia" w:ascii="仿宋" w:hAnsi="仿宋" w:eastAsia="仿宋" w:cs="仿宋"/>
          <w:color w:val="000000" w:themeColor="text1"/>
          <w:sz w:val="32"/>
          <w:szCs w:val="32"/>
          <w14:textFill>
            <w14:solidFill>
              <w14:schemeClr w14:val="tx1"/>
            </w14:solidFill>
          </w14:textFill>
        </w:rPr>
        <w:t>。一是对知识产权提出“更大战略支撑”需求。知识产权制度作为激励创新的基本保障，已成为我</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打造先进制造业、具有核心竞争力的科技创新、内陆地区改革开放的高地的重要支撑和实施“三高四新”战略的关键所在。二是对知识产权提出“更加体系化”需求。在推动高质量发展，构建新发展格局和推动区域经济发展过程中，需要为以高质量产出、高水平保护、高效率运营、高标准服务为核心的更加体系化的知识产权工作提供有力支撑。三是对知识产权提出“更严格保护”需求。知识产权保护是推动创新引领开放崛起的重要抓手，是优化营商环境的核心领域，进一步完善知识产权法律规章、重点完善侵权惩罚性赔偿制度、创新知识产权保护机制、加快形成和完善集“严保护、大保护、快保护、同保护”于一体的工作格局，构建更加有效的知识产权保护体系，为</w:t>
      </w:r>
      <w:r>
        <w:rPr>
          <w:rFonts w:hint="eastAsia" w:ascii="仿宋" w:hAnsi="仿宋" w:eastAsia="仿宋" w:cs="仿宋"/>
          <w:color w:val="000000" w:themeColor="text1"/>
          <w:sz w:val="32"/>
          <w:szCs w:val="32"/>
          <w:lang w:eastAsia="zh-CN"/>
          <w14:textFill>
            <w14:solidFill>
              <w14:schemeClr w14:val="tx1"/>
            </w14:solidFill>
          </w14:textFill>
        </w:rPr>
        <w:t>邵阳</w:t>
      </w:r>
      <w:r>
        <w:rPr>
          <w:rFonts w:hint="eastAsia" w:ascii="仿宋" w:hAnsi="仿宋" w:eastAsia="仿宋" w:cs="仿宋"/>
          <w:color w:val="000000" w:themeColor="text1"/>
          <w:sz w:val="32"/>
          <w:szCs w:val="32"/>
          <w14:textFill>
            <w14:solidFill>
              <w14:schemeClr w14:val="tx1"/>
            </w14:solidFill>
          </w14:textFill>
        </w:rPr>
        <w:t>高质量发展创造更加公平、正义、高效的创新环境和营商环境</w:t>
      </w:r>
      <w:bookmarkStart w:id="0" w:name="_Toc486253032"/>
      <w:r>
        <w:rPr>
          <w:rFonts w:hint="eastAsia" w:ascii="仿宋" w:hAnsi="仿宋" w:eastAsia="仿宋" w:cs="仿宋"/>
          <w:color w:val="000000" w:themeColor="text1"/>
          <w:sz w:val="32"/>
          <w:szCs w:val="32"/>
          <w:lang w:eastAsia="zh-CN"/>
          <w14:textFill>
            <w14:solidFill>
              <w14:schemeClr w14:val="tx1"/>
            </w14:solidFill>
          </w14:textFill>
        </w:rPr>
        <w:t>。</w:t>
      </w:r>
    </w:p>
    <w:p>
      <w:p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同时，</w:t>
      </w:r>
      <w:r>
        <w:rPr>
          <w:rFonts w:hint="eastAsia" w:ascii="仿宋" w:hAnsi="仿宋" w:eastAsia="仿宋" w:cs="仿宋"/>
          <w:color w:val="000000" w:themeColor="text1"/>
          <w:sz w:val="32"/>
          <w:szCs w:val="32"/>
          <w:lang w:val="en-US" w:eastAsia="zh-CN"/>
          <w14:textFill>
            <w14:solidFill>
              <w14:schemeClr w14:val="tx1"/>
            </w14:solidFill>
          </w14:textFill>
        </w:rPr>
        <w:t>我市</w:t>
      </w:r>
      <w:r>
        <w:rPr>
          <w:rFonts w:hint="eastAsia" w:ascii="仿宋" w:hAnsi="仿宋" w:eastAsia="仿宋" w:cs="仿宋"/>
          <w:color w:val="000000" w:themeColor="text1"/>
          <w:sz w:val="32"/>
          <w:szCs w:val="32"/>
          <w14:textFill>
            <w14:solidFill>
              <w14:schemeClr w14:val="tx1"/>
            </w14:solidFill>
          </w14:textFill>
        </w:rPr>
        <w:t>知识产权</w:t>
      </w:r>
      <w:r>
        <w:rPr>
          <w:rFonts w:hint="eastAsia" w:ascii="仿宋" w:hAnsi="仿宋" w:eastAsia="仿宋" w:cs="仿宋"/>
          <w:color w:val="000000" w:themeColor="text1"/>
          <w:sz w:val="32"/>
          <w:szCs w:val="32"/>
          <w:lang w:val="en-US" w:eastAsia="zh-CN"/>
          <w14:textFill>
            <w14:solidFill>
              <w14:schemeClr w14:val="tx1"/>
            </w14:solidFill>
          </w14:textFill>
        </w:rPr>
        <w:t>事业发展还存在很多不足</w:t>
      </w:r>
      <w:r>
        <w:rPr>
          <w:rFonts w:hint="eastAsia" w:ascii="仿宋" w:hAnsi="仿宋" w:eastAsia="仿宋" w:cs="仿宋"/>
          <w:color w:val="000000" w:themeColor="text1"/>
          <w:sz w:val="32"/>
          <w:szCs w:val="32"/>
          <w14:textFill>
            <w14:solidFill>
              <w14:schemeClr w14:val="tx1"/>
            </w14:solidFill>
          </w14:textFill>
        </w:rPr>
        <w:t>，主要体现在以下几个方面：</w:t>
      </w:r>
      <w:bookmarkEnd w:id="0"/>
      <w:r>
        <w:rPr>
          <w:rFonts w:hint="eastAsia" w:ascii="仿宋" w:hAnsi="仿宋" w:eastAsia="仿宋" w:cs="仿宋"/>
          <w:color w:val="000000" w:themeColor="text1"/>
          <w:sz w:val="32"/>
          <w:szCs w:val="32"/>
          <w14:textFill>
            <w14:solidFill>
              <w14:schemeClr w14:val="tx1"/>
            </w14:solidFill>
          </w14:textFill>
        </w:rPr>
        <w:t>一是知识产权整体质量有待提升，关键领域自主知识产权的创造和储备仍然不足，重点产业知识产权保护还不充分，高价值专利偏少，技术和品牌</w:t>
      </w:r>
      <w:r>
        <w:rPr>
          <w:rFonts w:hint="eastAsia" w:ascii="仿宋" w:hAnsi="仿宋" w:eastAsia="仿宋" w:cs="仿宋"/>
          <w:color w:val="000000" w:themeColor="text1"/>
          <w:sz w:val="32"/>
          <w:szCs w:val="32"/>
          <w:lang w:eastAsia="zh-CN"/>
          <w14:textFill>
            <w14:solidFill>
              <w14:schemeClr w14:val="tx1"/>
            </w14:solidFill>
          </w14:textFill>
        </w:rPr>
        <w:t>全球</w:t>
      </w:r>
      <w:r>
        <w:rPr>
          <w:rFonts w:hint="eastAsia" w:ascii="仿宋" w:hAnsi="仿宋" w:eastAsia="仿宋" w:cs="仿宋"/>
          <w:color w:val="000000" w:themeColor="text1"/>
          <w:sz w:val="32"/>
          <w:szCs w:val="32"/>
          <w14:textFill>
            <w14:solidFill>
              <w14:schemeClr w14:val="tx1"/>
            </w14:solidFill>
          </w14:textFill>
        </w:rPr>
        <w:t>布局不足，在创新高地技术供给能力上有较大差距。二是知识产权保护力度有待加强，市场主体对知识产权保护重视程度不高，维权赔偿低、取证难、周期长、效果差等问题仍未得到有效解决，侵犯关键技术、商业秘密等新业态、新技术侵权等情况仍未得到有效遏制，快速维权体系还不健全，多元化纠纷解决机制不完善、财政配套措施不够等。三是知识产权运营体系有待完善，仍存在知识产权运营机制不成熟、平台数量不足，转化渠道不畅，运营效率和效益不高，民间资本投入较少等问题。</w:t>
      </w:r>
      <w:r>
        <w:rPr>
          <w:rFonts w:hint="eastAsia" w:ascii="仿宋" w:hAnsi="仿宋" w:eastAsia="仿宋" w:cs="仿宋"/>
          <w:color w:val="000000" w:themeColor="text1"/>
          <w:sz w:val="32"/>
          <w:szCs w:val="32"/>
          <w:lang w:eastAsia="zh-CN"/>
          <w14:textFill>
            <w14:solidFill>
              <w14:schemeClr w14:val="tx1"/>
            </w14:solidFill>
          </w14:textFill>
        </w:rPr>
        <w:t>市政府知识产权质押融资风险补偿基金未建立、质押融资补助资金未落地，质押融资工作未列入地方党委政府绩效考核项目。地标、地标保护产品使用企业还不够多，年产值还不够人意。</w:t>
      </w:r>
      <w:r>
        <w:rPr>
          <w:rFonts w:hint="eastAsia" w:ascii="仿宋" w:hAnsi="仿宋" w:eastAsia="仿宋" w:cs="仿宋"/>
          <w:color w:val="000000" w:themeColor="text1"/>
          <w:sz w:val="32"/>
          <w:szCs w:val="32"/>
          <w14:textFill>
            <w14:solidFill>
              <w14:schemeClr w14:val="tx1"/>
            </w14:solidFill>
          </w14:textFill>
        </w:rPr>
        <w:t>知识产权对</w:t>
      </w:r>
      <w:r>
        <w:rPr>
          <w:rFonts w:hint="eastAsia" w:ascii="仿宋" w:hAnsi="仿宋" w:eastAsia="仿宋" w:cs="仿宋"/>
          <w:color w:val="000000" w:themeColor="text1"/>
          <w:sz w:val="32"/>
          <w:szCs w:val="32"/>
          <w:lang w:eastAsia="zh-CN"/>
          <w14:textFill>
            <w14:solidFill>
              <w14:schemeClr w14:val="tx1"/>
            </w14:solidFill>
          </w14:textFill>
        </w:rPr>
        <w:t>我市</w:t>
      </w:r>
      <w:r>
        <w:rPr>
          <w:rFonts w:hint="eastAsia" w:ascii="仿宋" w:hAnsi="仿宋" w:eastAsia="仿宋" w:cs="仿宋"/>
          <w:color w:val="000000" w:themeColor="text1"/>
          <w:sz w:val="32"/>
          <w:szCs w:val="32"/>
          <w14:textFill>
            <w14:solidFill>
              <w14:schemeClr w14:val="tx1"/>
            </w14:solidFill>
          </w14:textFill>
        </w:rPr>
        <w:t>产业发展的支撑作用还不明显。四是知识产权服务</w:t>
      </w:r>
      <w:r>
        <w:rPr>
          <w:rFonts w:hint="eastAsia" w:ascii="仿宋" w:hAnsi="仿宋" w:eastAsia="仿宋" w:cs="仿宋"/>
          <w:color w:val="000000" w:themeColor="text1"/>
          <w:sz w:val="32"/>
          <w:szCs w:val="32"/>
          <w:lang w:eastAsia="zh-CN"/>
          <w14:textFill>
            <w14:solidFill>
              <w14:schemeClr w14:val="tx1"/>
            </w14:solidFill>
          </w14:textFill>
        </w:rPr>
        <w:t>力量</w:t>
      </w:r>
      <w:r>
        <w:rPr>
          <w:rFonts w:hint="eastAsia" w:ascii="仿宋" w:hAnsi="仿宋" w:eastAsia="仿宋" w:cs="仿宋"/>
          <w:color w:val="000000" w:themeColor="text1"/>
          <w:sz w:val="32"/>
          <w:szCs w:val="32"/>
          <w14:textFill>
            <w14:solidFill>
              <w14:schemeClr w14:val="tx1"/>
            </w14:solidFill>
          </w14:textFill>
        </w:rPr>
        <w:t>和人才紧缺。知识产权服务业整体水平</w:t>
      </w:r>
      <w:r>
        <w:rPr>
          <w:rFonts w:hint="eastAsia" w:ascii="仿宋" w:hAnsi="仿宋" w:eastAsia="仿宋" w:cs="仿宋"/>
          <w:color w:val="000000" w:themeColor="text1"/>
          <w:sz w:val="32"/>
          <w:szCs w:val="32"/>
          <w:lang w:eastAsia="zh-CN"/>
          <w14:textFill>
            <w14:solidFill>
              <w14:schemeClr w14:val="tx1"/>
            </w14:solidFill>
          </w14:textFill>
        </w:rPr>
        <w:t>亟待</w:t>
      </w:r>
      <w:r>
        <w:rPr>
          <w:rFonts w:hint="eastAsia" w:ascii="仿宋" w:hAnsi="仿宋" w:eastAsia="仿宋" w:cs="仿宋"/>
          <w:color w:val="000000" w:themeColor="text1"/>
          <w:sz w:val="32"/>
          <w:szCs w:val="32"/>
          <w14:textFill>
            <w14:solidFill>
              <w14:schemeClr w14:val="tx1"/>
            </w14:solidFill>
          </w14:textFill>
        </w:rPr>
        <w:t>提升，公共服务能力不强，</w:t>
      </w:r>
      <w:r>
        <w:rPr>
          <w:rFonts w:hint="eastAsia" w:ascii="仿宋" w:hAnsi="仿宋" w:eastAsia="仿宋" w:cs="仿宋"/>
          <w:color w:val="000000" w:themeColor="text1"/>
          <w:sz w:val="32"/>
          <w:szCs w:val="32"/>
          <w:lang w:eastAsia="zh-CN"/>
          <w14:textFill>
            <w14:solidFill>
              <w14:schemeClr w14:val="tx1"/>
            </w14:solidFill>
          </w14:textFill>
        </w:rPr>
        <w:t>本地</w:t>
      </w:r>
      <w:r>
        <w:rPr>
          <w:rFonts w:hint="eastAsia" w:ascii="仿宋" w:hAnsi="仿宋" w:eastAsia="仿宋" w:cs="仿宋"/>
          <w:color w:val="000000" w:themeColor="text1"/>
          <w:sz w:val="32"/>
          <w:szCs w:val="32"/>
          <w14:textFill>
            <w14:solidFill>
              <w14:schemeClr w14:val="tx1"/>
            </w14:solidFill>
          </w14:textFill>
        </w:rPr>
        <w:t>知识产权服务机构数量</w:t>
      </w:r>
      <w:r>
        <w:rPr>
          <w:rFonts w:hint="eastAsia" w:ascii="仿宋" w:hAnsi="仿宋" w:eastAsia="仿宋" w:cs="仿宋"/>
          <w:color w:val="000000" w:themeColor="text1"/>
          <w:sz w:val="32"/>
          <w:szCs w:val="32"/>
          <w:lang w:eastAsia="zh-CN"/>
          <w14:textFill>
            <w14:solidFill>
              <w14:schemeClr w14:val="tx1"/>
            </w14:solidFill>
          </w14:textFill>
        </w:rPr>
        <w:t>匮乏</w:t>
      </w:r>
      <w:r>
        <w:rPr>
          <w:rFonts w:hint="eastAsia" w:ascii="仿宋" w:hAnsi="仿宋" w:eastAsia="仿宋" w:cs="仿宋"/>
          <w:color w:val="000000" w:themeColor="text1"/>
          <w:sz w:val="32"/>
          <w:szCs w:val="32"/>
          <w14:textFill>
            <w14:solidFill>
              <w14:schemeClr w14:val="tx1"/>
            </w14:solidFill>
          </w14:textFill>
        </w:rPr>
        <w:t>，高端知识产权人才不足以支撑</w:t>
      </w:r>
      <w:r>
        <w:rPr>
          <w:rFonts w:hint="eastAsia" w:ascii="仿宋" w:hAnsi="仿宋" w:eastAsia="仿宋" w:cs="仿宋"/>
          <w:color w:val="000000" w:themeColor="text1"/>
          <w:sz w:val="32"/>
          <w:szCs w:val="32"/>
          <w:lang w:eastAsia="zh-CN"/>
          <w14:textFill>
            <w14:solidFill>
              <w14:schemeClr w14:val="tx1"/>
            </w14:solidFill>
          </w14:textFill>
        </w:rPr>
        <w:t>高质量发展，外地中介机构的业务员“提篮子”、哄抬价格、后续服务不到位等扰乱市场秩序的乱象时有发生</w:t>
      </w:r>
      <w:r>
        <w:rPr>
          <w:rFonts w:hint="eastAsia" w:ascii="仿宋" w:hAnsi="仿宋" w:eastAsia="仿宋" w:cs="仿宋"/>
          <w:color w:val="000000" w:themeColor="text1"/>
          <w:sz w:val="32"/>
          <w:szCs w:val="32"/>
          <w14:textFill>
            <w14:solidFill>
              <w14:schemeClr w14:val="tx1"/>
            </w14:solidFill>
          </w14:textFill>
        </w:rPr>
        <w:t>。这些问题，需要我们在今后工作中认真研究解决。</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以上问题亟需在“十四五”期间认真研究并出台措施加以解决。</w:t>
      </w:r>
    </w:p>
    <w:p>
      <w:pPr>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fldChar w:fldCharType="begin"/>
      </w:r>
      <w:r>
        <w:rPr>
          <w:rFonts w:hint="eastAsia" w:ascii="黑体" w:hAnsi="黑体" w:eastAsia="黑体" w:cs="黑体"/>
          <w:color w:val="000000" w:themeColor="text1"/>
          <w:sz w:val="32"/>
          <w:szCs w:val="32"/>
          <w:lang w:val="en-US" w:eastAsia="zh-CN"/>
          <w14:textFill>
            <w14:solidFill>
              <w14:schemeClr w14:val="tx1"/>
            </w14:solidFill>
          </w14:textFill>
        </w:rPr>
        <w:instrText xml:space="preserve"> HYPERLINK \l "_Toc69062496" </w:instrText>
      </w:r>
      <w:r>
        <w:rPr>
          <w:rFonts w:hint="eastAsia" w:ascii="黑体" w:hAnsi="黑体" w:eastAsia="黑体" w:cs="黑体"/>
          <w:color w:val="000000" w:themeColor="text1"/>
          <w:sz w:val="32"/>
          <w:szCs w:val="32"/>
          <w:lang w:val="en-US" w:eastAsia="zh-CN"/>
          <w14:textFill>
            <w14:solidFill>
              <w14:schemeClr w14:val="tx1"/>
            </w14:solidFill>
          </w14:textFill>
        </w:rPr>
        <w:fldChar w:fldCharType="separate"/>
      </w:r>
      <w:r>
        <w:rPr>
          <w:rFonts w:hint="eastAsia" w:ascii="黑体" w:hAnsi="黑体" w:eastAsia="黑体" w:cs="黑体"/>
          <w:color w:val="000000" w:themeColor="text1"/>
          <w:sz w:val="32"/>
          <w:szCs w:val="32"/>
          <w:lang w:val="en-US" w:eastAsia="zh-CN"/>
          <w14:textFill>
            <w14:solidFill>
              <w14:schemeClr w14:val="tx1"/>
            </w14:solidFill>
          </w14:textFill>
        </w:rPr>
        <w:t>二、总体要求</w:t>
      </w:r>
      <w:r>
        <w:rPr>
          <w:rFonts w:hint="eastAsia" w:ascii="黑体" w:hAnsi="黑体" w:eastAsia="黑体" w:cs="黑体"/>
          <w:color w:val="000000" w:themeColor="text1"/>
          <w:sz w:val="32"/>
          <w:szCs w:val="32"/>
          <w:lang w:val="en-US" w:eastAsia="zh-CN"/>
          <w14:textFill>
            <w14:solidFill>
              <w14:schemeClr w14:val="tx1"/>
            </w14:solidFill>
          </w14:textFill>
        </w:rPr>
        <w:fldChar w:fldCharType="end"/>
      </w:r>
    </w:p>
    <w:p>
      <w:pPr>
        <w:ind w:firstLine="643" w:firstLineChars="200"/>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b/>
          <w:bCs/>
          <w:color w:val="000000" w:themeColor="text1"/>
          <w:sz w:val="32"/>
          <w:szCs w:val="32"/>
          <w:lang w:val="en-US" w:eastAsia="zh-CN"/>
          <w14:textFill>
            <w14:solidFill>
              <w14:schemeClr w14:val="tx1"/>
            </w14:solidFill>
          </w14:textFill>
        </w:rPr>
        <w:instrText xml:space="preserve"> HYPERLINK \l "_Toc69062497" </w:instrText>
      </w:r>
      <w:r>
        <w:rPr>
          <w:rFonts w:hint="eastAsia" w:ascii="仿宋" w:hAnsi="仿宋" w:eastAsia="仿宋" w:cs="仿宋"/>
          <w:b/>
          <w:bCs/>
          <w:color w:val="000000" w:themeColor="text1"/>
          <w:sz w:val="32"/>
          <w:szCs w:val="32"/>
          <w:lang w:val="en-US" w:eastAsia="zh-CN"/>
          <w14:textFill>
            <w14:solidFill>
              <w14:schemeClr w14:val="tx1"/>
            </w14:solidFill>
          </w14:textFill>
        </w:rPr>
        <w:fldChar w:fldCharType="separate"/>
      </w:r>
      <w:r>
        <w:rPr>
          <w:rFonts w:hint="eastAsia" w:ascii="仿宋" w:hAnsi="仿宋" w:eastAsia="仿宋" w:cs="仿宋"/>
          <w:b/>
          <w:bCs/>
          <w:color w:val="000000" w:themeColor="text1"/>
          <w:sz w:val="32"/>
          <w:szCs w:val="32"/>
          <w:lang w:val="en-US" w:eastAsia="zh-CN"/>
          <w14:textFill>
            <w14:solidFill>
              <w14:schemeClr w14:val="tx1"/>
            </w14:solidFill>
          </w14:textFill>
        </w:rPr>
        <w:t>（一）指导思想</w:t>
      </w:r>
      <w:r>
        <w:rPr>
          <w:rFonts w:hint="eastAsia" w:ascii="仿宋" w:hAnsi="仿宋" w:eastAsia="仿宋" w:cs="仿宋"/>
          <w:b/>
          <w:bCs/>
          <w:color w:val="000000" w:themeColor="text1"/>
          <w:sz w:val="32"/>
          <w:szCs w:val="32"/>
          <w:lang w:val="en-US" w:eastAsia="zh-CN"/>
          <w14:textFill>
            <w14:solidFill>
              <w14:schemeClr w14:val="tx1"/>
            </w14:solidFill>
          </w14:textFill>
        </w:rPr>
        <w:fldChar w:fldCharType="end"/>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十四五”期间，要以习近平总书记新时代中国特色社会主义思想为指引，全面落实中央《关于强化知识产权保护的意见》，深入实施知识产权战略，深化知识产权领域改革，实施最严格的知识产权保护，加快实施创新驱动发展战略。市内外统筹、局市县联动、点线面结合，围绕邵阳“一带一部”战略定位，积极推进支撑型知识产权强市建设。以促进科技创新成果知识产权化为基础、以促进专利转化运用为重点、以加强知识产权保护激发创新创业热情为关键、以支撑体系建设为保障，坚持抓增量提质、抓保护创新、抓转化运用、抓自身建设，全面提升知识产权综合能力，推进大众创业、万众创新，充分发挥知识产权在经济新常态下对推动我市经济提质增效升级的积极作用。</w:t>
      </w:r>
    </w:p>
    <w:p>
      <w:pPr>
        <w:ind w:firstLine="643" w:firstLineChars="200"/>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b/>
          <w:bCs/>
          <w:color w:val="000000" w:themeColor="text1"/>
          <w:sz w:val="32"/>
          <w:szCs w:val="32"/>
          <w:lang w:val="en-US" w:eastAsia="zh-CN"/>
          <w14:textFill>
            <w14:solidFill>
              <w14:schemeClr w14:val="tx1"/>
            </w14:solidFill>
          </w14:textFill>
        </w:rPr>
        <w:instrText xml:space="preserve"> HYPERLINK \l "_Toc69062498" </w:instrText>
      </w:r>
      <w:r>
        <w:rPr>
          <w:rFonts w:hint="eastAsia" w:ascii="仿宋" w:hAnsi="仿宋" w:eastAsia="仿宋" w:cs="仿宋"/>
          <w:b/>
          <w:bCs/>
          <w:color w:val="000000" w:themeColor="text1"/>
          <w:sz w:val="32"/>
          <w:szCs w:val="32"/>
          <w:lang w:val="en-US" w:eastAsia="zh-CN"/>
          <w14:textFill>
            <w14:solidFill>
              <w14:schemeClr w14:val="tx1"/>
            </w14:solidFill>
          </w14:textFill>
        </w:rPr>
        <w:fldChar w:fldCharType="separate"/>
      </w:r>
      <w:r>
        <w:rPr>
          <w:rFonts w:hint="eastAsia" w:ascii="仿宋" w:hAnsi="仿宋" w:eastAsia="仿宋" w:cs="仿宋"/>
          <w:b/>
          <w:bCs/>
          <w:color w:val="000000" w:themeColor="text1"/>
          <w:sz w:val="32"/>
          <w:szCs w:val="32"/>
          <w:lang w:val="en-US" w:eastAsia="zh-CN"/>
          <w14:textFill>
            <w14:solidFill>
              <w14:schemeClr w14:val="tx1"/>
            </w14:solidFill>
          </w14:textFill>
        </w:rPr>
        <w:t>（二）基本原则</w:t>
      </w:r>
      <w:r>
        <w:rPr>
          <w:rFonts w:hint="eastAsia" w:ascii="仿宋" w:hAnsi="仿宋" w:eastAsia="仿宋" w:cs="仿宋"/>
          <w:b/>
          <w:bCs/>
          <w:color w:val="000000" w:themeColor="text1"/>
          <w:sz w:val="32"/>
          <w:szCs w:val="32"/>
          <w:lang w:val="en-US" w:eastAsia="zh-CN"/>
          <w14:textFill>
            <w14:solidFill>
              <w14:schemeClr w14:val="tx1"/>
            </w14:solidFill>
          </w14:textFill>
        </w:rPr>
        <w:fldChar w:fldCharType="end"/>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要强化知识产权创造。要瞄准世界科技前沿，聚焦传统产业改造升级，加强关键共性技术、前沿引领技术、现代工程技术、颠覆性技术创新，为提升知识产权质量提供源头活水。要坚持质量第一、效益优先，深入实施专利质量提升工程，努力推动知识产权创造由多向优、由大到强转变。</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要强化知识产权保护。保护是知识产权工作的核心。要认真推进知识产权严保护、大保护、快保护、同保护各项工作，积极构建依法严格保护知识产权的良好环境。特别是要从完善知识产权保护法律法规、提高知识产权审查质量效率、加强新兴领域和业态知识产权保护、加大对侵权违法行为的惩治力度、提升社会公众知识产权意识等多个方面着手，推动知识产权保护从不断加强向全面从严转变。</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要强化知识产权运用。要坚持“三管齐下”，推进知识产权运用从单一效益向综合效益转变。持续深化知识产权权益分配改革，构建科学合理的权益分配机制，从根本上调动单位和发明人实施成果转化的积极性和主动性。同时，建立健全知识产权运营平台体系，为知识产权的转移转化、收购托管、交易流转、质押融资、分析评议等提供好平台支撑，促进知识产权的综合运用。</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面向实体经济，创新引领和改造升级相结合。按照加快实施创新驱动发展战略的要求统筹推进知识产权领域各项改革，统筹兼顾创新引领和传统产业改造升级，充分发挥知识产权制度激励创新的基本保障作用，夯实各项基础建设，为建设创新型邵阳和实现富民强市提供有力支撑。</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5、把握总体要求与突出区域特色相结合。按照国家知识产权战略和强市建设的总体要求和部署，立足我市实际和产业特色，整体谋划，分类指导，提升区域经济社会发展水平。</w:t>
      </w:r>
    </w:p>
    <w:p>
      <w:pPr>
        <w:ind w:firstLine="643" w:firstLineChars="200"/>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b/>
          <w:bCs/>
          <w:color w:val="000000" w:themeColor="text1"/>
          <w:sz w:val="32"/>
          <w:szCs w:val="32"/>
          <w:lang w:val="en-US" w:eastAsia="zh-CN"/>
          <w14:textFill>
            <w14:solidFill>
              <w14:schemeClr w14:val="tx1"/>
            </w14:solidFill>
          </w14:textFill>
        </w:rPr>
        <w:instrText xml:space="preserve"> HYPERLINK \l "_Toc69062499" </w:instrText>
      </w:r>
      <w:r>
        <w:rPr>
          <w:rFonts w:hint="eastAsia" w:ascii="仿宋" w:hAnsi="仿宋" w:eastAsia="仿宋" w:cs="仿宋"/>
          <w:b/>
          <w:bCs/>
          <w:color w:val="000000" w:themeColor="text1"/>
          <w:sz w:val="32"/>
          <w:szCs w:val="32"/>
          <w:lang w:val="en-US" w:eastAsia="zh-CN"/>
          <w14:textFill>
            <w14:solidFill>
              <w14:schemeClr w14:val="tx1"/>
            </w14:solidFill>
          </w14:textFill>
        </w:rPr>
        <w:fldChar w:fldCharType="separate"/>
      </w:r>
      <w:r>
        <w:rPr>
          <w:rFonts w:hint="eastAsia" w:ascii="仿宋" w:hAnsi="仿宋" w:eastAsia="仿宋" w:cs="仿宋"/>
          <w:b/>
          <w:bCs/>
          <w:color w:val="000000" w:themeColor="text1"/>
          <w:sz w:val="32"/>
          <w:szCs w:val="32"/>
          <w:lang w:val="en-US" w:eastAsia="zh-CN"/>
          <w14:textFill>
            <w14:solidFill>
              <w14:schemeClr w14:val="tx1"/>
            </w14:solidFill>
          </w14:textFill>
        </w:rPr>
        <w:t>（三）主要目标</w:t>
      </w:r>
    </w:p>
    <w:p>
      <w:pPr>
        <w:ind w:firstLine="643"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14:textFill>
            <w14:solidFill>
              <w14:schemeClr w14:val="tx1"/>
            </w14:solidFill>
          </w14:textFill>
        </w:rPr>
        <w:t>到2025年，将邵阳建设成为支撑型知识产权强市，大祥区、双清区、邵东市进入全省知识产权工作先进城市行列。全市知识产权意识明显增强，专利人才队伍不断发展壮大；专利数量稳定提高，结构进一步优化，专利质量提升明显；专利产业化水平进一步提升，形成一批专利优势产业和一批优势企业；专利市场化运营交易体系进一步完备，专利中介服务业健康有序发展，创新主体掌握和运用知识产权制度与资源参与市场竞争的能力明显提高；专利法规和政策不断完善，专利执法维权能力不断提高，专利综合实力保持在全省</w:t>
      </w:r>
      <w:r>
        <w:rPr>
          <w:rFonts w:hint="eastAsia" w:ascii="仿宋" w:hAnsi="仿宋" w:eastAsia="仿宋" w:cs="仿宋"/>
          <w:color w:val="000000" w:themeColor="text1"/>
          <w:sz w:val="32"/>
          <w:szCs w:val="32"/>
          <w:lang w:eastAsia="zh-CN"/>
          <w14:textFill>
            <w14:solidFill>
              <w14:schemeClr w14:val="tx1"/>
            </w14:solidFill>
          </w14:textFill>
        </w:rPr>
        <w:t>中等以上水平</w:t>
      </w:r>
      <w:r>
        <w:rPr>
          <w:rFonts w:hint="eastAsia" w:ascii="仿宋" w:hAnsi="仿宋" w:eastAsia="仿宋" w:cs="仿宋"/>
          <w:color w:val="000000" w:themeColor="text1"/>
          <w:sz w:val="32"/>
          <w:szCs w:val="32"/>
          <w14:textFill>
            <w14:solidFill>
              <w14:schemeClr w14:val="tx1"/>
            </w14:solidFill>
          </w14:textFill>
        </w:rPr>
        <w:t>，专利支撑经济社会发展的作用充分显现。</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——知识产权数质量显著提升。全市年</w:t>
      </w:r>
      <w:r>
        <w:rPr>
          <w:rFonts w:hint="eastAsia" w:ascii="仿宋" w:hAnsi="仿宋" w:eastAsia="仿宋" w:cs="仿宋"/>
          <w:color w:val="000000" w:themeColor="text1"/>
          <w:sz w:val="32"/>
          <w:szCs w:val="32"/>
          <w:lang w:val="en-US" w:eastAsia="zh-CN"/>
          <w14:textFill>
            <w14:solidFill>
              <w14:schemeClr w14:val="tx1"/>
            </w14:solidFill>
          </w14:textFill>
        </w:rPr>
        <w:t>均</w:t>
      </w:r>
      <w:r>
        <w:rPr>
          <w:rFonts w:hint="eastAsia" w:ascii="仿宋" w:hAnsi="仿宋" w:eastAsia="仿宋" w:cs="仿宋"/>
          <w:color w:val="000000" w:themeColor="text1"/>
          <w:sz w:val="32"/>
          <w:szCs w:val="32"/>
          <w14:textFill>
            <w14:solidFill>
              <w14:schemeClr w14:val="tx1"/>
            </w14:solidFill>
          </w14:textFill>
        </w:rPr>
        <w:t>专利申请总量达到</w:t>
      </w:r>
      <w:r>
        <w:rPr>
          <w:rFonts w:hint="eastAsia" w:ascii="仿宋" w:hAnsi="仿宋" w:eastAsia="仿宋" w:cs="仿宋"/>
          <w:color w:val="000000" w:themeColor="text1"/>
          <w:sz w:val="32"/>
          <w:szCs w:val="32"/>
          <w:lang w:val="en-US" w:eastAsia="zh-CN"/>
          <w14:textFill>
            <w14:solidFill>
              <w14:schemeClr w14:val="tx1"/>
            </w14:solidFill>
          </w14:textFill>
        </w:rPr>
        <w:t>6000</w:t>
      </w:r>
      <w:r>
        <w:rPr>
          <w:rFonts w:hint="eastAsia" w:ascii="仿宋" w:hAnsi="仿宋" w:eastAsia="仿宋" w:cs="仿宋"/>
          <w:color w:val="000000" w:themeColor="text1"/>
          <w:sz w:val="32"/>
          <w:szCs w:val="32"/>
          <w14:textFill>
            <w14:solidFill>
              <w14:schemeClr w14:val="tx1"/>
            </w14:solidFill>
          </w14:textFill>
        </w:rPr>
        <w:t>件，年</w:t>
      </w:r>
      <w:r>
        <w:rPr>
          <w:rFonts w:hint="eastAsia" w:ascii="仿宋" w:hAnsi="仿宋" w:eastAsia="仿宋" w:cs="仿宋"/>
          <w:color w:val="000000" w:themeColor="text1"/>
          <w:sz w:val="32"/>
          <w:szCs w:val="32"/>
          <w:lang w:val="en-US" w:eastAsia="zh-CN"/>
          <w14:textFill>
            <w14:solidFill>
              <w14:schemeClr w14:val="tx1"/>
            </w14:solidFill>
          </w14:textFill>
        </w:rPr>
        <w:t>均</w:t>
      </w:r>
      <w:r>
        <w:rPr>
          <w:rFonts w:hint="eastAsia" w:ascii="仿宋" w:hAnsi="仿宋" w:eastAsia="仿宋" w:cs="仿宋"/>
          <w:color w:val="000000" w:themeColor="text1"/>
          <w:sz w:val="32"/>
          <w:szCs w:val="32"/>
          <w14:textFill>
            <w14:solidFill>
              <w14:schemeClr w14:val="tx1"/>
            </w14:solidFill>
          </w14:textFill>
        </w:rPr>
        <w:t>发明专利申请量达到</w:t>
      </w:r>
      <w:r>
        <w:rPr>
          <w:rFonts w:hint="eastAsia" w:ascii="仿宋" w:hAnsi="仿宋" w:eastAsia="仿宋" w:cs="仿宋"/>
          <w:color w:val="000000" w:themeColor="text1"/>
          <w:sz w:val="32"/>
          <w:szCs w:val="32"/>
          <w:lang w:val="en-US" w:eastAsia="zh-CN"/>
          <w14:textFill>
            <w14:solidFill>
              <w14:schemeClr w14:val="tx1"/>
            </w14:solidFill>
          </w14:textFill>
        </w:rPr>
        <w:t>1200</w:t>
      </w:r>
      <w:r>
        <w:rPr>
          <w:rFonts w:hint="eastAsia" w:ascii="仿宋" w:hAnsi="仿宋" w:eastAsia="仿宋" w:cs="仿宋"/>
          <w:color w:val="000000" w:themeColor="text1"/>
          <w:sz w:val="32"/>
          <w:szCs w:val="32"/>
          <w14:textFill>
            <w14:solidFill>
              <w14:schemeClr w14:val="tx1"/>
            </w14:solidFill>
          </w14:textFill>
        </w:rPr>
        <w:t>件，</w:t>
      </w:r>
      <w:r>
        <w:rPr>
          <w:rFonts w:hint="eastAsia" w:ascii="仿宋" w:hAnsi="仿宋" w:eastAsia="仿宋" w:cs="仿宋"/>
          <w:color w:val="000000" w:themeColor="text1"/>
          <w:sz w:val="32"/>
          <w:szCs w:val="32"/>
          <w:lang w:val="en-US" w:eastAsia="zh-CN"/>
          <w14:textFill>
            <w14:solidFill>
              <w14:schemeClr w14:val="tx1"/>
            </w14:solidFill>
          </w14:textFill>
        </w:rPr>
        <w:t>年均发明专利授权达到300件，每万人有效发明专利达到3件/万人</w:t>
      </w:r>
      <w:r>
        <w:rPr>
          <w:rFonts w:hint="eastAsia" w:ascii="仿宋" w:hAnsi="仿宋" w:eastAsia="仿宋" w:cs="仿宋"/>
          <w:color w:val="000000" w:themeColor="text1"/>
          <w:sz w:val="32"/>
          <w:szCs w:val="32"/>
          <w14:textFill>
            <w14:solidFill>
              <w14:schemeClr w14:val="tx1"/>
            </w14:solidFill>
          </w14:textFill>
        </w:rPr>
        <w:t>。规模以上工业企业有专利申请的比例达到</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%，着力打造3-5个专利密集型产业。</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——区域知识产权竞争优势明显增强。大祥区</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双清区、邵东市专利主要指标达到全省平均水平，全市年专利申请量超</w:t>
      </w:r>
      <w:r>
        <w:rPr>
          <w:rFonts w:hint="eastAsia" w:ascii="仿宋" w:hAnsi="仿宋" w:eastAsia="仿宋" w:cs="仿宋"/>
          <w:color w:val="000000" w:themeColor="text1"/>
          <w:sz w:val="32"/>
          <w:szCs w:val="32"/>
          <w:lang w:val="en-US" w:eastAsia="zh-CN"/>
          <w14:textFill>
            <w14:solidFill>
              <w14:schemeClr w14:val="tx1"/>
            </w14:solidFill>
          </w14:textFill>
        </w:rPr>
        <w:t>1000</w:t>
      </w:r>
      <w:r>
        <w:rPr>
          <w:rFonts w:hint="eastAsia" w:ascii="仿宋" w:hAnsi="仿宋" w:eastAsia="仿宋" w:cs="仿宋"/>
          <w:color w:val="000000" w:themeColor="text1"/>
          <w:sz w:val="32"/>
          <w:szCs w:val="32"/>
          <w14:textFill>
            <w14:solidFill>
              <w14:schemeClr w14:val="tx1"/>
            </w14:solidFill>
          </w14:textFill>
        </w:rPr>
        <w:t>件的县市区超过</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个。</w:t>
      </w:r>
    </w:p>
    <w:p>
      <w:p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——知识产权运用水平大幅提升。</w:t>
      </w:r>
      <w:r>
        <w:rPr>
          <w:rFonts w:hint="eastAsia" w:ascii="仿宋" w:hAnsi="仿宋" w:eastAsia="仿宋" w:cs="仿宋"/>
          <w:color w:val="000000" w:themeColor="text1"/>
          <w:sz w:val="32"/>
          <w:szCs w:val="32"/>
          <w:lang w:val="en-US" w:eastAsia="zh-CN"/>
          <w14:textFill>
            <w14:solidFill>
              <w14:schemeClr w14:val="tx1"/>
            </w14:solidFill>
          </w14:textFill>
        </w:rPr>
        <w:t>70</w:t>
      </w:r>
      <w:r>
        <w:rPr>
          <w:rFonts w:hint="eastAsia" w:ascii="仿宋" w:hAnsi="仿宋" w:eastAsia="仿宋" w:cs="仿宋"/>
          <w:color w:val="000000" w:themeColor="text1"/>
          <w:sz w:val="32"/>
          <w:szCs w:val="32"/>
          <w14:textFill>
            <w14:solidFill>
              <w14:schemeClr w14:val="tx1"/>
            </w14:solidFill>
          </w14:textFill>
        </w:rPr>
        <w:t>%以上大中型工业企业和高新技术企业建立知识产权工作机制。企业专利转化实施率达</w:t>
      </w:r>
      <w:r>
        <w:rPr>
          <w:rFonts w:hint="eastAsia" w:ascii="仿宋" w:hAnsi="仿宋" w:eastAsia="仿宋" w:cs="仿宋"/>
          <w:color w:val="000000" w:themeColor="text1"/>
          <w:sz w:val="32"/>
          <w:szCs w:val="32"/>
          <w:lang w:val="en-US" w:eastAsia="zh-CN"/>
          <w14:textFill>
            <w14:solidFill>
              <w14:schemeClr w14:val="tx1"/>
            </w14:solidFill>
          </w14:textFill>
        </w:rPr>
        <w:t>45</w:t>
      </w:r>
      <w:r>
        <w:rPr>
          <w:rFonts w:hint="eastAsia" w:ascii="仿宋" w:hAnsi="仿宋" w:eastAsia="仿宋" w:cs="仿宋"/>
          <w:color w:val="000000" w:themeColor="text1"/>
          <w:sz w:val="32"/>
          <w:szCs w:val="32"/>
          <w14:textFill>
            <w14:solidFill>
              <w14:schemeClr w14:val="tx1"/>
            </w14:solidFill>
          </w14:textFill>
        </w:rPr>
        <w:t>%以上。专利转让及许可合同备案数量达到</w:t>
      </w:r>
      <w:r>
        <w:rPr>
          <w:rFonts w:hint="eastAsia" w:ascii="仿宋" w:hAnsi="仿宋" w:eastAsia="仿宋" w:cs="仿宋"/>
          <w:color w:val="000000" w:themeColor="text1"/>
          <w:sz w:val="32"/>
          <w:szCs w:val="32"/>
          <w:lang w:val="en-US" w:eastAsia="zh-CN"/>
          <w14:textFill>
            <w14:solidFill>
              <w14:schemeClr w14:val="tx1"/>
            </w14:solidFill>
          </w14:textFill>
        </w:rPr>
        <w:t>年均10</w:t>
      </w:r>
      <w:r>
        <w:rPr>
          <w:rFonts w:hint="eastAsia" w:ascii="仿宋" w:hAnsi="仿宋" w:eastAsia="仿宋" w:cs="仿宋"/>
          <w:color w:val="000000" w:themeColor="text1"/>
          <w:sz w:val="32"/>
          <w:szCs w:val="32"/>
          <w14:textFill>
            <w14:solidFill>
              <w14:schemeClr w14:val="tx1"/>
            </w14:solidFill>
          </w14:textFill>
        </w:rPr>
        <w:t>件，专利运营及</w:t>
      </w:r>
      <w:r>
        <w:rPr>
          <w:rFonts w:hint="eastAsia" w:ascii="仿宋" w:hAnsi="仿宋" w:eastAsia="仿宋" w:cs="仿宋"/>
          <w:color w:val="000000" w:themeColor="text1"/>
          <w:sz w:val="32"/>
          <w:szCs w:val="32"/>
          <w:lang w:val="en-US" w:eastAsia="zh-CN"/>
          <w14:textFill>
            <w14:solidFill>
              <w14:schemeClr w14:val="tx1"/>
            </w14:solidFill>
          </w14:textFill>
        </w:rPr>
        <w:t>质押</w:t>
      </w:r>
      <w:r>
        <w:rPr>
          <w:rFonts w:hint="eastAsia" w:ascii="仿宋" w:hAnsi="仿宋" w:eastAsia="仿宋" w:cs="仿宋"/>
          <w:color w:val="000000" w:themeColor="text1"/>
          <w:sz w:val="32"/>
          <w:szCs w:val="32"/>
          <w14:textFill>
            <w14:solidFill>
              <w14:schemeClr w14:val="tx1"/>
            </w14:solidFill>
          </w14:textFill>
        </w:rPr>
        <w:t>融资额度</w:t>
      </w:r>
      <w:r>
        <w:rPr>
          <w:rFonts w:hint="eastAsia" w:ascii="仿宋" w:hAnsi="仿宋" w:eastAsia="仿宋" w:cs="仿宋"/>
          <w:color w:val="000000" w:themeColor="text1"/>
          <w:sz w:val="32"/>
          <w:szCs w:val="32"/>
          <w:lang w:val="en-US" w:eastAsia="zh-CN"/>
          <w14:textFill>
            <w14:solidFill>
              <w14:schemeClr w14:val="tx1"/>
            </w14:solidFill>
          </w14:textFill>
        </w:rPr>
        <w:t>年均</w:t>
      </w:r>
      <w:r>
        <w:rPr>
          <w:rFonts w:hint="eastAsia" w:ascii="仿宋" w:hAnsi="仿宋" w:eastAsia="仿宋" w:cs="仿宋"/>
          <w:color w:val="000000" w:themeColor="text1"/>
          <w:sz w:val="32"/>
          <w:szCs w:val="32"/>
          <w14:textFill>
            <w14:solidFill>
              <w14:schemeClr w14:val="tx1"/>
            </w14:solidFill>
          </w14:textFill>
        </w:rPr>
        <w:t>达到</w:t>
      </w:r>
      <w:r>
        <w:rPr>
          <w:rFonts w:hint="eastAsia" w:ascii="仿宋" w:hAnsi="仿宋" w:eastAsia="仿宋" w:cs="仿宋"/>
          <w:color w:val="000000" w:themeColor="text1"/>
          <w:sz w:val="32"/>
          <w:szCs w:val="32"/>
          <w:lang w:val="en-US" w:eastAsia="zh-CN"/>
          <w14:textFill>
            <w14:solidFill>
              <w14:schemeClr w14:val="tx1"/>
            </w14:solidFill>
          </w14:textFill>
        </w:rPr>
        <w:t>0.4</w:t>
      </w:r>
      <w:r>
        <w:rPr>
          <w:rFonts w:hint="eastAsia" w:ascii="仿宋" w:hAnsi="仿宋" w:eastAsia="仿宋" w:cs="仿宋"/>
          <w:color w:val="000000" w:themeColor="text1"/>
          <w:sz w:val="32"/>
          <w:szCs w:val="32"/>
          <w14:textFill>
            <w14:solidFill>
              <w14:schemeClr w14:val="tx1"/>
            </w14:solidFill>
          </w14:textFill>
        </w:rPr>
        <w:t>亿元。</w:t>
      </w:r>
      <w:r>
        <w:rPr>
          <w:rFonts w:hint="eastAsia" w:ascii="仿宋" w:hAnsi="仿宋" w:eastAsia="仿宋" w:cs="仿宋"/>
          <w:color w:val="000000" w:themeColor="text1"/>
          <w:sz w:val="32"/>
          <w:szCs w:val="32"/>
          <w:lang w:val="en-US" w:eastAsia="zh-CN"/>
          <w14:textFill>
            <w14:solidFill>
              <w14:schemeClr w14:val="tx1"/>
            </w14:solidFill>
          </w14:textFill>
        </w:rPr>
        <w:t>成立风险基金年均达0.6亿元。新增国家知识产权强县工程示范县1-2个、新增省知识产权建设强县2-3个、新增地理标志保护示范县1-2个。</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知识产权保护环境明显优化。稳定一支高素质的专利行政执法队伍。知识产权行政执法工作长效机制趋于完善，办案质量不断提升，专利行政执法案件规定期限内结案率达到100%。维权援助服务效能大幅提升，构建覆盖全市、布局合理、服务面广、规范高效的维权援助和举报投诉工作体系。</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知识产权服务能力进一步加强。建好政务服务平台、知识产权转化交易平台、专利信息公共服务平台。培育3-5家综合性知识产权中介服务机构，全市知识产权服务能力水平明显提高。构建满足我市经济社会发展和专利事业发展需要的专利人才队伍，全市知识产权人才总量达到</w:t>
      </w:r>
      <w:r>
        <w:rPr>
          <w:rFonts w:hint="eastAsia" w:ascii="仿宋" w:hAnsi="仿宋" w:eastAsia="仿宋" w:cs="仿宋"/>
          <w:color w:val="000000" w:themeColor="text1"/>
          <w:sz w:val="32"/>
          <w:szCs w:val="32"/>
          <w:lang w:val="en-US" w:eastAsia="zh-CN"/>
          <w14:textFill>
            <w14:solidFill>
              <w14:schemeClr w14:val="tx1"/>
            </w14:solidFill>
          </w14:textFill>
        </w:rPr>
        <w:t>1.5</w:t>
      </w:r>
      <w:r>
        <w:rPr>
          <w:rFonts w:hint="eastAsia" w:ascii="仿宋" w:hAnsi="仿宋" w:eastAsia="仿宋" w:cs="仿宋"/>
          <w:color w:val="000000" w:themeColor="text1"/>
          <w:sz w:val="32"/>
          <w:szCs w:val="32"/>
          <w14:textFill>
            <w14:solidFill>
              <w14:schemeClr w14:val="tx1"/>
            </w14:solidFill>
          </w14:textFill>
        </w:rPr>
        <w:t>万人左右。</w:t>
      </w:r>
    </w:p>
    <w:p>
      <w:pPr>
        <w:pStyle w:val="2"/>
        <w:rPr>
          <w:rFonts w:hint="eastAsia"/>
          <w:color w:val="000000" w:themeColor="text1"/>
          <w14:textFill>
            <w14:solidFill>
              <w14:schemeClr w14:val="tx1"/>
            </w14:solidFill>
          </w14:textFill>
        </w:rPr>
      </w:pPr>
    </w:p>
    <w:tbl>
      <w:tblPr>
        <w:tblStyle w:val="1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540"/>
        <w:gridCol w:w="4510"/>
        <w:gridCol w:w="1087"/>
        <w:gridCol w:w="1293"/>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180" w:type="dxa"/>
            <w:gridSpan w:val="6"/>
            <w:noWrap w:val="0"/>
            <w:vAlign w:val="center"/>
          </w:tcPr>
          <w:p>
            <w:pPr>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“十四五”知识产权发展主要预期指标（市级指标待测算）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9" w:type="dxa"/>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类别</w:t>
            </w:r>
          </w:p>
        </w:tc>
        <w:tc>
          <w:tcPr>
            <w:tcW w:w="540" w:type="dxa"/>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4510" w:type="dxa"/>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指标名称</w:t>
            </w:r>
          </w:p>
        </w:tc>
        <w:tc>
          <w:tcPr>
            <w:tcW w:w="1087" w:type="dxa"/>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2020年</w:t>
            </w:r>
          </w:p>
        </w:tc>
        <w:tc>
          <w:tcPr>
            <w:tcW w:w="1293" w:type="dxa"/>
            <w:noWrap w:val="0"/>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2025年</w:t>
            </w:r>
          </w:p>
        </w:tc>
        <w:tc>
          <w:tcPr>
            <w:tcW w:w="1251" w:type="dxa"/>
            <w:noWrap w:val="0"/>
            <w:vAlign w:val="center"/>
          </w:tcPr>
          <w:p>
            <w:pPr>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累计</w:t>
            </w:r>
          </w:p>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增加值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499" w:type="dxa"/>
            <w:vMerge w:val="restart"/>
            <w:noWrap w:val="0"/>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创造</w:t>
            </w:r>
          </w:p>
        </w:tc>
        <w:tc>
          <w:tcPr>
            <w:tcW w:w="540" w:type="dxa"/>
            <w:noWrap w:val="0"/>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4510" w:type="dxa"/>
            <w:noWrap w:val="0"/>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每万人口高质量发明专利拥有量（件）</w:t>
            </w:r>
          </w:p>
        </w:tc>
        <w:tc>
          <w:tcPr>
            <w:tcW w:w="1087" w:type="dxa"/>
            <w:noWrap w:val="0"/>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2.78</w:t>
            </w:r>
          </w:p>
        </w:tc>
        <w:tc>
          <w:tcPr>
            <w:tcW w:w="1293" w:type="dxa"/>
            <w:noWrap w:val="0"/>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1251" w:type="dxa"/>
            <w:noWrap w:val="0"/>
            <w:vAlign w:val="center"/>
          </w:tcPr>
          <w:p>
            <w:pP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99" w:type="dxa"/>
            <w:vMerge w:val="continue"/>
            <w:noWrap w:val="0"/>
            <w:vAlign w:val="center"/>
          </w:tcPr>
          <w:p>
            <w:pPr>
              <w:rPr>
                <w:rFonts w:hint="eastAsia" w:ascii="仿宋" w:hAnsi="仿宋" w:eastAsia="仿宋" w:cs="仿宋"/>
                <w:color w:val="000000" w:themeColor="text1"/>
                <w:sz w:val="24"/>
                <w:szCs w:val="24"/>
                <w14:textFill>
                  <w14:solidFill>
                    <w14:schemeClr w14:val="tx1"/>
                  </w14:solidFill>
                </w14:textFill>
              </w:rPr>
            </w:pPr>
          </w:p>
        </w:tc>
        <w:tc>
          <w:tcPr>
            <w:tcW w:w="540" w:type="dxa"/>
            <w:noWrap w:val="0"/>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4510" w:type="dxa"/>
            <w:noWrap w:val="0"/>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PCT国际专利申请量（件）</w:t>
            </w:r>
          </w:p>
        </w:tc>
        <w:tc>
          <w:tcPr>
            <w:tcW w:w="1087" w:type="dxa"/>
            <w:noWrap w:val="0"/>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624</w:t>
            </w:r>
          </w:p>
        </w:tc>
        <w:tc>
          <w:tcPr>
            <w:tcW w:w="1293" w:type="dxa"/>
            <w:noWrap w:val="0"/>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1000</w:t>
            </w:r>
          </w:p>
        </w:tc>
        <w:tc>
          <w:tcPr>
            <w:tcW w:w="1251" w:type="dxa"/>
            <w:noWrap w:val="0"/>
            <w:vAlign w:val="center"/>
          </w:tcPr>
          <w:p>
            <w:pP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499" w:type="dxa"/>
            <w:vMerge w:val="restart"/>
            <w:noWrap w:val="0"/>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运用</w:t>
            </w:r>
          </w:p>
        </w:tc>
        <w:tc>
          <w:tcPr>
            <w:tcW w:w="540" w:type="dxa"/>
            <w:noWrap w:val="0"/>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4510" w:type="dxa"/>
            <w:noWrap w:val="0"/>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知识产权（专利）密集型产业增加值占CDP的比重(%)</w:t>
            </w:r>
          </w:p>
        </w:tc>
        <w:tc>
          <w:tcPr>
            <w:tcW w:w="1087" w:type="dxa"/>
            <w:noWrap w:val="0"/>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10.4</w:t>
            </w:r>
          </w:p>
        </w:tc>
        <w:tc>
          <w:tcPr>
            <w:tcW w:w="1293" w:type="dxa"/>
            <w:noWrap w:val="0"/>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12左右</w:t>
            </w:r>
          </w:p>
        </w:tc>
        <w:tc>
          <w:tcPr>
            <w:tcW w:w="1251" w:type="dxa"/>
            <w:noWrap w:val="0"/>
            <w:vAlign w:val="center"/>
          </w:tcPr>
          <w:p>
            <w:pP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99" w:type="dxa"/>
            <w:vMerge w:val="continue"/>
            <w:noWrap w:val="0"/>
            <w:vAlign w:val="center"/>
          </w:tcPr>
          <w:p>
            <w:pPr>
              <w:rPr>
                <w:rFonts w:hint="eastAsia" w:ascii="仿宋" w:hAnsi="仿宋" w:eastAsia="仿宋" w:cs="仿宋"/>
                <w:color w:val="000000" w:themeColor="text1"/>
                <w:sz w:val="24"/>
                <w:szCs w:val="24"/>
                <w14:textFill>
                  <w14:solidFill>
                    <w14:schemeClr w14:val="tx1"/>
                  </w14:solidFill>
                </w14:textFill>
              </w:rPr>
            </w:pPr>
          </w:p>
        </w:tc>
        <w:tc>
          <w:tcPr>
            <w:tcW w:w="540" w:type="dxa"/>
            <w:noWrap w:val="0"/>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4510" w:type="dxa"/>
            <w:noWrap w:val="0"/>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地理标志商标产品产值(亿元)</w:t>
            </w:r>
          </w:p>
        </w:tc>
        <w:tc>
          <w:tcPr>
            <w:tcW w:w="1087" w:type="dxa"/>
            <w:noWrap w:val="0"/>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800</w:t>
            </w:r>
          </w:p>
        </w:tc>
        <w:tc>
          <w:tcPr>
            <w:tcW w:w="1293" w:type="dxa"/>
            <w:noWrap w:val="0"/>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1000</w:t>
            </w:r>
          </w:p>
        </w:tc>
        <w:tc>
          <w:tcPr>
            <w:tcW w:w="1251" w:type="dxa"/>
            <w:noWrap w:val="0"/>
            <w:vAlign w:val="center"/>
          </w:tcPr>
          <w:p>
            <w:pP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499" w:type="dxa"/>
            <w:vMerge w:val="continue"/>
            <w:noWrap w:val="0"/>
            <w:vAlign w:val="center"/>
          </w:tcPr>
          <w:p>
            <w:pPr>
              <w:rPr>
                <w:rFonts w:hint="eastAsia" w:ascii="仿宋" w:hAnsi="仿宋" w:eastAsia="仿宋" w:cs="仿宋"/>
                <w:color w:val="000000" w:themeColor="text1"/>
                <w:sz w:val="24"/>
                <w:szCs w:val="24"/>
                <w14:textFill>
                  <w14:solidFill>
                    <w14:schemeClr w14:val="tx1"/>
                  </w14:solidFill>
                </w14:textFill>
              </w:rPr>
            </w:pPr>
          </w:p>
        </w:tc>
        <w:tc>
          <w:tcPr>
            <w:tcW w:w="540" w:type="dxa"/>
            <w:noWrap w:val="0"/>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4510" w:type="dxa"/>
            <w:noWrap w:val="0"/>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年度知识产权质押融资金额（亿元）</w:t>
            </w:r>
          </w:p>
        </w:tc>
        <w:tc>
          <w:tcPr>
            <w:tcW w:w="1087" w:type="dxa"/>
            <w:noWrap w:val="0"/>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41.9</w:t>
            </w:r>
          </w:p>
        </w:tc>
        <w:tc>
          <w:tcPr>
            <w:tcW w:w="1293" w:type="dxa"/>
            <w:noWrap w:val="0"/>
            <w:vAlign w:val="center"/>
          </w:tcPr>
          <w:p>
            <w:pPr>
              <w:rPr>
                <w:rFonts w:hint="eastAsia" w:ascii="仿宋" w:hAnsi="仿宋" w:eastAsia="仿宋" w:cs="仿宋"/>
                <w:color w:val="000000" w:themeColor="text1"/>
                <w:sz w:val="24"/>
                <w:szCs w:val="24"/>
                <w14:textFill>
                  <w14:solidFill>
                    <w14:schemeClr w14:val="tx1"/>
                  </w14:solidFill>
                </w14:textFill>
              </w:rPr>
            </w:pPr>
          </w:p>
        </w:tc>
        <w:tc>
          <w:tcPr>
            <w:tcW w:w="1251" w:type="dxa"/>
            <w:noWrap w:val="0"/>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9" w:type="dxa"/>
            <w:vMerge w:val="restart"/>
            <w:noWrap w:val="0"/>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保护</w:t>
            </w:r>
          </w:p>
        </w:tc>
        <w:tc>
          <w:tcPr>
            <w:tcW w:w="540" w:type="dxa"/>
            <w:noWrap w:val="0"/>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c>
          <w:tcPr>
            <w:tcW w:w="4510" w:type="dxa"/>
            <w:noWrap w:val="0"/>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知识产权保护社会满意度（分）</w:t>
            </w:r>
          </w:p>
        </w:tc>
        <w:tc>
          <w:tcPr>
            <w:tcW w:w="1087" w:type="dxa"/>
            <w:noWrap w:val="0"/>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2019年78.24</w:t>
            </w:r>
          </w:p>
        </w:tc>
        <w:tc>
          <w:tcPr>
            <w:tcW w:w="1293" w:type="dxa"/>
            <w:noWrap w:val="0"/>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80</w:t>
            </w:r>
          </w:p>
        </w:tc>
        <w:tc>
          <w:tcPr>
            <w:tcW w:w="1251" w:type="dxa"/>
            <w:noWrap w:val="0"/>
            <w:vAlign w:val="center"/>
          </w:tcPr>
          <w:p>
            <w:pP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99" w:type="dxa"/>
            <w:vMerge w:val="continue"/>
            <w:noWrap w:val="0"/>
            <w:vAlign w:val="center"/>
          </w:tcPr>
          <w:p>
            <w:pPr>
              <w:rPr>
                <w:rFonts w:hint="eastAsia" w:ascii="仿宋" w:hAnsi="仿宋" w:eastAsia="仿宋" w:cs="仿宋"/>
                <w:color w:val="000000" w:themeColor="text1"/>
                <w:sz w:val="24"/>
                <w:szCs w:val="24"/>
                <w14:textFill>
                  <w14:solidFill>
                    <w14:schemeClr w14:val="tx1"/>
                  </w14:solidFill>
                </w14:textFill>
              </w:rPr>
            </w:pPr>
          </w:p>
        </w:tc>
        <w:tc>
          <w:tcPr>
            <w:tcW w:w="540" w:type="dxa"/>
            <w:noWrap w:val="0"/>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w:t>
            </w:r>
          </w:p>
        </w:tc>
        <w:tc>
          <w:tcPr>
            <w:tcW w:w="4510" w:type="dxa"/>
            <w:noWrap w:val="0"/>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知识产权非诉调解案件数</w:t>
            </w:r>
          </w:p>
        </w:tc>
        <w:tc>
          <w:tcPr>
            <w:tcW w:w="1087" w:type="dxa"/>
            <w:noWrap w:val="0"/>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1400</w:t>
            </w:r>
          </w:p>
        </w:tc>
        <w:tc>
          <w:tcPr>
            <w:tcW w:w="1293" w:type="dxa"/>
            <w:noWrap w:val="0"/>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2200</w:t>
            </w:r>
          </w:p>
        </w:tc>
        <w:tc>
          <w:tcPr>
            <w:tcW w:w="1251" w:type="dxa"/>
            <w:noWrap w:val="0"/>
            <w:vAlign w:val="center"/>
          </w:tcPr>
          <w:p>
            <w:pP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499" w:type="dxa"/>
            <w:vMerge w:val="continue"/>
            <w:noWrap w:val="0"/>
            <w:vAlign w:val="center"/>
          </w:tcPr>
          <w:p>
            <w:pPr>
              <w:rPr>
                <w:rFonts w:hint="eastAsia" w:ascii="仿宋" w:hAnsi="仿宋" w:eastAsia="仿宋" w:cs="仿宋"/>
                <w:color w:val="000000" w:themeColor="text1"/>
                <w:sz w:val="24"/>
                <w:szCs w:val="24"/>
                <w14:textFill>
                  <w14:solidFill>
                    <w14:schemeClr w14:val="tx1"/>
                  </w14:solidFill>
                </w14:textFill>
              </w:rPr>
            </w:pPr>
          </w:p>
        </w:tc>
        <w:tc>
          <w:tcPr>
            <w:tcW w:w="540" w:type="dxa"/>
            <w:noWrap w:val="0"/>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w:t>
            </w:r>
          </w:p>
        </w:tc>
        <w:tc>
          <w:tcPr>
            <w:tcW w:w="4510" w:type="dxa"/>
            <w:noWrap w:val="0"/>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知识产权民事一审案件服判息诉率</w:t>
            </w:r>
          </w:p>
        </w:tc>
        <w:tc>
          <w:tcPr>
            <w:tcW w:w="1087" w:type="dxa"/>
            <w:noWrap w:val="0"/>
            <w:vAlign w:val="center"/>
          </w:tcPr>
          <w:p>
            <w:pPr>
              <w:rPr>
                <w:rFonts w:hint="eastAsia" w:ascii="仿宋" w:hAnsi="仿宋" w:eastAsia="仿宋" w:cs="仿宋"/>
                <w:color w:val="000000" w:themeColor="text1"/>
                <w:sz w:val="24"/>
                <w:szCs w:val="24"/>
                <w14:textFill>
                  <w14:solidFill>
                    <w14:schemeClr w14:val="tx1"/>
                  </w14:solidFill>
                </w14:textFill>
              </w:rPr>
            </w:pPr>
          </w:p>
        </w:tc>
        <w:tc>
          <w:tcPr>
            <w:tcW w:w="1293" w:type="dxa"/>
            <w:noWrap w:val="0"/>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85%以上</w:t>
            </w:r>
          </w:p>
        </w:tc>
        <w:tc>
          <w:tcPr>
            <w:tcW w:w="1251" w:type="dxa"/>
            <w:noWrap w:val="0"/>
            <w:vAlign w:val="center"/>
          </w:tcPr>
          <w:p>
            <w:pP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499" w:type="dxa"/>
            <w:tcBorders>
              <w:bottom w:val="single" w:color="auto" w:sz="4" w:space="0"/>
            </w:tcBorders>
            <w:noWrap w:val="0"/>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服务</w:t>
            </w:r>
          </w:p>
        </w:tc>
        <w:tc>
          <w:tcPr>
            <w:tcW w:w="540" w:type="dxa"/>
            <w:tcBorders>
              <w:bottom w:val="single" w:color="auto" w:sz="4" w:space="0"/>
            </w:tcBorders>
            <w:noWrap w:val="0"/>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w:t>
            </w:r>
          </w:p>
        </w:tc>
        <w:tc>
          <w:tcPr>
            <w:tcW w:w="4510" w:type="dxa"/>
            <w:tcBorders>
              <w:bottom w:val="single" w:color="auto" w:sz="4" w:space="0"/>
            </w:tcBorders>
            <w:noWrap w:val="0"/>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全省知识产权服务机构数</w:t>
            </w:r>
          </w:p>
        </w:tc>
        <w:tc>
          <w:tcPr>
            <w:tcW w:w="1087" w:type="dxa"/>
            <w:tcBorders>
              <w:bottom w:val="single" w:color="auto" w:sz="4" w:space="0"/>
            </w:tcBorders>
            <w:noWrap w:val="0"/>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1324</w:t>
            </w:r>
          </w:p>
        </w:tc>
        <w:tc>
          <w:tcPr>
            <w:tcW w:w="1293" w:type="dxa"/>
            <w:tcBorders>
              <w:bottom w:val="single" w:color="auto" w:sz="4" w:space="0"/>
            </w:tcBorders>
            <w:noWrap w:val="0"/>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1500</w:t>
            </w:r>
          </w:p>
        </w:tc>
        <w:tc>
          <w:tcPr>
            <w:tcW w:w="1251" w:type="dxa"/>
            <w:tcBorders>
              <w:bottom w:val="single" w:color="auto" w:sz="4" w:space="0"/>
            </w:tcBorders>
            <w:noWrap w:val="0"/>
            <w:vAlign w:val="center"/>
          </w:tcPr>
          <w:p>
            <w:pPr>
              <w:rPr>
                <w:rFonts w:hint="eastAsia" w:ascii="仿宋" w:hAnsi="仿宋" w:eastAsia="仿宋" w:cs="仿宋"/>
                <w:color w:val="000000" w:themeColor="text1"/>
                <w:sz w:val="24"/>
                <w:szCs w:val="24"/>
                <w14:textFill>
                  <w14:solidFill>
                    <w14:schemeClr w14:val="tx1"/>
                  </w14:solidFill>
                </w14:textFill>
              </w:rPr>
            </w:pPr>
          </w:p>
        </w:tc>
      </w:tr>
    </w:tbl>
    <w:p>
      <w:pPr>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三、主要任务</w:t>
      </w:r>
    </w:p>
    <w:p>
      <w:pPr>
        <w:ind w:firstLine="643" w:firstLineChars="200"/>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（一）全面加强知识产权保护</w:t>
      </w:r>
    </w:p>
    <w:p>
      <w:p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积极推进知识产权综合执法。加强市、区县两级知识产权行政执法队伍建设，推动商标、专利、版权的综合执法，深入开展商标、专利执法维权行动，加大执力度，完善执法程序健全市市县两级知识产权综合执法执法体系。加强专利、商标、版权行政执法，实行严格的知识产权保护制度。加大知识产权纠纷案件的办理力度，进一步简化程序，建立和完善纠纷案件快速调处机制；着力提升区县（市）执法办案能力，加大对区县（市）查处假冒专利案件的督办力度，对权利人反响强烈、情节严重的案件，特别是对群体侵权、恶意侵权、重复侵权行为重点打击，快立、快查、快审；进一步强化行政执法与司法衔接，探索建立专利、商标、版权侵权案件行政调处前置制度，推动专利、商标、版权纠纷行政司法诉调对接，继续开展专利纠纷行政调解协议的司法确认工作。提高执法效果，更好地打击各类侵权行为，营造良好营商环境 。加强网络环境下的知识产权保护，加大电子商务和互联网领域的知识产权执法力度。</w:t>
      </w:r>
    </w:p>
    <w:p>
      <w:p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以知识产权保护中心建设为抓手，建立知识产权纠纷多元化解平台、构建便捷高效低成本的维权渠道。以知识产权保护中心为核心，以邵阳市知识产权纠纷人民调解委员会为辅助，建立以知识产权保护中心为主导，结合人民调解、行业调解、行政调解、司法调解，形成“一保四调联动”的知识产权纠纷多元化解平台，贡献各类知识产权维权问题的“一站式服务”建立专家调解团队人才储备库，让大量的知识产权案件在进入法院或行政机关之前先进入纠纷多元化解平台，通过引入社会各方面的专家参与调解，使得大部分纠纷案件得到化解，既减轻法院或行政机关的办案压力，做到每个调解都体系公平、公证、专业和效率；要实现维权援助与行政机关、司法机关紧密衔接，提供双保护引擎，使保护知识产权的效率提高。</w:t>
      </w:r>
    </w:p>
    <w:p>
      <w:pPr>
        <w:ind w:firstLine="640" w:firstLineChars="200"/>
        <w:rPr>
          <w:rFonts w:hint="eastAsia"/>
          <w:color w:val="000000" w:themeColor="text1"/>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切实加强维权援助。认真办理各类知识产权维权智力、资金申请援助案件，切实做好年度资金援助申报、补助工作；及时处理转接各类知识产权举报投诉案件，推进知识产权保护协作，探索开展知识产权侵权案件诉中委托调解；继续做好专利侵权判定咨询和举报投诉奖励工作；组织开展各地市、园区知识产权维权援助服务专场，深入基层对园区企业进行维权指导。探索建立重点产业知识产权快速维权工作机制，依托现有资源，在打火机行业集中的邵东市建立湖南打火机知识产权快速维权中心，为邵东打火机产业提供专利的快速授权、确权和维权服务。充分发挥湖南知识产权快速维权援助中心的作用，完善知识产权维权援助和举报投诉平台的建设，在重点电子产业园区设立电子商务专利维权分中心或工作站。适时发布知识产权预警分析信息，为企业提供知识产权相关信息、法律等服务，指导行业、企业应对和解决涉外知识产权纠纷。</w:t>
      </w:r>
    </w:p>
    <w:tbl>
      <w:tblPr>
        <w:tblStyle w:val="13"/>
        <w:tblW w:w="87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760" w:type="dxa"/>
            <w:noWrap w:val="0"/>
            <w:vAlign w:val="top"/>
          </w:tcPr>
          <w:p>
            <w:pPr>
              <w:jc w:val="center"/>
              <w:rPr>
                <w:rFonts w:hint="eastAsia" w:ascii="仿宋" w:hAnsi="仿宋" w:eastAsia="仿宋" w:cs="仿宋"/>
                <w:color w:val="000000" w:themeColor="text1"/>
                <w:sz w:val="32"/>
                <w:szCs w:val="32"/>
                <w:lang w:val="en-US" w:eastAsia="zh-CN"/>
                <w14:textFill>
                  <w14:solidFill>
                    <w14:schemeClr w14:val="tx1"/>
                  </w14:solidFill>
                </w14:textFill>
              </w:rPr>
            </w:pPr>
            <w:bookmarkStart w:id="1" w:name="_Toc67943663"/>
            <w:bookmarkStart w:id="2" w:name="_Toc69062507"/>
            <w:bookmarkStart w:id="3" w:name="_Toc67943355"/>
            <w:r>
              <w:rPr>
                <w:rFonts w:hint="eastAsia" w:ascii="仿宋" w:hAnsi="仿宋" w:eastAsia="仿宋" w:cs="仿宋"/>
                <w:color w:val="000000" w:themeColor="text1"/>
                <w:sz w:val="32"/>
                <w:szCs w:val="32"/>
                <w14:textFill>
                  <w14:solidFill>
                    <w14:schemeClr w14:val="tx1"/>
                  </w14:solidFill>
                </w14:textFill>
              </w:rPr>
              <w:t>专栏</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知识产权纠纷多元化解机制建设</w:t>
            </w:r>
            <w:bookmarkEnd w:id="1"/>
            <w:bookmarkEnd w:id="2"/>
            <w:bookmarkEnd w:id="3"/>
            <w:r>
              <w:rPr>
                <w:rFonts w:hint="eastAsia" w:ascii="仿宋" w:hAnsi="仿宋" w:eastAsia="仿宋" w:cs="仿宋"/>
                <w:color w:val="000000" w:themeColor="text1"/>
                <w:sz w:val="32"/>
                <w:szCs w:val="32"/>
                <w:lang w:eastAsia="zh-CN"/>
                <w14:textFill>
                  <w14:solidFill>
                    <w14:schemeClr w14:val="tx1"/>
                  </w14:solidFill>
                </w14:textFill>
              </w:rPr>
              <w:t>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8760" w:type="dxa"/>
            <w:noWrap w:val="0"/>
            <w:vAlign w:val="top"/>
          </w:tcPr>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健全知识产权非诉纠纷解决机制。整合多方资源，建立健全行业协会、商会、专家、律师积极参与的知识产权社会共治工作体系，完善社会力量介入知识产权纠纷解决机制，提高知识产权保护的效率。规范司法、行政、社会力量、权利人衔接的流程，规范统一法律判定的标准，健全对社会力量参与纠纷解决工作的绩效评价及考核标准，完善政府对社会力量参与的支撑机制。</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加强知识产权信息化、智能化基础的建设，推动知识产权保护线上线下融合发展，构建一个集全</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司法、行政、社会机构、当事人参与知识产权纠纷解决的，线上线下案件处理、绩效管理、信息交流发布的平台系统。</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培育发展知识产权调解组织、仲裁机构和公证机构，新建10个以上知识产权调解及仲裁机构，助推知识产权纠纷多元调解及仲裁成为知识产权保护的重要途径。</w:t>
            </w:r>
          </w:p>
        </w:tc>
      </w:tr>
    </w:tbl>
    <w:p>
      <w:pPr>
        <w:ind w:firstLine="643" w:firstLineChars="200"/>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（二）促进知识产权运用转化</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强化知识产权转化运用的政策引导和激励，围绕</w:t>
      </w:r>
      <w:r>
        <w:rPr>
          <w:rFonts w:hint="eastAsia" w:ascii="仿宋" w:hAnsi="仿宋" w:eastAsia="仿宋" w:cs="仿宋"/>
          <w:color w:val="000000" w:themeColor="text1"/>
          <w:sz w:val="32"/>
          <w:szCs w:val="32"/>
          <w:lang w:val="en-US" w:eastAsia="zh-CN"/>
          <w14:textFill>
            <w14:solidFill>
              <w14:schemeClr w14:val="tx1"/>
            </w14:solidFill>
          </w14:textFill>
        </w:rPr>
        <w:t>我市</w:t>
      </w:r>
      <w:r>
        <w:rPr>
          <w:rFonts w:hint="eastAsia" w:ascii="仿宋" w:hAnsi="仿宋" w:eastAsia="仿宋" w:cs="仿宋"/>
          <w:color w:val="000000" w:themeColor="text1"/>
          <w:sz w:val="32"/>
          <w:szCs w:val="32"/>
          <w14:textFill>
            <w14:solidFill>
              <w14:schemeClr w14:val="tx1"/>
            </w14:solidFill>
          </w14:textFill>
        </w:rPr>
        <w:t>产业发展的重点领域，实施我</w:t>
      </w:r>
      <w:r>
        <w:rPr>
          <w:rFonts w:hint="eastAsia" w:ascii="仿宋" w:hAnsi="仿宋" w:eastAsia="仿宋" w:cs="仿宋"/>
          <w:color w:val="000000" w:themeColor="text1"/>
          <w:sz w:val="32"/>
          <w:szCs w:val="32"/>
          <w:lang w:val="en-US"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战略性新兴产业科技攻关与重大科技成果的知识产权产业化，扶持一批技术含量高、市场前景好、带动效应强的知识产权项目和产品落地实施。培育和扶持一批国家级和省级知识产权产业化基地、试点示范园区，推动高附加值的知识产权产品、技术和服务的出口。推引导企业建立健全知识产权管理制度，推动实施创新过程知识产权管理国际标准。</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深入实施商标品牌战略</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培育一批代表</w:t>
      </w:r>
      <w:r>
        <w:rPr>
          <w:rFonts w:hint="eastAsia" w:ascii="仿宋" w:hAnsi="仿宋" w:eastAsia="仿宋" w:cs="仿宋"/>
          <w:color w:val="000000" w:themeColor="text1"/>
          <w:sz w:val="32"/>
          <w:szCs w:val="32"/>
          <w:lang w:val="en-US" w:eastAsia="zh-CN"/>
          <w14:textFill>
            <w14:solidFill>
              <w14:schemeClr w14:val="tx1"/>
            </w14:solidFill>
          </w14:textFill>
        </w:rPr>
        <w:t>邵阳</w:t>
      </w:r>
      <w:r>
        <w:rPr>
          <w:rFonts w:hint="eastAsia" w:ascii="仿宋" w:hAnsi="仿宋" w:eastAsia="仿宋" w:cs="仿宋"/>
          <w:color w:val="000000" w:themeColor="text1"/>
          <w:sz w:val="32"/>
          <w:szCs w:val="32"/>
          <w14:textFill>
            <w14:solidFill>
              <w14:schemeClr w14:val="tx1"/>
            </w14:solidFill>
          </w14:textFill>
        </w:rPr>
        <w:t>产业形象、在国内外市场有较高知名度和较强竞争力的商标品牌。推动地理标志产品培育计划，推动形成具有云南特色的优质农产品商标品牌、地理标志保护产品集群。支持</w:t>
      </w:r>
      <w:r>
        <w:rPr>
          <w:rFonts w:hint="eastAsia" w:ascii="仿宋" w:hAnsi="仿宋" w:eastAsia="仿宋" w:cs="仿宋"/>
          <w:color w:val="000000" w:themeColor="text1"/>
          <w:sz w:val="32"/>
          <w:szCs w:val="32"/>
          <w:lang w:val="en-US" w:eastAsia="zh-CN"/>
          <w14:textFill>
            <w14:solidFill>
              <w14:schemeClr w14:val="tx1"/>
            </w14:solidFill>
          </w14:textFill>
        </w:rPr>
        <w:t>各县市区</w:t>
      </w:r>
      <w:r>
        <w:rPr>
          <w:rFonts w:hint="eastAsia" w:ascii="仿宋" w:hAnsi="仿宋" w:eastAsia="仿宋" w:cs="仿宋"/>
          <w:color w:val="000000" w:themeColor="text1"/>
          <w:sz w:val="32"/>
          <w:szCs w:val="32"/>
          <w14:textFill>
            <w14:solidFill>
              <w14:schemeClr w14:val="tx1"/>
            </w14:solidFill>
          </w14:textFill>
        </w:rPr>
        <w:t>以优势企业和行业协会为依托，共同打造文化旅游精品和区域特色品牌。</w:t>
      </w:r>
    </w:p>
    <w:p>
      <w:p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2、深入推进</w:t>
      </w:r>
      <w:r>
        <w:rPr>
          <w:rFonts w:hint="eastAsia" w:ascii="仿宋" w:hAnsi="仿宋" w:eastAsia="仿宋" w:cs="仿宋"/>
          <w:color w:val="000000" w:themeColor="text1"/>
          <w:sz w:val="32"/>
          <w:szCs w:val="32"/>
          <w14:textFill>
            <w14:solidFill>
              <w14:schemeClr w14:val="tx1"/>
            </w14:solidFill>
          </w14:textFill>
        </w:rPr>
        <w:t>产学研合作</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进科研院所、高校、企业科研力量优化配置和资源共享，加速形成以企业为主体，高校、科研院所等各类创新主体协同联动、产学研深度融合的创新格局。</w:t>
      </w:r>
      <w:r>
        <w:rPr>
          <w:rFonts w:hint="eastAsia" w:ascii="仿宋" w:hAnsi="仿宋" w:eastAsia="仿宋" w:cs="仿宋"/>
          <w:color w:val="000000" w:themeColor="text1"/>
          <w:sz w:val="32"/>
          <w:szCs w:val="32"/>
          <w:lang w:val="en-US" w:eastAsia="zh-CN"/>
          <w14:textFill>
            <w14:solidFill>
              <w14:schemeClr w14:val="tx1"/>
            </w14:solidFill>
          </w14:textFill>
        </w:rPr>
        <w:t>依托邵阳高校知识产权运营中心，支持驻邵高校科研院所专利通过转让、许可等方式向市内企业转移转化，打造湘西南地区颇具影响力的知识产权展示和交易平台。制定企业专利运营指南，用于指导企业对专利资产进行管理和运用，帮助企业建立和完善专利运营制度，发挥专利资产在企业经营中的作用，实现专利的价值。</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促进知识产权与金融资本有机融合。加强重点产业知识产权运营基金建设，以政府投资为引导，鼓励社会资本投入知识产权运营，提高资金使用效率。支持服务机构开展知识产权价值分析、评估业务，完善知识产权投融资扶持政策，搭建知识产权与金融资本对接平台，加快知识产权资本化和产业化。加强与商业银行、投资机构的合作，开展知识产权质押融资试点，完善知识产权质押融资银政合作机制；鼓励银行加大对自主创新的信贷力度，支持担保、报险等机构参与知识产权金融服务，推动园区建立健全知识产权质押融资风险补偿机制，降低银行风险；广泛收集中小企业融资需求，宣传普及知识产权质押融资政策；完善市专利技术交易平台，建立知识产权运营服务平台，提供多样化的专利展示交易和多层次服务，组织系列对接会，搭好银企对接无缝桥梁。</w:t>
      </w:r>
    </w:p>
    <w:tbl>
      <w:tblPr>
        <w:tblStyle w:val="13"/>
        <w:tblW w:w="88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860" w:type="dxa"/>
            <w:noWrap w:val="0"/>
            <w:vAlign w:val="top"/>
          </w:tcPr>
          <w:p>
            <w:pPr>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专栏</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高校、科研院所知识产权运营体系建设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9" w:hRule="atLeast"/>
        </w:trPr>
        <w:tc>
          <w:tcPr>
            <w:tcW w:w="8860" w:type="dxa"/>
            <w:noWrap w:val="0"/>
            <w:vAlign w:val="top"/>
          </w:tcPr>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知识产权管理部门牵头，以知识产权服务机构、银行、高校、科研院所为基础，以园区、企业为服务对象，以多元化风险创新投资机构为纽带，在知识产权质押融资、知识产权转化、知识产权产业化等方面着力，构建高校、科研院所知识产权运营平台，将高校、科研院所的专利转换为生产力。</w:t>
            </w:r>
          </w:p>
        </w:tc>
      </w:tr>
    </w:tbl>
    <w:p>
      <w:pPr>
        <w:rPr>
          <w:rFonts w:hint="eastAsia" w:ascii="仿宋" w:hAnsi="仿宋" w:eastAsia="仿宋" w:cs="仿宋"/>
          <w:color w:val="000000" w:themeColor="text1"/>
          <w:sz w:val="32"/>
          <w:szCs w:val="32"/>
          <w14:textFill>
            <w14:solidFill>
              <w14:schemeClr w14:val="tx1"/>
            </w14:solidFill>
          </w14:textFill>
        </w:rPr>
      </w:pPr>
    </w:p>
    <w:tbl>
      <w:tblPr>
        <w:tblStyle w:val="13"/>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0" w:type="dxa"/>
            <w:noWrap w:val="0"/>
            <w:vAlign w:val="top"/>
          </w:tcPr>
          <w:p>
            <w:pPr>
              <w:jc w:val="center"/>
              <w:rPr>
                <w:rFonts w:hint="eastAsia" w:ascii="仿宋" w:hAnsi="仿宋" w:eastAsia="仿宋" w:cs="仿宋"/>
                <w:color w:val="000000" w:themeColor="text1"/>
                <w:sz w:val="32"/>
                <w:szCs w:val="32"/>
                <w:lang w:val="en-US" w:eastAsia="zh-CN"/>
                <w14:textFill>
                  <w14:solidFill>
                    <w14:schemeClr w14:val="tx1"/>
                  </w14:solidFill>
                </w14:textFill>
              </w:rPr>
            </w:pPr>
            <w:bookmarkStart w:id="4" w:name="_Toc67943668"/>
            <w:bookmarkStart w:id="5" w:name="_Toc67943360"/>
            <w:bookmarkStart w:id="6" w:name="_Toc69062512"/>
            <w:r>
              <w:rPr>
                <w:rFonts w:hint="eastAsia" w:ascii="仿宋" w:hAnsi="仿宋" w:eastAsia="仿宋" w:cs="仿宋"/>
                <w:color w:val="000000" w:themeColor="text1"/>
                <w:sz w:val="32"/>
                <w:szCs w:val="32"/>
                <w14:textFill>
                  <w14:solidFill>
                    <w14:schemeClr w14:val="tx1"/>
                  </w14:solidFill>
                </w14:textFill>
              </w:rPr>
              <w:t>专栏</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 xml:space="preserve">  商标品牌、地理标志保护建设</w:t>
            </w:r>
            <w:bookmarkEnd w:id="4"/>
            <w:bookmarkEnd w:id="5"/>
            <w:r>
              <w:rPr>
                <w:rFonts w:hint="eastAsia" w:ascii="仿宋" w:hAnsi="仿宋" w:eastAsia="仿宋" w:cs="仿宋"/>
                <w:color w:val="000000" w:themeColor="text1"/>
                <w:sz w:val="32"/>
                <w:szCs w:val="32"/>
                <w14:textFill>
                  <w14:solidFill>
                    <w14:schemeClr w14:val="tx1"/>
                  </w14:solidFill>
                </w14:textFill>
              </w:rPr>
              <w:t>专项</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3" w:hRule="atLeast"/>
        </w:trPr>
        <w:tc>
          <w:tcPr>
            <w:tcW w:w="9000" w:type="dxa"/>
            <w:noWrap w:val="0"/>
            <w:vAlign w:val="top"/>
          </w:tcPr>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开展商标、地理标志品牌培育行动。紧紧围绕我</w:t>
            </w:r>
            <w:r>
              <w:rPr>
                <w:rFonts w:hint="eastAsia" w:ascii="仿宋" w:hAnsi="仿宋" w:eastAsia="仿宋" w:cs="仿宋"/>
                <w:color w:val="000000" w:themeColor="text1"/>
                <w:sz w:val="32"/>
                <w:szCs w:val="32"/>
                <w:lang w:val="en-US"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经济社会发展，制定商标品牌培育规划和品牌发展政策措施，出台企业商标品牌工作指南，健全商标品牌管理体系，健全以消费者满意度和市场竞争力为基础的商标品牌培育认定制度。支持鼓励企业制定并实施符合自身发展特点的商标品牌战略。</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实施商标、地理标志运用促进工程。发挥商标品牌引领作用，带动技术创新、产品质量、市场营销、企业文化等全面协调发展，打造</w:t>
            </w:r>
            <w:r>
              <w:rPr>
                <w:rFonts w:hint="eastAsia" w:ascii="仿宋" w:hAnsi="仿宋" w:eastAsia="仿宋" w:cs="仿宋"/>
                <w:color w:val="000000" w:themeColor="text1"/>
                <w:sz w:val="32"/>
                <w:szCs w:val="32"/>
                <w:lang w:val="en-US" w:eastAsia="zh-CN"/>
                <w14:textFill>
                  <w14:solidFill>
                    <w14:schemeClr w14:val="tx1"/>
                  </w14:solidFill>
                </w14:textFill>
              </w:rPr>
              <w:t>以“邵阳红”</w:t>
            </w:r>
            <w:r>
              <w:rPr>
                <w:rFonts w:hint="eastAsia" w:ascii="仿宋" w:hAnsi="仿宋" w:eastAsia="仿宋" w:cs="仿宋"/>
                <w:color w:val="000000" w:themeColor="text1"/>
                <w:sz w:val="32"/>
                <w:szCs w:val="32"/>
                <w14:textFill>
                  <w14:solidFill>
                    <w14:schemeClr w14:val="tx1"/>
                  </w14:solidFill>
                </w14:textFill>
              </w:rPr>
              <w:t>为代表的</w:t>
            </w:r>
            <w:r>
              <w:rPr>
                <w:rFonts w:hint="eastAsia" w:ascii="仿宋" w:hAnsi="仿宋" w:eastAsia="仿宋" w:cs="仿宋"/>
                <w:color w:val="000000" w:themeColor="text1"/>
                <w:sz w:val="32"/>
                <w:szCs w:val="32"/>
                <w:lang w:val="en-US" w:eastAsia="zh-CN"/>
                <w14:textFill>
                  <w14:solidFill>
                    <w14:schemeClr w14:val="tx1"/>
                  </w14:solidFill>
                </w14:textFill>
              </w:rPr>
              <w:t>邵阳优质公共农产品</w:t>
            </w:r>
            <w:r>
              <w:rPr>
                <w:rFonts w:hint="eastAsia" w:ascii="仿宋" w:hAnsi="仿宋" w:eastAsia="仿宋" w:cs="仿宋"/>
                <w:color w:val="000000" w:themeColor="text1"/>
                <w:sz w:val="32"/>
                <w:szCs w:val="32"/>
                <w14:textFill>
                  <w14:solidFill>
                    <w14:schemeClr w14:val="tx1"/>
                  </w14:solidFill>
                </w14:textFill>
              </w:rPr>
              <w:t>商标品牌。强化地理标志产业基地建设，加大对</w:t>
            </w:r>
            <w:r>
              <w:rPr>
                <w:rFonts w:hint="eastAsia" w:ascii="仿宋" w:hAnsi="仿宋" w:eastAsia="仿宋" w:cs="仿宋"/>
                <w:color w:val="000000" w:themeColor="text1"/>
                <w:sz w:val="32"/>
                <w:szCs w:val="32"/>
                <w:lang w:val="en-US" w:eastAsia="zh-CN"/>
                <w14:textFill>
                  <w14:solidFill>
                    <w14:schemeClr w14:val="tx1"/>
                  </w14:solidFill>
                </w14:textFill>
              </w:rPr>
              <w:t>邵阳油茶、邵东黄花、武冈卤菜、隆回龙牙百合</w:t>
            </w:r>
            <w:r>
              <w:rPr>
                <w:rFonts w:hint="eastAsia" w:ascii="仿宋" w:hAnsi="仿宋" w:eastAsia="仿宋" w:cs="仿宋"/>
                <w:color w:val="000000" w:themeColor="text1"/>
                <w:sz w:val="32"/>
                <w:szCs w:val="32"/>
                <w14:textFill>
                  <w14:solidFill>
                    <w14:schemeClr w14:val="tx1"/>
                  </w14:solidFill>
                </w14:textFill>
              </w:rPr>
              <w:t>等地理标志产业群的服务和保护，培育一批（6个以上）产值</w:t>
            </w:r>
            <w:r>
              <w:rPr>
                <w:rFonts w:hint="eastAsia" w:ascii="仿宋" w:hAnsi="仿宋" w:eastAsia="仿宋" w:cs="仿宋"/>
                <w:color w:val="000000" w:themeColor="text1"/>
                <w:sz w:val="32"/>
                <w:szCs w:val="32"/>
                <w:lang w:val="en-US" w:eastAsia="zh-CN"/>
                <w14:textFill>
                  <w14:solidFill>
                    <w14:schemeClr w14:val="tx1"/>
                  </w14:solidFill>
                </w14:textFill>
              </w:rPr>
              <w:t>30</w:t>
            </w:r>
            <w:r>
              <w:rPr>
                <w:rFonts w:hint="eastAsia" w:ascii="仿宋" w:hAnsi="仿宋" w:eastAsia="仿宋" w:cs="仿宋"/>
                <w:color w:val="000000" w:themeColor="text1"/>
                <w:sz w:val="32"/>
                <w:szCs w:val="32"/>
                <w14:textFill>
                  <w14:solidFill>
                    <w14:schemeClr w14:val="tx1"/>
                  </w14:solidFill>
                </w14:textFill>
              </w:rPr>
              <w:t>亿元以上的地理标志产业。</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支持各地围绕地理标志出台专项扶持奖励政策措施，成立统一的原产地地理标志标准制定指导委员会，建立地理标志保护工作机制，联合相关执法部门开展联动保护。</w:t>
            </w:r>
          </w:p>
        </w:tc>
      </w:tr>
    </w:tbl>
    <w:p>
      <w:pPr>
        <w:rPr>
          <w:rFonts w:hint="eastAsia" w:ascii="仿宋" w:hAnsi="仿宋" w:eastAsia="仿宋" w:cs="仿宋"/>
          <w:color w:val="000000" w:themeColor="text1"/>
          <w:sz w:val="32"/>
          <w:szCs w:val="32"/>
          <w14:textFill>
            <w14:solidFill>
              <w14:schemeClr w14:val="tx1"/>
            </w14:solidFill>
          </w14:textFill>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286" w:type="dxa"/>
            <w:noWrap w:val="0"/>
            <w:vAlign w:val="center"/>
          </w:tcPr>
          <w:p>
            <w:pPr>
              <w:jc w:val="center"/>
              <w:rPr>
                <w:rFonts w:hint="eastAsia" w:ascii="仿宋" w:hAnsi="仿宋" w:eastAsia="仿宋" w:cs="仿宋"/>
                <w:color w:val="000000" w:themeColor="text1"/>
                <w:sz w:val="32"/>
                <w:szCs w:val="32"/>
                <w:lang w:eastAsia="zh-CN"/>
                <w14:textFill>
                  <w14:solidFill>
                    <w14:schemeClr w14:val="tx1"/>
                  </w14:solidFill>
                </w14:textFill>
              </w:rPr>
            </w:pPr>
            <w:bookmarkStart w:id="7" w:name="_Toc67943361"/>
            <w:bookmarkStart w:id="8" w:name="_Toc67943669"/>
            <w:bookmarkStart w:id="9" w:name="_Toc69062513"/>
            <w:r>
              <w:rPr>
                <w:rFonts w:hint="eastAsia" w:ascii="仿宋" w:hAnsi="仿宋" w:eastAsia="仿宋" w:cs="仿宋"/>
                <w:color w:val="000000" w:themeColor="text1"/>
                <w:sz w:val="32"/>
                <w:szCs w:val="32"/>
                <w14:textFill>
                  <w14:solidFill>
                    <w14:schemeClr w14:val="tx1"/>
                  </w14:solidFill>
                </w14:textFill>
              </w:rPr>
              <w:t>专栏</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 xml:space="preserve">  知识产权助力乡村振兴</w:t>
            </w:r>
            <w:r>
              <w:rPr>
                <w:rFonts w:hint="eastAsia" w:ascii="仿宋" w:hAnsi="仿宋" w:eastAsia="仿宋" w:cs="仿宋"/>
                <w:color w:val="000000" w:themeColor="text1"/>
                <w:sz w:val="32"/>
                <w:szCs w:val="32"/>
                <w:lang w:eastAsia="zh-CN"/>
                <w14:textFill>
                  <w14:solidFill>
                    <w14:schemeClr w14:val="tx1"/>
                  </w14:solidFill>
                </w14:textFill>
              </w:rPr>
              <w:t>专项行动</w:t>
            </w:r>
            <w:bookmarkEnd w:id="7"/>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noWrap w:val="0"/>
            <w:vAlign w:val="top"/>
          </w:tcPr>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充分发挥专利、商标、地理标志在乡村振兴中的支撑作用。开展涉农产品商标品牌培育，遴选优质农产品商标品牌进行扶持，加强涉农品牌宣传。开展地理标志助力乡村振兴行动，打造地理标志农产品引领乡村特色产业发展的县域样板，积极推进地理标志产品保护示范区建设</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培育一批具有核心竞争力的品牌产品和品牌企业。开展专利信息帮扶，提升农业专利技术成果转化应用水平，助推专利技术强农。</w:t>
            </w:r>
          </w:p>
        </w:tc>
      </w:tr>
    </w:tbl>
    <w:p>
      <w:pPr>
        <w:ind w:firstLine="643" w:firstLineChars="200"/>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（三）提升知识产权创造质量</w:t>
      </w:r>
    </w:p>
    <w:p>
      <w:p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围绕我市重点产业开展专利导航分析，加强专利信息利用和国内外产业风险预警分析，提高重点产业专利布局和转化运用水平，提升产业竞争力，推动企业“走出去”和产业高端发展，促进产业转型升级，支撑创新驱动发展。</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健全高质量创造激励政策。制定和完善专利、商标、版权、地理标志、植物新品种等知识产权奖励政策，设置知识产权奖励项目，加大政府各类奖励制度中的知识产权评价权重。加大对中国专利奖、湖南专利奖的奖励，充分发挥其激励导向作用。将高质量知识产权的产出绩效作为职称晋升、绩效考核、岗位聘任、项目结题、人才评价和奖学金评定等政策的重要指标。深化对科技重大专项相关领域的重大技术专利分析和预警。定期评选奖励一批有市场竞争力的商标品牌，彰显区域特色地理标志，弘扬正能量的优秀作品。定期评选奖励一批创造高质量知识产权的发明人、创作者。</w:t>
      </w:r>
    </w:p>
    <w:p>
      <w:p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加强高价值</w:t>
      </w:r>
      <w:r>
        <w:rPr>
          <w:rFonts w:hint="eastAsia" w:ascii="仿宋" w:hAnsi="仿宋" w:eastAsia="仿宋" w:cs="仿宋"/>
          <w:color w:val="000000" w:themeColor="text1"/>
          <w:sz w:val="32"/>
          <w:szCs w:val="32"/>
          <w:lang w:val="en-US" w:eastAsia="zh-CN"/>
          <w14:textFill>
            <w14:solidFill>
              <w14:schemeClr w14:val="tx1"/>
            </w14:solidFill>
          </w14:textFill>
        </w:rPr>
        <w:t>专利</w:t>
      </w:r>
      <w:r>
        <w:rPr>
          <w:rFonts w:hint="eastAsia" w:ascii="仿宋" w:hAnsi="仿宋" w:eastAsia="仿宋" w:cs="仿宋"/>
          <w:color w:val="000000" w:themeColor="text1"/>
          <w:sz w:val="32"/>
          <w:szCs w:val="32"/>
          <w14:textFill>
            <w14:solidFill>
              <w14:schemeClr w14:val="tx1"/>
            </w14:solidFill>
          </w14:textFill>
        </w:rPr>
        <w:t>布局与培育</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加强支柱产业、优势产业、战略性新兴产业的专利创造，支撑</w:t>
      </w:r>
      <w:r>
        <w:rPr>
          <w:rFonts w:hint="eastAsia" w:ascii="仿宋" w:hAnsi="仿宋" w:eastAsia="仿宋" w:cs="仿宋"/>
          <w:color w:val="000000" w:themeColor="text1"/>
          <w:sz w:val="32"/>
          <w:szCs w:val="32"/>
          <w:lang w:val="en-US" w:eastAsia="zh-CN"/>
          <w14:textFill>
            <w14:solidFill>
              <w14:schemeClr w14:val="tx1"/>
            </w14:solidFill>
          </w14:textFill>
        </w:rPr>
        <w:t>重点</w:t>
      </w:r>
      <w:r>
        <w:rPr>
          <w:rFonts w:hint="eastAsia" w:ascii="仿宋" w:hAnsi="仿宋" w:eastAsia="仿宋" w:cs="仿宋"/>
          <w:color w:val="000000" w:themeColor="text1"/>
          <w:sz w:val="32"/>
          <w:szCs w:val="32"/>
          <w14:textFill>
            <w14:solidFill>
              <w14:schemeClr w14:val="tx1"/>
            </w14:solidFill>
          </w14:textFill>
        </w:rPr>
        <w:t>产业体系建设。完善以产业数据、专利数据为基础的专利导航决策机制，围绕新一代信息技术、高端装备制造、新材料、新能源、节能环保等战略性新兴产业和重点技术领域的关键核心技术实施一批专利导航项目</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强力推进知识产权强链护链行动，在主要技术领域创造一批核心专利，推动传统产业高端化发展、抢占高新技术支柱产业的制高点。</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引导知识产权海外布局。坚持开放崛起，鼓励企业加强海外知识产权布局，完善企业海外知识产权风险预警机制，支持国内外相关机构开展知识产权战略咨询等服务。让知识产权制度为邵阳企业“走出去，引进来”保驾护航，全面融入新的发展格局，加强知识产权国际合作提升企业国际竞争力。</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286" w:type="dxa"/>
            <w:noWrap w:val="0"/>
            <w:vAlign w:val="center"/>
          </w:tcPr>
          <w:p>
            <w:pPr>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专栏</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 xml:space="preserve">  高价值专利</w:t>
            </w:r>
            <w:r>
              <w:rPr>
                <w:rFonts w:hint="eastAsia" w:ascii="仿宋" w:hAnsi="仿宋" w:eastAsia="仿宋" w:cs="仿宋"/>
                <w:color w:val="000000" w:themeColor="text1"/>
                <w:sz w:val="32"/>
                <w:szCs w:val="32"/>
                <w:lang w:val="en-US" w:eastAsia="zh-CN"/>
                <w14:textFill>
                  <w14:solidFill>
                    <w14:schemeClr w14:val="tx1"/>
                  </w14:solidFill>
                </w14:textFill>
              </w:rPr>
              <w:t>培养工程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9" w:hRule="atLeast"/>
        </w:trPr>
        <w:tc>
          <w:tcPr>
            <w:tcW w:w="9286" w:type="dxa"/>
            <w:noWrap w:val="0"/>
            <w:vAlign w:val="top"/>
          </w:tcPr>
          <w:p>
            <w:p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在各县市区湘商产业园建立知识产权信息服务工作站，以高端装备制造业、</w:t>
            </w:r>
            <w:r>
              <w:rPr>
                <w:rFonts w:hint="eastAsia" w:ascii="仿宋" w:hAnsi="仿宋" w:eastAsia="仿宋" w:cs="仿宋"/>
                <w:color w:val="000000" w:themeColor="text1"/>
                <w:sz w:val="32"/>
                <w:szCs w:val="32"/>
                <w14:textFill>
                  <w14:solidFill>
                    <w14:schemeClr w14:val="tx1"/>
                  </w14:solidFill>
                </w14:textFill>
              </w:rPr>
              <w:t>智能制造、</w:t>
            </w:r>
            <w:r>
              <w:rPr>
                <w:rFonts w:hint="eastAsia" w:ascii="仿宋" w:hAnsi="仿宋" w:eastAsia="仿宋" w:cs="仿宋"/>
                <w:color w:val="000000" w:themeColor="text1"/>
                <w:sz w:val="32"/>
                <w:szCs w:val="32"/>
                <w:lang w:val="en-US" w:eastAsia="zh-CN"/>
                <w14:textFill>
                  <w14:solidFill>
                    <w14:schemeClr w14:val="tx1"/>
                  </w14:solidFill>
                </w14:textFill>
              </w:rPr>
              <w:t>新材料、生物</w:t>
            </w:r>
            <w:r>
              <w:rPr>
                <w:rFonts w:hint="eastAsia" w:ascii="仿宋" w:hAnsi="仿宋" w:eastAsia="仿宋" w:cs="仿宋"/>
                <w:color w:val="000000" w:themeColor="text1"/>
                <w:sz w:val="32"/>
                <w:szCs w:val="32"/>
                <w14:textFill>
                  <w14:solidFill>
                    <w14:schemeClr w14:val="tx1"/>
                  </w14:solidFill>
                </w14:textFill>
              </w:rPr>
              <w:t>医药、</w:t>
            </w:r>
            <w:r>
              <w:rPr>
                <w:rFonts w:hint="eastAsia" w:ascii="仿宋" w:hAnsi="仿宋" w:eastAsia="仿宋" w:cs="仿宋"/>
                <w:color w:val="000000" w:themeColor="text1"/>
                <w:sz w:val="32"/>
                <w:szCs w:val="32"/>
                <w:lang w:val="en-US" w:eastAsia="zh-CN"/>
                <w14:textFill>
                  <w14:solidFill>
                    <w14:schemeClr w14:val="tx1"/>
                  </w14:solidFill>
                </w14:textFill>
              </w:rPr>
              <w:t>食品加工、军民融合</w:t>
            </w:r>
            <w:r>
              <w:rPr>
                <w:rFonts w:hint="eastAsia" w:ascii="仿宋" w:hAnsi="仿宋" w:eastAsia="仿宋" w:cs="仿宋"/>
                <w:color w:val="000000" w:themeColor="text1"/>
                <w:sz w:val="32"/>
                <w:szCs w:val="32"/>
                <w14:textFill>
                  <w14:solidFill>
                    <w14:schemeClr w14:val="tx1"/>
                  </w14:solidFill>
                </w14:textFill>
              </w:rPr>
              <w:t>等</w:t>
            </w:r>
            <w:r>
              <w:rPr>
                <w:rFonts w:hint="eastAsia" w:ascii="仿宋" w:hAnsi="仿宋" w:eastAsia="仿宋" w:cs="仿宋"/>
                <w:color w:val="000000" w:themeColor="text1"/>
                <w:sz w:val="32"/>
                <w:szCs w:val="32"/>
                <w:lang w:val="en-US" w:eastAsia="zh-CN"/>
                <w14:textFill>
                  <w14:solidFill>
                    <w14:schemeClr w14:val="tx1"/>
                  </w14:solidFill>
                </w14:textFill>
              </w:rPr>
              <w:t>产业为重点，每个产业依托龙头企业开展2-3个优势产品开展专利预警分析研究；邀请承担研究项目的机构为相关园区、企业举办预警分析成果说明会，加强研究成果推送利用。引导重点产业开展知识产权布局，构建支撑产业（企业）竞争力的专利储备。发布重点产业专利发展态势报告，引导企业加强产业前沿技术的研发和储备，增强企业核心竞争力。探索研究开展对以政府投资为主的重大投资和技术引进、重点研发等活动的知识产权审查评议工作。</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根据企业创新发展新态势，鼓励和支持列入我市“5个100”工程企业、知识产权示范优势企业、行业骨干企业和上市公司研发掌握更多拥有自主权的核心技术，实施发明专利申请倍增计划，促进发明创造增量提质，形成一批科技含量高、权利稳定性好、市场竞争力强的知识产权，牢牢掌握发展的主动权，切实提升企业核心竞争力。组织零专利企业开展“灭零”活动，提升自主专利的工业企业比例。</w:t>
            </w:r>
          </w:p>
        </w:tc>
      </w:tr>
    </w:tbl>
    <w:p>
      <w:pPr>
        <w:ind w:firstLine="643" w:firstLineChars="200"/>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（四）健全知识产权管理和服务体系</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深入实施知识产权强国战略</w:t>
      </w:r>
      <w:r>
        <w:rPr>
          <w:rFonts w:hint="eastAsia" w:ascii="仿宋" w:hAnsi="仿宋" w:eastAsia="仿宋" w:cs="仿宋"/>
          <w:color w:val="000000" w:themeColor="text1"/>
          <w:sz w:val="32"/>
          <w:szCs w:val="32"/>
          <w14:textFill>
            <w14:solidFill>
              <w14:schemeClr w14:val="tx1"/>
            </w14:solidFill>
          </w14:textFill>
        </w:rPr>
        <w:t>，建立高效的知识产权综合管理及服务体制，打通知识产权创造、运用、保护、管理、服务全链条，深化知识产权工作机制改革，推动形成知识产权权界清晰、分工合理、责权一致、运转高效的体制机制，助推我</w:t>
      </w:r>
      <w:r>
        <w:rPr>
          <w:rFonts w:hint="eastAsia" w:ascii="仿宋" w:hAnsi="仿宋" w:eastAsia="仿宋" w:cs="仿宋"/>
          <w:color w:val="000000" w:themeColor="text1"/>
          <w:sz w:val="32"/>
          <w:szCs w:val="32"/>
          <w:lang w:val="en-US"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经济社会高质量发展。</w:t>
      </w:r>
    </w:p>
    <w:p>
      <w:p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健全知识产权统筹协调机制。充分发挥邵阳市知识产权工作协调领导小组的作用，加大对知识产权宏观管理的指导协调力度。加强职能部门协调配合，凝聚管理合力，推进产业政策、区域政策、科技政策、经贸政策和知识产权政策的衔接，形成知识产权工作协同开展、整体推进的格局。加强地方党委政府与省级主管部门的合作会商，争取更多力量和资源支持提升邵阳知识产权事业发展，争取将邵阳建设成湘西南片区知识产权中心城市。</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提升政府知识产权公共服务能力</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持续提升知识产权业务办理便利化水平，</w:t>
      </w:r>
      <w:r>
        <w:rPr>
          <w:rFonts w:hint="eastAsia" w:ascii="仿宋" w:hAnsi="仿宋" w:eastAsia="仿宋" w:cs="仿宋"/>
          <w:color w:val="000000" w:themeColor="text1"/>
          <w:sz w:val="32"/>
          <w:szCs w:val="32"/>
          <w:lang w:val="en-US" w:eastAsia="zh-CN"/>
          <w14:textFill>
            <w14:solidFill>
              <w14:schemeClr w14:val="tx1"/>
            </w14:solidFill>
          </w14:textFill>
        </w:rPr>
        <w:t>对现有</w:t>
      </w:r>
      <w:r>
        <w:rPr>
          <w:rFonts w:hint="eastAsia" w:ascii="仿宋" w:hAnsi="仿宋" w:eastAsia="仿宋" w:cs="仿宋"/>
          <w:color w:val="000000" w:themeColor="text1"/>
          <w:sz w:val="32"/>
          <w:szCs w:val="32"/>
          <w14:textFill>
            <w14:solidFill>
              <w14:schemeClr w14:val="tx1"/>
            </w14:solidFill>
          </w14:textFill>
        </w:rPr>
        <w:t>知识产权公共服务</w:t>
      </w:r>
      <w:r>
        <w:rPr>
          <w:rFonts w:hint="eastAsia" w:ascii="仿宋" w:hAnsi="仿宋" w:eastAsia="仿宋" w:cs="仿宋"/>
          <w:color w:val="000000" w:themeColor="text1"/>
          <w:sz w:val="32"/>
          <w:szCs w:val="32"/>
          <w:lang w:val="en-US" w:eastAsia="zh-CN"/>
          <w14:textFill>
            <w14:solidFill>
              <w14:schemeClr w14:val="tx1"/>
            </w14:solidFill>
          </w14:textFill>
        </w:rPr>
        <w:t>中心、窗口加强规范管理，同时积极争取省级主管部门在其他满足条件的县市区增设新的服务中心，</w:t>
      </w:r>
      <w:r>
        <w:rPr>
          <w:rFonts w:hint="eastAsia" w:ascii="仿宋" w:hAnsi="仿宋" w:eastAsia="仿宋" w:cs="仿宋"/>
          <w:color w:val="000000" w:themeColor="text1"/>
          <w:sz w:val="32"/>
          <w:szCs w:val="32"/>
          <w14:textFill>
            <w14:solidFill>
              <w14:schemeClr w14:val="tx1"/>
            </w14:solidFill>
          </w14:textFill>
        </w:rPr>
        <w:t>引导各类产业园区、示范区、服务业集聚区等设立知识产权信息公共服务网点。深化国家知识产权局</w:t>
      </w:r>
      <w:r>
        <w:rPr>
          <w:rFonts w:hint="eastAsia" w:ascii="仿宋" w:hAnsi="仿宋" w:eastAsia="仿宋" w:cs="仿宋"/>
          <w:color w:val="000000" w:themeColor="text1"/>
          <w:sz w:val="32"/>
          <w:szCs w:val="32"/>
          <w:lang w:val="en-US" w:eastAsia="zh-CN"/>
          <w14:textFill>
            <w14:solidFill>
              <w14:schemeClr w14:val="tx1"/>
            </w14:solidFill>
          </w14:textFill>
        </w:rPr>
        <w:t>商标业务邵阳</w:t>
      </w:r>
      <w:r>
        <w:rPr>
          <w:rFonts w:hint="eastAsia" w:ascii="仿宋" w:hAnsi="仿宋" w:eastAsia="仿宋" w:cs="仿宋"/>
          <w:color w:val="000000" w:themeColor="text1"/>
          <w:sz w:val="32"/>
          <w:szCs w:val="32"/>
          <w14:textFill>
            <w14:solidFill>
              <w14:schemeClr w14:val="tx1"/>
            </w14:solidFill>
          </w14:textFill>
        </w:rPr>
        <w:t>受理窗口建设，优化窗口服务流程，落实压缩业务办理周期措施</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立足市级管理权限，</w:t>
      </w:r>
      <w:r>
        <w:rPr>
          <w:rFonts w:hint="eastAsia" w:ascii="仿宋" w:hAnsi="仿宋" w:eastAsia="仿宋" w:cs="仿宋"/>
          <w:color w:val="000000" w:themeColor="text1"/>
          <w:sz w:val="32"/>
          <w:szCs w:val="32"/>
          <w14:textFill>
            <w14:solidFill>
              <w14:schemeClr w14:val="tx1"/>
            </w14:solidFill>
          </w14:textFill>
        </w:rPr>
        <w:t>加强商标、专利、地理标志</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服务资源的融合，</w:t>
      </w:r>
      <w:r>
        <w:rPr>
          <w:rFonts w:hint="eastAsia" w:ascii="仿宋" w:hAnsi="仿宋" w:eastAsia="仿宋" w:cs="仿宋"/>
          <w:color w:val="000000" w:themeColor="text1"/>
          <w:sz w:val="32"/>
          <w:szCs w:val="32"/>
          <w:lang w:val="en-US" w:eastAsia="zh-CN"/>
          <w14:textFill>
            <w14:solidFill>
              <w14:schemeClr w14:val="tx1"/>
            </w14:solidFill>
          </w14:textFill>
        </w:rPr>
        <w:t>加强</w:t>
      </w:r>
      <w:r>
        <w:rPr>
          <w:rFonts w:hint="eastAsia" w:ascii="仿宋" w:hAnsi="仿宋" w:eastAsia="仿宋" w:cs="仿宋"/>
          <w:color w:val="000000" w:themeColor="text1"/>
          <w:sz w:val="32"/>
          <w:szCs w:val="32"/>
          <w14:textFill>
            <w14:solidFill>
              <w14:schemeClr w14:val="tx1"/>
            </w14:solidFill>
          </w14:textFill>
        </w:rPr>
        <w:t>申报咨询服务指导，提高服务效率。推进“互联网+知识产权服务”，推广应用各类线上系统办理业务，便捷高效服务社会。</w:t>
      </w:r>
    </w:p>
    <w:p>
      <w:p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发展知识产权社会化服务力量。鼓励知识产权代理、法律服务向专业化和高水平发展。支持服务机构开展特色化、高端化的知识产权预警分析、质押融资等业务，拓展知识产权融资、保险、评估等增值服务。全面推行“双随机、一公开”监管，重点打击无资质专利代理、恶意商标代理、以不正当手段招揽业务等违法违规行为。落实严重违法失信名单制度和严重失信主体联合惩戒。充分发挥知识产权服务行业协会职能，加强行业自律。</w:t>
      </w:r>
    </w:p>
    <w:p>
      <w:p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鼓励社会组织加强行业知识产权管理。鼓励打火机行业协会、箱包行业协会等社会组织建立知识产权管理部门，支持协会、商会等社会组织依法开展知识产权咨询、培训、维权、调解等活动。鼓励发展知识产权联盟等新兴知识产权组织，集中管理行业知识产权资源，探索集约化运用和保护机制。引导社会组织健全行业知识产权自律规范，发挥自我约束、共同维权作用。建立专门机制，畅通社会组织和政府间的常态化、便捷化沟通渠道。</w:t>
      </w:r>
    </w:p>
    <w:tbl>
      <w:tblPr>
        <w:tblStyle w:val="14"/>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820" w:type="dxa"/>
            <w:noWrap w:val="0"/>
            <w:vAlign w:val="center"/>
          </w:tcPr>
          <w:p>
            <w:pPr>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专栏6  </w:t>
            </w:r>
            <w:r>
              <w:rPr>
                <w:rFonts w:hint="eastAsia" w:ascii="仿宋" w:hAnsi="仿宋" w:eastAsia="仿宋" w:cs="仿宋"/>
                <w:color w:val="000000" w:themeColor="text1"/>
                <w:sz w:val="32"/>
                <w:szCs w:val="32"/>
                <w:lang w:val="en-US" w:eastAsia="zh-CN"/>
                <w14:textFill>
                  <w14:solidFill>
                    <w14:schemeClr w14:val="tx1"/>
                  </w14:solidFill>
                </w14:textFill>
              </w:rPr>
              <w:t>深入</w:t>
            </w:r>
            <w:r>
              <w:rPr>
                <w:rFonts w:hint="eastAsia" w:ascii="仿宋" w:hAnsi="仿宋" w:eastAsia="仿宋" w:cs="仿宋"/>
                <w:color w:val="000000" w:themeColor="text1"/>
                <w:sz w:val="32"/>
                <w:szCs w:val="32"/>
                <w14:textFill>
                  <w14:solidFill>
                    <w14:schemeClr w14:val="tx1"/>
                  </w14:solidFill>
                </w14:textFill>
              </w:rPr>
              <w:t>实施知识产权</w:t>
            </w:r>
            <w:r>
              <w:rPr>
                <w:rFonts w:hint="eastAsia" w:ascii="仿宋" w:hAnsi="仿宋" w:eastAsia="仿宋" w:cs="仿宋"/>
                <w:color w:val="000000" w:themeColor="text1"/>
                <w:sz w:val="32"/>
                <w:szCs w:val="32"/>
                <w:lang w:val="en-US" w:eastAsia="zh-CN"/>
                <w14:textFill>
                  <w14:solidFill>
                    <w14:schemeClr w14:val="tx1"/>
                  </w14:solidFill>
                </w14:textFill>
              </w:rPr>
              <w:t>强市</w:t>
            </w:r>
            <w:r>
              <w:rPr>
                <w:rFonts w:hint="eastAsia" w:ascii="仿宋" w:hAnsi="仿宋" w:eastAsia="仿宋" w:cs="仿宋"/>
                <w:color w:val="000000" w:themeColor="text1"/>
                <w:sz w:val="32"/>
                <w:szCs w:val="32"/>
                <w14:textFill>
                  <w14:solidFill>
                    <w14:schemeClr w14:val="tx1"/>
                  </w14:solidFill>
                </w14:textFill>
              </w:rPr>
              <w:t>战略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6" w:hRule="atLeast"/>
        </w:trPr>
        <w:tc>
          <w:tcPr>
            <w:tcW w:w="8820" w:type="dxa"/>
            <w:noWrap w:val="0"/>
            <w:vAlign w:val="top"/>
          </w:tcPr>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深入推进知识产权强市战略，做好顶层设计和规划布局，研究制订新形势下知识产权工作系列政策、文件</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明确领导小组各成员单位的职能职责，通过建立联席会议制度、工作考评制度，进一步完善工作机制，加强部门间的沟通协调，强化协同合作，形成知识产权齐抓共管、共同推进的工作格局。</w:t>
            </w:r>
          </w:p>
        </w:tc>
      </w:tr>
    </w:tbl>
    <w:p>
      <w:pPr>
        <w:ind w:firstLine="643" w:firstLineChars="200"/>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（五）夯实知识产权发展基础</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1、加快</w:t>
      </w:r>
      <w:r>
        <w:rPr>
          <w:rFonts w:hint="eastAsia" w:ascii="仿宋" w:hAnsi="仿宋" w:eastAsia="仿宋" w:cs="仿宋"/>
          <w:color w:val="000000" w:themeColor="text1"/>
          <w:sz w:val="32"/>
          <w:szCs w:val="32"/>
          <w14:textFill>
            <w14:solidFill>
              <w14:schemeClr w14:val="tx1"/>
            </w14:solidFill>
          </w14:textFill>
        </w:rPr>
        <w:t>知识产权人才体系建设</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推进高等院校加强知识产权相关学科建设，重视知识产权人才培养，充实知识产权基础人才。加大对知识产权行政</w:t>
      </w:r>
      <w:r>
        <w:rPr>
          <w:rFonts w:hint="eastAsia" w:ascii="仿宋" w:hAnsi="仿宋" w:eastAsia="仿宋" w:cs="仿宋"/>
          <w:color w:val="000000" w:themeColor="text1"/>
          <w:sz w:val="32"/>
          <w:szCs w:val="32"/>
          <w:lang w:val="en-US" w:eastAsia="zh-CN"/>
          <w14:textFill>
            <w14:solidFill>
              <w14:schemeClr w14:val="tx1"/>
            </w14:solidFill>
          </w14:textFill>
        </w:rPr>
        <w:t>管理、行政</w:t>
      </w:r>
      <w:r>
        <w:rPr>
          <w:rFonts w:hint="eastAsia" w:ascii="仿宋" w:hAnsi="仿宋" w:eastAsia="仿宋" w:cs="仿宋"/>
          <w:color w:val="000000" w:themeColor="text1"/>
          <w:sz w:val="32"/>
          <w:szCs w:val="32"/>
          <w14:textFill>
            <w14:solidFill>
              <w14:schemeClr w14:val="tx1"/>
            </w14:solidFill>
          </w14:textFill>
        </w:rPr>
        <w:t>执法和司法人员，技术调查官、仲裁员、人民调解员的使用和培养力度，选派优秀骨干到高等院校、发达地区或境外培训学习，建立有效激励机制，稳定知识产权中坚人才。聚焦知识产权智库建设，培育知识产权法律研究、执法、运营、信息分析、策略咨询、金融等多方位、高水平知识产权专家队伍，夯实知识产权专业人才。</w:t>
      </w:r>
    </w:p>
    <w:p>
      <w:p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营造知识产权文化氛围</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加强知识产权宣传力度，紧扣知识产权中心工作，加强知识产权政策解读</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强化宣传策划，持续做好4.26知识产权宣传周等品牌宣传活动。广泛报道知识产权保护工作，重点发布知识产权侵权假冒典型案例。</w:t>
      </w:r>
      <w:r>
        <w:rPr>
          <w:rFonts w:hint="eastAsia" w:ascii="仿宋" w:hAnsi="仿宋" w:eastAsia="仿宋" w:cs="仿宋"/>
          <w:color w:val="000000" w:themeColor="text1"/>
          <w:sz w:val="32"/>
          <w:szCs w:val="32"/>
          <w:lang w:val="en-US" w:eastAsia="zh-CN"/>
          <w14:textFill>
            <w14:solidFill>
              <w14:schemeClr w14:val="tx1"/>
            </w14:solidFill>
          </w14:textFill>
        </w:rPr>
        <w:t>开展</w:t>
      </w:r>
      <w:r>
        <w:rPr>
          <w:rFonts w:hint="eastAsia" w:ascii="仿宋" w:hAnsi="仿宋" w:eastAsia="仿宋" w:cs="仿宋"/>
          <w:color w:val="000000" w:themeColor="text1"/>
          <w:sz w:val="32"/>
          <w:szCs w:val="32"/>
          <w14:textFill>
            <w14:solidFill>
              <w14:schemeClr w14:val="tx1"/>
            </w14:solidFill>
          </w14:textFill>
        </w:rPr>
        <w:t>知识产权</w:t>
      </w:r>
      <w:r>
        <w:rPr>
          <w:rFonts w:hint="eastAsia" w:ascii="仿宋" w:hAnsi="仿宋" w:eastAsia="仿宋" w:cs="仿宋"/>
          <w:color w:val="000000" w:themeColor="text1"/>
          <w:sz w:val="32"/>
          <w:szCs w:val="32"/>
          <w:lang w:val="en-US" w:eastAsia="zh-CN"/>
          <w14:textFill>
            <w14:solidFill>
              <w14:schemeClr w14:val="tx1"/>
            </w14:solidFill>
          </w14:textFill>
        </w:rPr>
        <w:t>知识</w:t>
      </w:r>
      <w:r>
        <w:rPr>
          <w:rFonts w:hint="eastAsia" w:ascii="仿宋" w:hAnsi="仿宋" w:eastAsia="仿宋" w:cs="仿宋"/>
          <w:color w:val="000000" w:themeColor="text1"/>
          <w:sz w:val="32"/>
          <w:szCs w:val="32"/>
          <w14:textFill>
            <w14:solidFill>
              <w14:schemeClr w14:val="tx1"/>
            </w14:solidFill>
          </w14:textFill>
        </w:rPr>
        <w:t>进企业、进校园、进社区、进园区。探索推进知识产权进党校，进一步提高各级领导干部加强知识产权保护工作的意识和能力。加强知识产权文化与传统文化、创新文化、法治文化、诚信文化的深度融合</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使“尊重知识、崇尚创新、诚信守法”的知识产权文化核心观念深入人心。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286" w:type="dxa"/>
            <w:noWrap w:val="0"/>
            <w:vAlign w:val="center"/>
          </w:tcPr>
          <w:p>
            <w:pPr>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专栏</w:t>
            </w: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 xml:space="preserve">  知识产权人才</w:t>
            </w:r>
            <w:r>
              <w:rPr>
                <w:rFonts w:hint="eastAsia" w:ascii="仿宋" w:hAnsi="仿宋" w:eastAsia="仿宋" w:cs="仿宋"/>
                <w:color w:val="000000" w:themeColor="text1"/>
                <w:sz w:val="32"/>
                <w:szCs w:val="32"/>
                <w:lang w:val="en-US" w:eastAsia="zh-CN"/>
                <w14:textFill>
                  <w14:solidFill>
                    <w14:schemeClr w14:val="tx1"/>
                  </w14:solidFill>
                </w14:textFill>
              </w:rPr>
              <w:t>培养工程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9286" w:type="dxa"/>
            <w:noWrap w:val="0"/>
            <w:vAlign w:val="top"/>
          </w:tcPr>
          <w:p>
            <w:p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拓展知识产权培训渠道，构建政府、服务机构和社会多元化的知识产权培训体系，广泛利用各方面的培训资源，提供知识产权人才培训的综合效益和实际质量。</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完善知识产权行政管理部门的公共培训计划，</w:t>
            </w:r>
            <w:r>
              <w:rPr>
                <w:rFonts w:hint="eastAsia" w:ascii="仿宋" w:hAnsi="仿宋" w:eastAsia="仿宋" w:cs="仿宋"/>
                <w:color w:val="000000" w:themeColor="text1"/>
                <w:sz w:val="32"/>
                <w:szCs w:val="32"/>
                <w14:textFill>
                  <w14:solidFill>
                    <w14:schemeClr w14:val="tx1"/>
                  </w14:solidFill>
                </w14:textFill>
              </w:rPr>
              <w:t>加大知识产权行政管理人员培训力度，组织开展信息检索、分析预警、维权援助等知识产权实务培训，提升基层工作人员知识产权服务、监管能力。</w:t>
            </w:r>
          </w:p>
          <w:p>
            <w:p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以企业为主要对象，以建立健全企业知识产权工作制度为目标，以知识产权实用型人才为主体，开展多层次知识产权培训，建设企业知识产权人才队伍，夯实企业知识产权工作基础。在邵阳学院建设湘中区域高水准的知识产权培训基地，开展校企合作、校地合作等长期性知识产权培训活动。</w:t>
            </w:r>
          </w:p>
          <w:p>
            <w:pPr>
              <w:ind w:firstLine="640" w:firstLineChars="200"/>
              <w:rPr>
                <w:rFonts w:hint="default" w:ascii="仿宋" w:hAnsi="仿宋" w:eastAsia="仿宋" w:cs="仿宋"/>
                <w:color w:val="000000" w:themeColor="text1"/>
                <w:sz w:val="32"/>
                <w:szCs w:val="32"/>
                <w:lang w:val="en-US"/>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加强知识产权服务人才培养，引导服务机构开发知识产权培训产品，提升知识产权中介机构服务能力，适应知识产权事业发展的需要。</w:t>
            </w:r>
          </w:p>
        </w:tc>
      </w:tr>
    </w:tbl>
    <w:p>
      <w:pPr>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四、保障措施</w:t>
      </w:r>
    </w:p>
    <w:p>
      <w:pPr>
        <w:numPr>
          <w:ilvl w:val="0"/>
          <w:numId w:val="0"/>
        </w:numPr>
        <w:ind w:firstLine="643"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（一）加强组织领导。</w:t>
      </w:r>
      <w:r>
        <w:rPr>
          <w:rFonts w:hint="eastAsia" w:ascii="仿宋" w:hAnsi="仿宋" w:eastAsia="仿宋" w:cs="仿宋"/>
          <w:color w:val="000000" w:themeColor="text1"/>
          <w:sz w:val="32"/>
          <w:szCs w:val="32"/>
          <w:lang w:val="en-US" w:eastAsia="zh-CN"/>
          <w14:textFill>
            <w14:solidFill>
              <w14:schemeClr w14:val="tx1"/>
            </w14:solidFill>
          </w14:textFill>
        </w:rPr>
        <w:t>建立知识产权“十四五”规划工作推进机制和督导落实机制，县级以上人民政府应当将专利工作纳入本地区经济和社会发展规划统筹考虑，抓好落实。加强部门之间、部门与地方之间的组织协调，建立完善相互支持、密切协作、运转顺畅的工作机制。对规划任务实施情况进行实时监测和评估。</w:t>
      </w:r>
    </w:p>
    <w:p>
      <w:pPr>
        <w:numPr>
          <w:ilvl w:val="0"/>
          <w:numId w:val="0"/>
        </w:numPr>
        <w:ind w:firstLine="643"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（二）加强财政投入。</w:t>
      </w:r>
      <w:r>
        <w:rPr>
          <w:rFonts w:hint="eastAsia" w:ascii="仿宋" w:hAnsi="仿宋" w:eastAsia="仿宋" w:cs="仿宋"/>
          <w:color w:val="000000" w:themeColor="text1"/>
          <w:sz w:val="32"/>
          <w:szCs w:val="32"/>
          <w:lang w:val="en-US" w:eastAsia="zh-CN"/>
          <w14:textFill>
            <w14:solidFill>
              <w14:schemeClr w14:val="tx1"/>
            </w14:solidFill>
          </w14:textFill>
        </w:rPr>
        <w:t>各级各部门要增加知识产权投入，引导各类科技研发、成果转化及产业化项目资金向拥有自主知识产权、能够形成自主知识产权的项目倾斜。财政部门要安排资金保障知识产权规划重点工作，引导财政资金向知识产权产业化方向倾斜。完善知识产权资助政策。各级财政要加大对知识产权工作的投入，建立知识产权财政投入增长与全市知识产权事业同步协调发展机制，优化财政支出结构，加强绩效评估。引导企业加大知识产权工作的经费投入，形成投入与产出的良性循环，增强自主创新能力。鼓励各类社会资金投入知识产权领域，从事中介服务、技术研发、投资融资、成果转化等知识产权相关活动。逐步形成以政府投入为引导、以企业投入为主体、社会资本广泛参与的多元化投入体系，为知识产权各项工作的顺利开展提供充实的资金支持。</w:t>
      </w:r>
    </w:p>
    <w:p>
      <w:pPr>
        <w:numPr>
          <w:ilvl w:val="0"/>
          <w:numId w:val="0"/>
        </w:numPr>
        <w:ind w:firstLine="643"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（三）强化督查考评。</w:t>
      </w:r>
      <w:r>
        <w:rPr>
          <w:rFonts w:hint="eastAsia" w:ascii="仿宋" w:hAnsi="仿宋" w:eastAsia="仿宋" w:cs="仿宋"/>
          <w:color w:val="000000" w:themeColor="text1"/>
          <w:sz w:val="32"/>
          <w:szCs w:val="32"/>
          <w:lang w:val="en-US" w:eastAsia="zh-CN"/>
          <w14:textFill>
            <w14:solidFill>
              <w14:schemeClr w14:val="tx1"/>
            </w14:solidFill>
          </w14:textFill>
        </w:rPr>
        <w:t>建立知识产权年度工作目标责任制，根据全市规划，明确目标任务，建立和完善知识产权统计制度和综合评价体系，落实各项任务措施，保证知识产权工作的有效开展并取得实效。建立规划实施情况跟踪督查制度，及时了解规划实施情况，定期汇报总结工作进展，及时解决规划实施过程中的问题和困难，确保规划的各项目标任务圆满完成。</w:t>
      </w:r>
    </w:p>
    <w:p>
      <w:pPr>
        <w:rPr>
          <w:rFonts w:hint="eastAsia" w:ascii="仿宋" w:hAnsi="仿宋" w:eastAsia="仿宋" w:cs="仿宋"/>
          <w:color w:val="000000" w:themeColor="text1"/>
          <w:sz w:val="32"/>
          <w:szCs w:val="32"/>
          <w:lang w:val="en-US" w:eastAsia="zh-CN"/>
          <w14:textFill>
            <w14:solidFill>
              <w14:schemeClr w14:val="tx1"/>
            </w14:solidFill>
          </w14:textFill>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楷体" w:hAnsi="楷体" w:eastAsia="楷体" w:cs="楷体"/>
                              <w:sz w:val="28"/>
                              <w:szCs w:val="28"/>
                            </w:rPr>
                          </w:pPr>
                          <w:r>
                            <w:rPr>
                              <w:rFonts w:hint="eastAsia" w:ascii="楷体" w:hAnsi="楷体" w:eastAsia="楷体" w:cs="楷体"/>
                              <w:sz w:val="28"/>
                              <w:szCs w:val="28"/>
                            </w:rPr>
                            <w:t xml:space="preserve">— </w:t>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r>
                            <w:rPr>
                              <w:rFonts w:hint="eastAsia" w:ascii="楷体" w:hAnsi="楷体" w:eastAsia="楷体" w:cs="楷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楷体" w:hAnsi="楷体" w:eastAsia="楷体" w:cs="楷体"/>
                        <w:sz w:val="28"/>
                        <w:szCs w:val="28"/>
                      </w:rPr>
                    </w:pPr>
                    <w:r>
                      <w:rPr>
                        <w:rFonts w:hint="eastAsia" w:ascii="楷体" w:hAnsi="楷体" w:eastAsia="楷体" w:cs="楷体"/>
                        <w:sz w:val="28"/>
                        <w:szCs w:val="28"/>
                      </w:rPr>
                      <w:t xml:space="preserve">— </w:t>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r>
                      <w:rPr>
                        <w:rFonts w:hint="eastAsia" w:ascii="楷体" w:hAnsi="楷体" w:eastAsia="楷体" w:cs="楷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CF5062"/>
    <w:rsid w:val="000D5DEC"/>
    <w:rsid w:val="00733AA0"/>
    <w:rsid w:val="01360069"/>
    <w:rsid w:val="01516439"/>
    <w:rsid w:val="01EB588C"/>
    <w:rsid w:val="01F85100"/>
    <w:rsid w:val="0259322B"/>
    <w:rsid w:val="028108CC"/>
    <w:rsid w:val="029C4CEB"/>
    <w:rsid w:val="02B92C9A"/>
    <w:rsid w:val="033D6DB7"/>
    <w:rsid w:val="03522BCF"/>
    <w:rsid w:val="03B2507E"/>
    <w:rsid w:val="03CF7BB8"/>
    <w:rsid w:val="040435B2"/>
    <w:rsid w:val="0422178C"/>
    <w:rsid w:val="04BC6220"/>
    <w:rsid w:val="053A1B0C"/>
    <w:rsid w:val="055F2815"/>
    <w:rsid w:val="058F4D80"/>
    <w:rsid w:val="05A67ED6"/>
    <w:rsid w:val="05AD5FC5"/>
    <w:rsid w:val="06157DF5"/>
    <w:rsid w:val="06587787"/>
    <w:rsid w:val="06E4768D"/>
    <w:rsid w:val="0709335D"/>
    <w:rsid w:val="09C7314C"/>
    <w:rsid w:val="0A0125DE"/>
    <w:rsid w:val="0A331AFE"/>
    <w:rsid w:val="0A4A47D9"/>
    <w:rsid w:val="0A4E3118"/>
    <w:rsid w:val="0A893E66"/>
    <w:rsid w:val="0AB9748A"/>
    <w:rsid w:val="0B005363"/>
    <w:rsid w:val="0B19006F"/>
    <w:rsid w:val="0B4A4645"/>
    <w:rsid w:val="0B4C1C7F"/>
    <w:rsid w:val="0BA46E94"/>
    <w:rsid w:val="0BF7049C"/>
    <w:rsid w:val="0C8F3584"/>
    <w:rsid w:val="0CDA78B6"/>
    <w:rsid w:val="0D2C3818"/>
    <w:rsid w:val="0E494245"/>
    <w:rsid w:val="0E9336C8"/>
    <w:rsid w:val="0E9612C2"/>
    <w:rsid w:val="0ED93C52"/>
    <w:rsid w:val="0F383AD4"/>
    <w:rsid w:val="0F757EE6"/>
    <w:rsid w:val="1010513D"/>
    <w:rsid w:val="10303D47"/>
    <w:rsid w:val="1067486B"/>
    <w:rsid w:val="10675CB7"/>
    <w:rsid w:val="108A40D7"/>
    <w:rsid w:val="10E365EC"/>
    <w:rsid w:val="12AA7253"/>
    <w:rsid w:val="12C57B03"/>
    <w:rsid w:val="12E545B6"/>
    <w:rsid w:val="13273D50"/>
    <w:rsid w:val="136E3FCE"/>
    <w:rsid w:val="13BB0311"/>
    <w:rsid w:val="13D841C0"/>
    <w:rsid w:val="13E33151"/>
    <w:rsid w:val="14342EC0"/>
    <w:rsid w:val="14784B5F"/>
    <w:rsid w:val="149A7717"/>
    <w:rsid w:val="14F74C94"/>
    <w:rsid w:val="151D1A44"/>
    <w:rsid w:val="15B7637B"/>
    <w:rsid w:val="15C26287"/>
    <w:rsid w:val="1609451D"/>
    <w:rsid w:val="166B0268"/>
    <w:rsid w:val="16726C32"/>
    <w:rsid w:val="18416416"/>
    <w:rsid w:val="186741D4"/>
    <w:rsid w:val="18EA26A0"/>
    <w:rsid w:val="18EC27DC"/>
    <w:rsid w:val="18F55D2A"/>
    <w:rsid w:val="195A54CB"/>
    <w:rsid w:val="19A31EDE"/>
    <w:rsid w:val="1A1A5EA5"/>
    <w:rsid w:val="1A663608"/>
    <w:rsid w:val="1A8D09AE"/>
    <w:rsid w:val="1AB07A9B"/>
    <w:rsid w:val="1BC14D34"/>
    <w:rsid w:val="1BE15AF7"/>
    <w:rsid w:val="1BF12362"/>
    <w:rsid w:val="1BF5228F"/>
    <w:rsid w:val="1C6D329D"/>
    <w:rsid w:val="1C7800FC"/>
    <w:rsid w:val="1D340979"/>
    <w:rsid w:val="1E525AF6"/>
    <w:rsid w:val="1F173F96"/>
    <w:rsid w:val="1FE80A90"/>
    <w:rsid w:val="1FFF27F3"/>
    <w:rsid w:val="202C6B01"/>
    <w:rsid w:val="204D416E"/>
    <w:rsid w:val="20AC691A"/>
    <w:rsid w:val="20BB6C9C"/>
    <w:rsid w:val="21665977"/>
    <w:rsid w:val="21EE60A1"/>
    <w:rsid w:val="22BE765A"/>
    <w:rsid w:val="237D0A80"/>
    <w:rsid w:val="23E27E3D"/>
    <w:rsid w:val="243B610A"/>
    <w:rsid w:val="249A713C"/>
    <w:rsid w:val="24BE49E0"/>
    <w:rsid w:val="24DE56E4"/>
    <w:rsid w:val="253A62E5"/>
    <w:rsid w:val="25856ABD"/>
    <w:rsid w:val="258F4AED"/>
    <w:rsid w:val="25D16336"/>
    <w:rsid w:val="262D7456"/>
    <w:rsid w:val="26964B28"/>
    <w:rsid w:val="26D607DC"/>
    <w:rsid w:val="277D36CF"/>
    <w:rsid w:val="278E3E9B"/>
    <w:rsid w:val="27E63B54"/>
    <w:rsid w:val="28152988"/>
    <w:rsid w:val="28B67E73"/>
    <w:rsid w:val="29B07DEB"/>
    <w:rsid w:val="2A426235"/>
    <w:rsid w:val="2BEE36FB"/>
    <w:rsid w:val="2BF52C09"/>
    <w:rsid w:val="2D01133A"/>
    <w:rsid w:val="2D2844D0"/>
    <w:rsid w:val="2D886192"/>
    <w:rsid w:val="2EB87BB2"/>
    <w:rsid w:val="2EE842BA"/>
    <w:rsid w:val="2F2302AE"/>
    <w:rsid w:val="2F7A1722"/>
    <w:rsid w:val="2FF81906"/>
    <w:rsid w:val="30552B62"/>
    <w:rsid w:val="306C107B"/>
    <w:rsid w:val="306E415F"/>
    <w:rsid w:val="30B17606"/>
    <w:rsid w:val="30C7095E"/>
    <w:rsid w:val="31617E9D"/>
    <w:rsid w:val="31754AF0"/>
    <w:rsid w:val="31927447"/>
    <w:rsid w:val="31A453BF"/>
    <w:rsid w:val="31F62FA2"/>
    <w:rsid w:val="320309DC"/>
    <w:rsid w:val="32353974"/>
    <w:rsid w:val="330D0225"/>
    <w:rsid w:val="33A95E52"/>
    <w:rsid w:val="33FA23A2"/>
    <w:rsid w:val="349A2575"/>
    <w:rsid w:val="351263DF"/>
    <w:rsid w:val="363322FF"/>
    <w:rsid w:val="36466A6F"/>
    <w:rsid w:val="36A05A24"/>
    <w:rsid w:val="36C0722D"/>
    <w:rsid w:val="37150E4A"/>
    <w:rsid w:val="376F07DD"/>
    <w:rsid w:val="379A3CC9"/>
    <w:rsid w:val="37DD423A"/>
    <w:rsid w:val="38520F22"/>
    <w:rsid w:val="38D77F50"/>
    <w:rsid w:val="38E16156"/>
    <w:rsid w:val="38F90A70"/>
    <w:rsid w:val="39332A6C"/>
    <w:rsid w:val="399F1EFA"/>
    <w:rsid w:val="39BE062D"/>
    <w:rsid w:val="39C0312A"/>
    <w:rsid w:val="3A52106B"/>
    <w:rsid w:val="3A7F7F2E"/>
    <w:rsid w:val="3AA955C8"/>
    <w:rsid w:val="3B7A4062"/>
    <w:rsid w:val="3BD739BF"/>
    <w:rsid w:val="3C1A3B84"/>
    <w:rsid w:val="3C971D17"/>
    <w:rsid w:val="3E695835"/>
    <w:rsid w:val="3FB52A0C"/>
    <w:rsid w:val="4046625F"/>
    <w:rsid w:val="405978B8"/>
    <w:rsid w:val="40A417A0"/>
    <w:rsid w:val="40A62DD6"/>
    <w:rsid w:val="40E81EB6"/>
    <w:rsid w:val="411678ED"/>
    <w:rsid w:val="41D80EFC"/>
    <w:rsid w:val="41F04A8C"/>
    <w:rsid w:val="42286049"/>
    <w:rsid w:val="42924B02"/>
    <w:rsid w:val="42AC0883"/>
    <w:rsid w:val="42CA0719"/>
    <w:rsid w:val="4337074C"/>
    <w:rsid w:val="43913CCF"/>
    <w:rsid w:val="43B458BD"/>
    <w:rsid w:val="441C3C75"/>
    <w:rsid w:val="446E7BB8"/>
    <w:rsid w:val="451F3F9B"/>
    <w:rsid w:val="45636CC4"/>
    <w:rsid w:val="45671081"/>
    <w:rsid w:val="45E21F3A"/>
    <w:rsid w:val="46074F96"/>
    <w:rsid w:val="46583C39"/>
    <w:rsid w:val="46CF5062"/>
    <w:rsid w:val="47174A29"/>
    <w:rsid w:val="47336397"/>
    <w:rsid w:val="475D6566"/>
    <w:rsid w:val="476B1437"/>
    <w:rsid w:val="477A57BB"/>
    <w:rsid w:val="477E478F"/>
    <w:rsid w:val="478C79E8"/>
    <w:rsid w:val="47A9040C"/>
    <w:rsid w:val="48147183"/>
    <w:rsid w:val="490D519D"/>
    <w:rsid w:val="4A7112CA"/>
    <w:rsid w:val="4A723737"/>
    <w:rsid w:val="4C5060AB"/>
    <w:rsid w:val="4C6307A1"/>
    <w:rsid w:val="4C6C774F"/>
    <w:rsid w:val="4CC44610"/>
    <w:rsid w:val="4CCB4D6A"/>
    <w:rsid w:val="4CED7664"/>
    <w:rsid w:val="4F931A4C"/>
    <w:rsid w:val="4FB219C8"/>
    <w:rsid w:val="4FEE159F"/>
    <w:rsid w:val="4FFA5B07"/>
    <w:rsid w:val="506F541D"/>
    <w:rsid w:val="509245DB"/>
    <w:rsid w:val="50F03C54"/>
    <w:rsid w:val="511C3236"/>
    <w:rsid w:val="516F7507"/>
    <w:rsid w:val="51890260"/>
    <w:rsid w:val="52046219"/>
    <w:rsid w:val="52C37ECF"/>
    <w:rsid w:val="52DE6FC3"/>
    <w:rsid w:val="546E0703"/>
    <w:rsid w:val="54C929DF"/>
    <w:rsid w:val="556B0C9A"/>
    <w:rsid w:val="556B568D"/>
    <w:rsid w:val="568411BC"/>
    <w:rsid w:val="56865048"/>
    <w:rsid w:val="56A778B7"/>
    <w:rsid w:val="56F20374"/>
    <w:rsid w:val="576E775C"/>
    <w:rsid w:val="57A81472"/>
    <w:rsid w:val="58D86DEC"/>
    <w:rsid w:val="590C1A5D"/>
    <w:rsid w:val="593B6C9D"/>
    <w:rsid w:val="59441987"/>
    <w:rsid w:val="59922CB8"/>
    <w:rsid w:val="59A67D94"/>
    <w:rsid w:val="59F4606C"/>
    <w:rsid w:val="5A80701E"/>
    <w:rsid w:val="5A9461B2"/>
    <w:rsid w:val="5A963682"/>
    <w:rsid w:val="5AC1201C"/>
    <w:rsid w:val="5AE272A7"/>
    <w:rsid w:val="5AEC4584"/>
    <w:rsid w:val="5B5A0077"/>
    <w:rsid w:val="5B5C5A93"/>
    <w:rsid w:val="5B642A0E"/>
    <w:rsid w:val="5BEF4153"/>
    <w:rsid w:val="5BFC0491"/>
    <w:rsid w:val="5C9008B6"/>
    <w:rsid w:val="5C902DF4"/>
    <w:rsid w:val="5CB82C6A"/>
    <w:rsid w:val="5D670C00"/>
    <w:rsid w:val="5DC60C84"/>
    <w:rsid w:val="5EBA5345"/>
    <w:rsid w:val="5F2615A7"/>
    <w:rsid w:val="5F595A48"/>
    <w:rsid w:val="60556DE3"/>
    <w:rsid w:val="608542DD"/>
    <w:rsid w:val="60F1018B"/>
    <w:rsid w:val="61053C00"/>
    <w:rsid w:val="61103866"/>
    <w:rsid w:val="61161BFF"/>
    <w:rsid w:val="61744B55"/>
    <w:rsid w:val="61B263C6"/>
    <w:rsid w:val="62732373"/>
    <w:rsid w:val="627859D4"/>
    <w:rsid w:val="62E63F2F"/>
    <w:rsid w:val="63382185"/>
    <w:rsid w:val="63430381"/>
    <w:rsid w:val="634E2B1B"/>
    <w:rsid w:val="635273F3"/>
    <w:rsid w:val="63B35F43"/>
    <w:rsid w:val="64472B08"/>
    <w:rsid w:val="64612750"/>
    <w:rsid w:val="647633AF"/>
    <w:rsid w:val="64827C97"/>
    <w:rsid w:val="654C5A77"/>
    <w:rsid w:val="65617045"/>
    <w:rsid w:val="66184A4E"/>
    <w:rsid w:val="666F7673"/>
    <w:rsid w:val="667C64F2"/>
    <w:rsid w:val="66BC1D81"/>
    <w:rsid w:val="66DD1813"/>
    <w:rsid w:val="674543EA"/>
    <w:rsid w:val="674E285F"/>
    <w:rsid w:val="67AA5838"/>
    <w:rsid w:val="67C830AE"/>
    <w:rsid w:val="68097E9B"/>
    <w:rsid w:val="68245FCB"/>
    <w:rsid w:val="68582E7F"/>
    <w:rsid w:val="685B4017"/>
    <w:rsid w:val="688C4C92"/>
    <w:rsid w:val="68A41503"/>
    <w:rsid w:val="69BF2A46"/>
    <w:rsid w:val="69C9574F"/>
    <w:rsid w:val="69C95DCE"/>
    <w:rsid w:val="69D0376B"/>
    <w:rsid w:val="6B664DDC"/>
    <w:rsid w:val="6B7D4EC4"/>
    <w:rsid w:val="6B976B39"/>
    <w:rsid w:val="6BAD40D2"/>
    <w:rsid w:val="6BBC4431"/>
    <w:rsid w:val="6CAA2F36"/>
    <w:rsid w:val="6D0A7DFC"/>
    <w:rsid w:val="6D506CFE"/>
    <w:rsid w:val="6D666E95"/>
    <w:rsid w:val="6D793C5B"/>
    <w:rsid w:val="6E3B279C"/>
    <w:rsid w:val="6E4D6CA6"/>
    <w:rsid w:val="6E880597"/>
    <w:rsid w:val="6ED77B23"/>
    <w:rsid w:val="6EFD150A"/>
    <w:rsid w:val="6F3D06CE"/>
    <w:rsid w:val="6F457721"/>
    <w:rsid w:val="6FA26DBC"/>
    <w:rsid w:val="6FAB45EE"/>
    <w:rsid w:val="710207F1"/>
    <w:rsid w:val="71164C61"/>
    <w:rsid w:val="71901D89"/>
    <w:rsid w:val="71E659F4"/>
    <w:rsid w:val="72241AB8"/>
    <w:rsid w:val="724B63A6"/>
    <w:rsid w:val="72547FF7"/>
    <w:rsid w:val="72866005"/>
    <w:rsid w:val="72D33C03"/>
    <w:rsid w:val="730F1D56"/>
    <w:rsid w:val="73146CE1"/>
    <w:rsid w:val="73256904"/>
    <w:rsid w:val="743D626F"/>
    <w:rsid w:val="74685A72"/>
    <w:rsid w:val="74DD2421"/>
    <w:rsid w:val="75207B4B"/>
    <w:rsid w:val="75E31977"/>
    <w:rsid w:val="760D7929"/>
    <w:rsid w:val="76E51C90"/>
    <w:rsid w:val="76E8085B"/>
    <w:rsid w:val="77017898"/>
    <w:rsid w:val="77247666"/>
    <w:rsid w:val="78B108E9"/>
    <w:rsid w:val="78CF2AFA"/>
    <w:rsid w:val="7949513B"/>
    <w:rsid w:val="7A457147"/>
    <w:rsid w:val="7A827DB2"/>
    <w:rsid w:val="7B6E1163"/>
    <w:rsid w:val="7BCD5CB1"/>
    <w:rsid w:val="7BE670F1"/>
    <w:rsid w:val="7C0B3384"/>
    <w:rsid w:val="7C7E4AB5"/>
    <w:rsid w:val="7CCA65E9"/>
    <w:rsid w:val="7DC32737"/>
    <w:rsid w:val="7E645F09"/>
    <w:rsid w:val="7ECF5C9D"/>
    <w:rsid w:val="7EE92001"/>
    <w:rsid w:val="7F0F2C85"/>
    <w:rsid w:val="7F4F34CD"/>
    <w:rsid w:val="7FC925D7"/>
    <w:rsid w:val="7FEA6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rPr>
      <w:kern w:val="0"/>
      <w:sz w:val="20"/>
    </w:rPr>
  </w:style>
  <w:style w:type="paragraph" w:styleId="5">
    <w:name w:val="toc 3"/>
    <w:basedOn w:val="1"/>
    <w:next w:val="1"/>
    <w:semiHidden/>
    <w:qFormat/>
    <w:uiPriority w:val="0"/>
    <w:pPr>
      <w:tabs>
        <w:tab w:val="right" w:leader="dot" w:pos="9060"/>
      </w:tabs>
      <w:ind w:left="420"/>
      <w:jc w:val="left"/>
    </w:pPr>
    <w:rPr>
      <w:rFonts w:ascii="宋体" w:hAnsi="宋体" w:cs="楷体"/>
      <w:iCs/>
      <w:szCs w:val="21"/>
    </w:r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semiHidden/>
    <w:qFormat/>
    <w:uiPriority w:val="0"/>
    <w:pPr>
      <w:tabs>
        <w:tab w:val="right" w:leader="dot" w:pos="9060"/>
      </w:tabs>
      <w:spacing w:before="120" w:after="120"/>
      <w:jc w:val="center"/>
    </w:pPr>
    <w:rPr>
      <w:rFonts w:ascii="Times New Roman" w:hAnsi="Times New Roman" w:eastAsia="方正小标宋简体"/>
      <w:b/>
      <w:bCs/>
      <w:caps/>
      <w:sz w:val="52"/>
      <w:szCs w:val="52"/>
    </w:rPr>
  </w:style>
  <w:style w:type="paragraph" w:styleId="10">
    <w:name w:val="toc 2"/>
    <w:basedOn w:val="1"/>
    <w:next w:val="1"/>
    <w:semiHidden/>
    <w:qFormat/>
    <w:uiPriority w:val="0"/>
    <w:pPr>
      <w:tabs>
        <w:tab w:val="right" w:leader="dot" w:pos="9060"/>
      </w:tabs>
      <w:ind w:left="210"/>
      <w:jc w:val="left"/>
    </w:pPr>
    <w:rPr>
      <w:rFonts w:ascii="黑体" w:hAnsi="黑体" w:eastAsia="黑体" w:cs="黑体"/>
      <w:bCs/>
      <w:smallCaps/>
      <w:sz w:val="28"/>
      <w:szCs w:val="2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0" w:beforeAutospacing="0" w:after="150" w:afterAutospacing="0"/>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Hyperlink"/>
    <w:basedOn w:val="15"/>
    <w:qFormat/>
    <w:uiPriority w:val="0"/>
    <w:rPr>
      <w:color w:val="0000FF"/>
      <w:u w:val="single"/>
    </w:rPr>
  </w:style>
  <w:style w:type="character" w:customStyle="1" w:styleId="18">
    <w:name w:val="dcs"/>
    <w:basedOn w:val="15"/>
    <w:qFormat/>
    <w:uiPriority w:val="0"/>
    <w:rPr>
      <w:color w:val="BD1B09"/>
    </w:rPr>
  </w:style>
  <w:style w:type="character" w:customStyle="1" w:styleId="19">
    <w:name w:val="time"/>
    <w:basedOn w:val="15"/>
    <w:qFormat/>
    <w:uiPriority w:val="0"/>
    <w:rPr>
      <w:color w:val="999999"/>
    </w:rPr>
  </w:style>
  <w:style w:type="character" w:customStyle="1" w:styleId="20">
    <w:name w:val="time1"/>
    <w:basedOn w:val="15"/>
    <w:qFormat/>
    <w:uiPriority w:val="0"/>
    <w:rPr>
      <w:color w:val="999999"/>
    </w:rPr>
  </w:style>
  <w:style w:type="character" w:customStyle="1" w:styleId="21">
    <w:name w:val="first-child4"/>
    <w:basedOn w:val="15"/>
    <w:qFormat/>
    <w:uiPriority w:val="0"/>
    <w:rPr>
      <w:color w:val="878787"/>
      <w:sz w:val="36"/>
      <w:szCs w:val="36"/>
      <w:shd w:val="clear" w:fill="FFFFFF"/>
    </w:rPr>
  </w:style>
  <w:style w:type="character" w:customStyle="1" w:styleId="22">
    <w:name w:val="first-child5"/>
    <w:basedOn w:val="15"/>
    <w:qFormat/>
    <w:uiPriority w:val="0"/>
    <w:rPr>
      <w:color w:val="BD1B09"/>
    </w:rPr>
  </w:style>
  <w:style w:type="paragraph" w:customStyle="1" w:styleId="23">
    <w:name w:val="TOC Heading"/>
    <w:basedOn w:val="3"/>
    <w:next w:val="1"/>
    <w:semiHidden/>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4">
    <w:name w:val="Body text|1"/>
    <w:basedOn w:val="1"/>
    <w:qFormat/>
    <w:uiPriority w:val="0"/>
    <w:pPr>
      <w:spacing w:line="391" w:lineRule="auto"/>
      <w:ind w:firstLine="400"/>
      <w:jc w:val="left"/>
    </w:pPr>
    <w:rPr>
      <w:rFonts w:ascii="宋体" w:hAnsi="宋体" w:eastAsia="Times New Roman"/>
      <w:kern w:val="0"/>
      <w:sz w:val="20"/>
      <w:szCs w:val="20"/>
      <w:lang w:val="zh-TW" w:eastAsia="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2020-08-23T14:43:00Z</dcterms:created>
  <dc:creator>Administrator</dc:creator>
  <cp:lastModifiedBy>Administrator</cp:lastModifiedBy>
  <dcterms:modified xsi:type="dcterms:W3CDTF">2021-09-13T07:34:54Z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A4AE378E0C2448BBA787DB29F0769361</vt:lpwstr>
  </property>
</Properties>
</file>