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7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highlight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政府债务还本付息情况。2025年，我市政府债务还本付息共计98.08亿元，其中还本62.89亿元，付息35.18亿元；市本级地方政府债务还本付息共计47.47亿元，其中还本32.13亿元，付息15.34亿元。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7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2.政府债务限额情况。2025年末，我市地方政府债务限额为1408.01亿元，其中一般债务限额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432.61亿元，专项债务限额975.40亿元；市本级地方政府债务限额为569.15亿元，其中一般债务限额90.88亿元，专项债务限额478.27亿元。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7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政府债务余额情况。截至2025年底，我市地方政府债务余额为1388.97亿元，其中一般债务425.14亿元，专项债务963.84亿元；市本级地方政府债务余额为563亿元，其中一般债务90.75亿元，专项债务472.25亿元，严格控制在省政府核定的我市政府债务限额之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7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4.2025年我市政府债券发行使用情况。2025年，我市新增地方政府债券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139.16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亿元，其中一般债券25.98亿元，专项债券113.18亿元；再融资债券1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32.22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亿元（其中一般债券49.55亿元，专项债券82.67亿元）。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7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市本级新增地方政府债券30.89亿元，其中一般债券3.52亿元，专项债券27.37亿元；再融资债券73.07亿元（其中一般债券19.01亿元，专项债券54.06亿元）。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YTgzNDAxNTg2NDVlNDRjZDcyYTQ2MmU0YWFlNjYifQ=="/>
    <w:docVar w:name="KSO_WPS_MARK_KEY" w:val="4734fb01-6708-494a-b4aa-d5ba3c1f575c"/>
  </w:docVars>
  <w:rsids>
    <w:rsidRoot w:val="20FB47E3"/>
    <w:rsid w:val="02B03FA2"/>
    <w:rsid w:val="04763EE5"/>
    <w:rsid w:val="20FB47E3"/>
    <w:rsid w:val="3B500691"/>
    <w:rsid w:val="49FF5605"/>
    <w:rsid w:val="551527AD"/>
    <w:rsid w:val="65BF12D3"/>
    <w:rsid w:val="79BD2E3A"/>
    <w:rsid w:val="7C284271"/>
    <w:rsid w:val="7FE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564</Characters>
  <Lines>0</Lines>
  <Paragraphs>0</Paragraphs>
  <TotalTime>66</TotalTime>
  <ScaleCrop>false</ScaleCrop>
  <LinksUpToDate>false</LinksUpToDate>
  <CharactersWithSpaces>564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2025-01-14T09:32:00Z</dcterms:created>
  <dc:creator>止＆水</dc:creator>
  <cp:lastModifiedBy>xs007</cp:lastModifiedBy>
  <dcterms:modified xsi:type="dcterms:W3CDTF">2026-01-15T13:05:50Z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B98CFD98BEFF416D90C2FF4361DA1B89_13</vt:lpwstr>
  </property>
</Properties>
</file>