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7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1.政府债务还本付息情况。202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年，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我</w:t>
      </w:r>
      <w:r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市本级地方政府债务还本付息共计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26.52</w:t>
      </w:r>
      <w:r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亿元，其中还本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13.96</w:t>
      </w:r>
      <w:r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亿元，付息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12.56</w:t>
      </w:r>
      <w:r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亿元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（含三区代发债券利息）</w:t>
      </w:r>
      <w:r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7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highlight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.政府债务限额情况。2024年末，我市本级地方政府债务限额为492.83亿元，其中一般债务限额86.49亿元，专项债务限额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406.33亿元。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7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highlight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3.政府债务余额情况。截至2024年底，市本级地方政府债务余额为491.17亿元，其中一般债务86.23亿元，专项债务404.94亿元，严格控制在省政府核定的我市政府债务限额之内。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7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highlight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4.2024年政府债券发行情况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。市本级新增地方政府债券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61.39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亿元，其中一般债券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2.32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亿元，专项债券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59.07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亿元；再融资债券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81.35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亿元（其中一般债券17.21亿元，专项债券64.14亿元）。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NWVlYmExN2RkYjZjZmRjZDQ1MTk5YzNkZTIyMDYifQ=="/>
    <w:docVar w:name="KSO_WPS_MARK_KEY" w:val="4734fb01-6708-494a-b4aa-d5ba3c1f575c"/>
  </w:docVars>
  <w:rsids>
    <w:rsidRoot w:val="20FB47E3"/>
    <w:rsid w:val="02B03FA2"/>
    <w:rsid w:val="04763EE5"/>
    <w:rsid w:val="0B426986"/>
    <w:rsid w:val="15EB3885"/>
    <w:rsid w:val="20FB47E3"/>
    <w:rsid w:val="49FF5605"/>
    <w:rsid w:val="551527AD"/>
    <w:rsid w:val="57990CEB"/>
    <w:rsid w:val="5A6A3450"/>
    <w:rsid w:val="65BF12D3"/>
    <w:rsid w:val="7FE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337</Characters>
  <Lines>0</Lines>
  <Paragraphs>0</Paragraphs>
  <TotalTime>42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2025-01-14T01:32:00Z</dcterms:created>
  <dc:creator>止＆水</dc:creator>
  <cp:lastModifiedBy>末愚未</cp:lastModifiedBy>
  <dcterms:modified xsi:type="dcterms:W3CDTF">2025-01-23T07:57:15Z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C772AF468D6F43B697D7631C65F64103_13</vt:lpwstr>
  </property>
</Properties>
</file>