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560" w:lineRule="exact"/>
        <w:jc w:val="center"/>
        <w:textAlignment w:val="auto"/>
        <w:rPr>
          <w:rFonts w:hint="eastAsia" w:ascii="方正公文小标宋" w:hAnsi="方正公文小标宋" w:eastAsia="方正公文小标宋" w:cs="方正公文小标宋"/>
          <w:b w:val="0"/>
          <w:bCs/>
          <w:highlight w:val="none"/>
          <w:lang w:val="en-US" w:eastAsia="zh-CN"/>
        </w:rPr>
      </w:pPr>
      <w:r>
        <w:rPr>
          <w:rFonts w:hint="eastAsia" w:ascii="方正公文小标宋" w:hAnsi="方正公文小标宋" w:eastAsia="方正公文小标宋" w:cs="方正公文小标宋"/>
          <w:b w:val="0"/>
          <w:bCs/>
          <w:highlight w:val="none"/>
          <w:lang w:val="en-US" w:eastAsia="zh-CN"/>
        </w:rPr>
        <w:t>邵阳市本级2025年度绩效目标</w:t>
      </w:r>
    </w:p>
    <w:p>
      <w:pPr>
        <w:pStyle w:val="3"/>
        <w:keepNext/>
        <w:keepLines/>
        <w:pageBreakBefore w:val="0"/>
        <w:widowControl w:val="0"/>
        <w:kinsoku/>
        <w:wordWrap/>
        <w:overflowPunct/>
        <w:topLinePunct w:val="0"/>
        <w:autoSpaceDE/>
        <w:autoSpaceDN/>
        <w:bidi w:val="0"/>
        <w:adjustRightInd/>
        <w:snapToGrid/>
        <w:spacing w:before="0" w:after="0" w:line="560" w:lineRule="exact"/>
        <w:jc w:val="center"/>
        <w:textAlignment w:val="auto"/>
        <w:rPr>
          <w:rFonts w:hint="eastAsia" w:ascii="方正公文小标宋" w:hAnsi="方正公文小标宋" w:eastAsia="方正公文小标宋" w:cs="方正公文小标宋"/>
          <w:b w:val="0"/>
          <w:bCs/>
          <w:highlight w:val="none"/>
          <w:lang w:val="en-US" w:eastAsia="zh-CN"/>
        </w:rPr>
      </w:pPr>
      <w:r>
        <w:rPr>
          <w:rFonts w:hint="eastAsia" w:ascii="方正公文小标宋" w:hAnsi="方正公文小标宋" w:eastAsia="方正公文小标宋" w:cs="方正公文小标宋"/>
          <w:b w:val="0"/>
          <w:bCs/>
          <w:highlight w:val="none"/>
          <w:lang w:val="en-US" w:eastAsia="zh-CN"/>
        </w:rPr>
        <w:t>编制情况说明</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bCs/>
          <w:sz w:val="32"/>
          <w:szCs w:val="32"/>
          <w:highlight w:val="none"/>
        </w:rPr>
      </w:pP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Cs/>
          <w:sz w:val="32"/>
          <w:szCs w:val="32"/>
          <w:highlight w:val="none"/>
        </w:rPr>
        <w:t>《中共湖南省委办公厅、湖南省人民政府办公厅关于全面实施预算绩效管理的实施意见》（湘办发〔2019〕10号）中明确提出</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完善预算绩效制度体系、健全预算绩效标准体系”是贯彻落实党中央、国务院关于全面实施预算绩效管理的决策部署，深化财税体制改革，加快建成全方位、全过程、全覆盖的预算绩效管理体系，实现预算和绩效管理一体化的基础。</w:t>
      </w:r>
      <w:r>
        <w:rPr>
          <w:rFonts w:hint="eastAsia" w:ascii="仿宋_GB2312" w:hAnsi="仿宋_GB2312" w:eastAsia="仿宋_GB2312" w:cs="仿宋_GB2312"/>
          <w:bCs/>
          <w:sz w:val="32"/>
          <w:szCs w:val="32"/>
          <w:highlight w:val="none"/>
          <w:lang w:val="en-US" w:eastAsia="zh-CN"/>
        </w:rPr>
        <w:t>绩效目标编制是标准体系建设的重要环节，2025年又是零基预算开始年，</w:t>
      </w:r>
      <w:r>
        <w:rPr>
          <w:rFonts w:hint="eastAsia" w:ascii="仿宋_GB2312" w:hAnsi="仿宋_GB2312" w:eastAsia="仿宋_GB2312" w:cs="仿宋_GB2312"/>
          <w:bCs/>
          <w:sz w:val="32"/>
          <w:szCs w:val="32"/>
          <w:highlight w:val="none"/>
          <w:lang w:eastAsia="zh-CN"/>
        </w:rPr>
        <w:t>邵阳市</w:t>
      </w:r>
      <w:r>
        <w:rPr>
          <w:rFonts w:hint="eastAsia" w:ascii="仿宋_GB2312" w:hAnsi="仿宋_GB2312" w:eastAsia="仿宋_GB2312" w:cs="仿宋_GB2312"/>
          <w:bCs/>
          <w:sz w:val="32"/>
          <w:szCs w:val="32"/>
          <w:highlight w:val="none"/>
          <w:lang w:val="en-US" w:eastAsia="zh-CN"/>
        </w:rPr>
        <w:t>财政局提出绩效目标编制要服务零基预算改革，</w:t>
      </w:r>
      <w:r>
        <w:rPr>
          <w:rFonts w:hint="eastAsia" w:ascii="仿宋_GB2312" w:hAnsi="仿宋_GB2312" w:eastAsia="仿宋_GB2312" w:cs="仿宋_GB2312"/>
          <w:bCs/>
          <w:sz w:val="32"/>
          <w:szCs w:val="32"/>
          <w:highlight w:val="none"/>
          <w:lang w:eastAsia="zh-CN"/>
        </w:rPr>
        <w:t>在编制</w:t>
      </w:r>
      <w:r>
        <w:rPr>
          <w:rFonts w:hint="eastAsia" w:ascii="仿宋_GB2312" w:hAnsi="仿宋_GB2312" w:eastAsia="仿宋_GB2312" w:cs="仿宋_GB2312"/>
          <w:bCs/>
          <w:sz w:val="32"/>
          <w:szCs w:val="32"/>
          <w:highlight w:val="none"/>
          <w:lang w:val="en-US" w:eastAsia="zh-CN"/>
        </w:rPr>
        <w:t>2025年绩效目标时</w:t>
      </w:r>
      <w:r>
        <w:rPr>
          <w:rFonts w:hint="eastAsia" w:ascii="仿宋_GB2312" w:hAnsi="仿宋_GB2312" w:eastAsia="仿宋_GB2312" w:cs="仿宋_GB2312"/>
          <w:bCs/>
          <w:sz w:val="32"/>
          <w:szCs w:val="32"/>
          <w:highlight w:val="none"/>
          <w:lang w:eastAsia="zh-CN"/>
        </w:rPr>
        <w:t>，</w:t>
      </w:r>
      <w:r>
        <w:rPr>
          <w:rFonts w:hint="eastAsia" w:ascii="仿宋" w:hAnsi="仿宋" w:eastAsia="仿宋" w:cs="仿宋"/>
          <w:b w:val="0"/>
          <w:bCs w:val="0"/>
          <w:color w:val="000000"/>
          <w:kern w:val="0"/>
          <w:sz w:val="32"/>
          <w:szCs w:val="32"/>
          <w:highlight w:val="none"/>
          <w:lang w:val="en-US" w:eastAsia="zh-CN"/>
        </w:rPr>
        <w:t>引入成本绩效观念，科学精准设置绩效目标指标，提升绩效目标与实际支出的匹配度，完善绩效目标财政审核和第三方集中审核机制，规范绩效目标批复、公开工作，加大事前评估力度，源头上优化财政资源配置。</w:t>
      </w:r>
      <w:r>
        <w:rPr>
          <w:rFonts w:hint="eastAsia" w:ascii="仿宋_GB2312" w:hAnsi="仿宋_GB2312" w:eastAsia="仿宋_GB2312" w:cs="仿宋_GB2312"/>
          <w:bCs/>
          <w:sz w:val="32"/>
          <w:szCs w:val="32"/>
          <w:highlight w:val="none"/>
          <w:lang w:eastAsia="zh-CN"/>
        </w:rPr>
        <w:t>通过引入第三方机构</w:t>
      </w:r>
      <w:r>
        <w:rPr>
          <w:rFonts w:hint="eastAsia" w:ascii="仿宋_GB2312" w:hAnsi="仿宋_GB2312" w:eastAsia="仿宋_GB2312" w:cs="仿宋_GB2312"/>
          <w:bCs/>
          <w:sz w:val="32"/>
          <w:szCs w:val="32"/>
          <w:highlight w:val="none"/>
          <w:lang w:val="en-US" w:eastAsia="zh-CN"/>
        </w:rPr>
        <w:t>现场指导</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lang w:val="en-US" w:eastAsia="zh-CN"/>
        </w:rPr>
        <w:t>切实提升绩效目标编制质量，</w:t>
      </w:r>
      <w:r>
        <w:rPr>
          <w:rFonts w:hint="eastAsia" w:ascii="仿宋_GB2312" w:hAnsi="仿宋_GB2312" w:eastAsia="仿宋_GB2312" w:cs="仿宋_GB2312"/>
          <w:bCs/>
          <w:sz w:val="32"/>
          <w:szCs w:val="32"/>
          <w:highlight w:val="none"/>
          <w:lang w:eastAsia="zh-CN"/>
        </w:rPr>
        <w:t>确保绩效目标的合理性和可实现性。</w:t>
      </w:r>
      <w:r>
        <w:rPr>
          <w:rFonts w:hint="eastAsia" w:ascii="仿宋_GB2312" w:hAnsi="仿宋_GB2312" w:eastAsia="仿宋_GB2312" w:cs="仿宋_GB2312"/>
          <w:sz w:val="32"/>
          <w:szCs w:val="32"/>
          <w:highlight w:val="none"/>
        </w:rPr>
        <w:t>现将</w:t>
      </w:r>
      <w:r>
        <w:rPr>
          <w:rFonts w:hint="eastAsia" w:ascii="仿宋_GB2312" w:hAnsi="仿宋_GB2312" w:eastAsia="仿宋_GB2312" w:cs="仿宋_GB2312"/>
          <w:sz w:val="32"/>
          <w:szCs w:val="32"/>
          <w:highlight w:val="none"/>
          <w:lang w:val="en-US" w:eastAsia="zh-CN"/>
        </w:rPr>
        <w:t>2025年绩效目标编制情况综合</w:t>
      </w:r>
      <w:r>
        <w:rPr>
          <w:rFonts w:hint="eastAsia" w:ascii="仿宋_GB2312" w:hAnsi="仿宋_GB2312" w:eastAsia="仿宋_GB2312" w:cs="仿宋_GB2312"/>
          <w:sz w:val="32"/>
          <w:szCs w:val="32"/>
          <w:highlight w:val="none"/>
        </w:rPr>
        <w:t>如下：</w:t>
      </w:r>
    </w:p>
    <w:p>
      <w:pPr>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kern w:val="2"/>
          <w:sz w:val="32"/>
          <w:szCs w:val="32"/>
          <w:highlight w:val="none"/>
          <w:lang w:val="en-US" w:eastAsia="zh-CN" w:bidi="ar-SA"/>
        </w:rPr>
        <w:t>一、</w:t>
      </w:r>
      <w:r>
        <w:rPr>
          <w:rFonts w:hint="eastAsia" w:ascii="黑体" w:hAnsi="黑体" w:eastAsia="黑体" w:cs="黑体"/>
          <w:sz w:val="32"/>
          <w:szCs w:val="32"/>
          <w:highlight w:val="none"/>
          <w:lang w:val="en-US" w:eastAsia="zh-CN"/>
        </w:rPr>
        <w:t>预算编制基本情况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1、本年度编制部门整体支出绩效目标（含基本支出和项目支出绩效目标）的预算单位</w:t>
      </w:r>
      <w:r>
        <w:rPr>
          <w:rFonts w:hint="eastAsia" w:ascii="仿宋_GB2312" w:hAnsi="仿宋_GB2312" w:eastAsia="仿宋_GB2312" w:cs="仿宋_GB2312"/>
          <w:sz w:val="32"/>
          <w:szCs w:val="32"/>
          <w:highlight w:val="none"/>
          <w:lang w:val="en-US" w:eastAsia="zh-CN"/>
        </w:rPr>
        <w:t>共265</w:t>
      </w:r>
      <w:r>
        <w:rPr>
          <w:rFonts w:hint="eastAsia" w:ascii="仿宋_GB2312" w:hAnsi="仿宋_GB2312" w:eastAsia="仿宋_GB2312" w:cs="仿宋_GB2312"/>
          <w:sz w:val="32"/>
          <w:szCs w:val="32"/>
          <w:highlight w:val="none"/>
        </w:rPr>
        <w:t>个（涉密及撤并单位除外），编制资金</w:t>
      </w:r>
      <w:r>
        <w:rPr>
          <w:rFonts w:hint="eastAsia" w:ascii="仿宋_GB2312" w:hAnsi="仿宋_GB2312" w:eastAsia="仿宋_GB2312" w:cs="仿宋_GB2312"/>
          <w:sz w:val="32"/>
          <w:szCs w:val="32"/>
          <w:highlight w:val="none"/>
          <w:lang w:val="en-US" w:eastAsia="zh-CN"/>
        </w:rPr>
        <w:t>为596278.86</w:t>
      </w:r>
      <w:r>
        <w:rPr>
          <w:rFonts w:hint="eastAsia" w:ascii="仿宋_GB2312" w:hAnsi="仿宋_GB2312" w:eastAsia="仿宋_GB2312" w:cs="仿宋_GB2312"/>
          <w:sz w:val="32"/>
          <w:szCs w:val="32"/>
          <w:highlight w:val="none"/>
        </w:rPr>
        <w:t>万元，其中，</w:t>
      </w:r>
      <w:r>
        <w:rPr>
          <w:rFonts w:hint="eastAsia" w:ascii="仿宋_GB2312" w:hAnsi="仿宋_GB2312" w:eastAsia="仿宋_GB2312" w:cs="仿宋_GB2312"/>
          <w:sz w:val="32"/>
          <w:szCs w:val="32"/>
          <w:highlight w:val="none"/>
          <w:lang w:val="en-US" w:eastAsia="zh-CN"/>
        </w:rPr>
        <w:t>基本支出264977.72万元，项目支出331301.14万元</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本年度编制项目支出绩效目标共</w:t>
      </w:r>
      <w:r>
        <w:rPr>
          <w:rFonts w:hint="eastAsia" w:ascii="仿宋_GB2312" w:hAnsi="仿宋_GB2312" w:eastAsia="仿宋_GB2312" w:cs="仿宋_GB2312"/>
          <w:sz w:val="32"/>
          <w:szCs w:val="32"/>
          <w:highlight w:val="none"/>
          <w:lang w:val="en-US" w:eastAsia="zh-CN"/>
        </w:rPr>
        <w:t>524</w:t>
      </w:r>
      <w:r>
        <w:rPr>
          <w:rFonts w:hint="eastAsia" w:ascii="仿宋_GB2312" w:hAnsi="仿宋_GB2312" w:eastAsia="仿宋_GB2312" w:cs="仿宋_GB2312"/>
          <w:sz w:val="32"/>
          <w:szCs w:val="32"/>
          <w:highlight w:val="none"/>
        </w:rPr>
        <w:t>个（涉密项目除外），编制资金</w:t>
      </w:r>
      <w:r>
        <w:rPr>
          <w:rFonts w:hint="eastAsia" w:ascii="仿宋_GB2312" w:hAnsi="仿宋_GB2312" w:eastAsia="仿宋_GB2312" w:cs="仿宋_GB2312"/>
          <w:sz w:val="32"/>
          <w:szCs w:val="32"/>
          <w:highlight w:val="none"/>
          <w:lang w:val="en-US" w:eastAsia="zh-CN"/>
        </w:rPr>
        <w:t>为331301.14</w:t>
      </w:r>
      <w:r>
        <w:rPr>
          <w:rFonts w:hint="eastAsia" w:ascii="仿宋_GB2312" w:hAnsi="仿宋_GB2312" w:eastAsia="仿宋_GB2312" w:cs="仿宋_GB2312"/>
          <w:sz w:val="32"/>
          <w:szCs w:val="32"/>
          <w:highlight w:val="none"/>
        </w:rPr>
        <w:t>万元，其中，安排至预算单位项</w:t>
      </w:r>
      <w:r>
        <w:rPr>
          <w:rFonts w:hint="eastAsia" w:ascii="仿宋_GB2312" w:hAnsi="仿宋_GB2312" w:eastAsia="仿宋_GB2312" w:cs="仿宋_GB2312"/>
          <w:color w:val="auto"/>
          <w:sz w:val="32"/>
          <w:szCs w:val="32"/>
          <w:highlight w:val="none"/>
        </w:rPr>
        <w:t>目</w:t>
      </w:r>
      <w:r>
        <w:rPr>
          <w:rFonts w:hint="eastAsia" w:ascii="仿宋_GB2312" w:hAnsi="仿宋_GB2312" w:eastAsia="仿宋_GB2312" w:cs="仿宋_GB2312"/>
          <w:color w:val="auto"/>
          <w:sz w:val="32"/>
          <w:szCs w:val="32"/>
          <w:highlight w:val="none"/>
          <w:lang w:val="en-US" w:eastAsia="zh-CN"/>
        </w:rPr>
        <w:t>370</w:t>
      </w:r>
      <w:r>
        <w:rPr>
          <w:rFonts w:hint="eastAsia" w:ascii="仿宋_GB2312" w:hAnsi="仿宋_GB2312" w:eastAsia="仿宋_GB2312" w:cs="仿宋_GB2312"/>
          <w:color w:val="auto"/>
          <w:sz w:val="32"/>
          <w:szCs w:val="32"/>
          <w:highlight w:val="none"/>
        </w:rPr>
        <w:t>个，</w:t>
      </w:r>
      <w:r>
        <w:rPr>
          <w:rFonts w:hint="eastAsia" w:ascii="仿宋_GB2312" w:hAnsi="仿宋_GB2312" w:eastAsia="仿宋_GB2312" w:cs="仿宋_GB2312"/>
          <w:sz w:val="32"/>
          <w:szCs w:val="32"/>
          <w:highlight w:val="none"/>
        </w:rPr>
        <w:t>编制资金</w:t>
      </w:r>
      <w:r>
        <w:rPr>
          <w:rFonts w:hint="eastAsia" w:ascii="仿宋_GB2312" w:hAnsi="仿宋_GB2312" w:eastAsia="仿宋_GB2312" w:cs="仿宋_GB2312"/>
          <w:sz w:val="32"/>
          <w:szCs w:val="32"/>
          <w:highlight w:val="none"/>
          <w:lang w:val="en-US" w:eastAsia="zh-CN"/>
        </w:rPr>
        <w:t>113968.48</w:t>
      </w:r>
      <w:r>
        <w:rPr>
          <w:rFonts w:hint="eastAsia" w:ascii="仿宋_GB2312" w:hAnsi="仿宋_GB2312" w:eastAsia="仿宋_GB2312" w:cs="仿宋_GB2312"/>
          <w:sz w:val="32"/>
          <w:szCs w:val="32"/>
          <w:highlight w:val="none"/>
        </w:rPr>
        <w:t>万元，代编项目</w:t>
      </w:r>
      <w:r>
        <w:rPr>
          <w:rFonts w:hint="eastAsia" w:ascii="仿宋_GB2312" w:hAnsi="仿宋_GB2312" w:eastAsia="仿宋_GB2312" w:cs="仿宋_GB2312"/>
          <w:sz w:val="32"/>
          <w:szCs w:val="32"/>
          <w:highlight w:val="none"/>
          <w:lang w:val="en-US" w:eastAsia="zh-CN"/>
        </w:rPr>
        <w:t>154</w:t>
      </w:r>
      <w:r>
        <w:rPr>
          <w:rFonts w:hint="eastAsia" w:ascii="仿宋_GB2312" w:hAnsi="仿宋_GB2312" w:eastAsia="仿宋_GB2312" w:cs="仿宋_GB2312"/>
          <w:sz w:val="32"/>
          <w:szCs w:val="32"/>
          <w:highlight w:val="none"/>
        </w:rPr>
        <w:t>个，编制资金</w:t>
      </w:r>
      <w:r>
        <w:rPr>
          <w:rFonts w:hint="eastAsia" w:ascii="仿宋_GB2312" w:hAnsi="仿宋_GB2312" w:eastAsia="仿宋_GB2312" w:cs="仿宋_GB2312"/>
          <w:sz w:val="32"/>
          <w:szCs w:val="32"/>
          <w:highlight w:val="none"/>
          <w:lang w:val="en-US" w:eastAsia="zh-CN"/>
        </w:rPr>
        <w:t>217332.66</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从项目资金属性来分，编制预算安排项目420个，编制资金287249.05万元，编制非税安排项目104个，编制资金44052.09万元。</w:t>
      </w:r>
    </w:p>
    <w:p>
      <w:pPr>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kern w:val="2"/>
          <w:sz w:val="32"/>
          <w:szCs w:val="32"/>
          <w:highlight w:val="none"/>
          <w:lang w:val="en-US" w:eastAsia="zh-CN" w:bidi="ar-SA"/>
        </w:rPr>
        <w:t>二、</w:t>
      </w:r>
      <w:r>
        <w:rPr>
          <w:rFonts w:hint="eastAsia" w:ascii="黑体" w:hAnsi="黑体" w:eastAsia="黑体" w:cs="黑体"/>
          <w:sz w:val="32"/>
          <w:szCs w:val="32"/>
          <w:highlight w:val="none"/>
          <w:lang w:val="en-US" w:eastAsia="zh-CN"/>
        </w:rPr>
        <w:t>编制依据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1、《中央部门项目支出核心绩效目</w:t>
      </w:r>
      <w:bookmarkStart w:id="0" w:name="_GoBack"/>
      <w:bookmarkEnd w:id="0"/>
      <w:r>
        <w:rPr>
          <w:rFonts w:hint="eastAsia" w:ascii="仿宋_GB2312" w:hAnsi="仿宋_GB2312" w:eastAsia="仿宋_GB2312" w:cs="仿宋_GB2312"/>
          <w:sz w:val="32"/>
          <w:szCs w:val="32"/>
          <w:highlight w:val="none"/>
        </w:rPr>
        <w:t>标和指标设置及取值指引（试行）》（财预﹝2021﹞101号）；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Cs/>
          <w:sz w:val="32"/>
          <w:szCs w:val="32"/>
          <w:highlight w:val="none"/>
        </w:rPr>
        <w:t>2、《中共湖南省委办公厅、湖南省人民政府办公厅关于全面实施预算绩效管理的实施意见》（湘办发〔2019〕10号）；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3、《湖南省财政厅关于印发〈湖南省预算绩效目标管理办法〉的通知》（湘财绩﹝2020﹞6号）。</w:t>
      </w:r>
    </w:p>
    <w:p>
      <w:pPr>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三、本次编制的工作方式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1、线下集中培训。</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局于202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在12楼</w:t>
      </w:r>
      <w:r>
        <w:rPr>
          <w:rFonts w:hint="eastAsia" w:ascii="仿宋_GB2312" w:hAnsi="仿宋_GB2312" w:eastAsia="仿宋_GB2312" w:cs="仿宋_GB2312"/>
          <w:sz w:val="32"/>
          <w:szCs w:val="32"/>
        </w:rPr>
        <w:t>会议室组织大型线下培训会议，聘请专业老师，</w:t>
      </w:r>
      <w:r>
        <w:rPr>
          <w:rFonts w:hint="eastAsia" w:ascii="仿宋_GB2312" w:hAnsi="仿宋_GB2312" w:eastAsia="仿宋_GB2312" w:cs="仿宋_GB2312"/>
          <w:sz w:val="32"/>
          <w:szCs w:val="32"/>
          <w:lang w:val="en-US" w:eastAsia="zh-CN"/>
        </w:rPr>
        <w:t>对</w:t>
      </w:r>
      <w:r>
        <w:rPr>
          <w:rFonts w:hint="eastAsia" w:ascii="仿宋_GB2312" w:hAnsi="仿宋_GB2312" w:eastAsia="仿宋_GB2312" w:cs="仿宋_GB2312"/>
          <w:sz w:val="32"/>
          <w:szCs w:val="32"/>
        </w:rPr>
        <w:t>全</w:t>
      </w:r>
      <w:r>
        <w:rPr>
          <w:rFonts w:hint="eastAsia" w:ascii="仿宋_GB2312" w:hAnsi="仿宋_GB2312" w:eastAsia="仿宋_GB2312" w:cs="仿宋_GB2312"/>
          <w:sz w:val="32"/>
          <w:szCs w:val="32"/>
          <w:lang w:val="en-US" w:eastAsia="zh-CN"/>
        </w:rPr>
        <w:t>部</w:t>
      </w:r>
      <w:r>
        <w:rPr>
          <w:rFonts w:hint="eastAsia" w:ascii="仿宋_GB2312" w:hAnsi="仿宋_GB2312" w:eastAsia="仿宋_GB2312" w:cs="仿宋_GB2312"/>
          <w:sz w:val="32"/>
          <w:szCs w:val="32"/>
        </w:rPr>
        <w:t>预算单位</w:t>
      </w:r>
      <w:r>
        <w:rPr>
          <w:rFonts w:hint="eastAsia" w:ascii="仿宋_GB2312" w:hAnsi="仿宋_GB2312" w:eastAsia="仿宋_GB2312" w:cs="仿宋_GB2312"/>
          <w:sz w:val="32"/>
          <w:szCs w:val="32"/>
          <w:lang w:val="en-US" w:eastAsia="zh-CN"/>
        </w:rPr>
        <w:t>和财政部门相关科室相关</w:t>
      </w:r>
      <w:r>
        <w:rPr>
          <w:rFonts w:hint="eastAsia" w:ascii="仿宋_GB2312" w:hAnsi="仿宋_GB2312" w:eastAsia="仿宋_GB2312" w:cs="仿宋_GB2312"/>
          <w:sz w:val="32"/>
          <w:szCs w:val="32"/>
        </w:rPr>
        <w:t>人员</w:t>
      </w:r>
      <w:r>
        <w:rPr>
          <w:rFonts w:hint="eastAsia" w:ascii="仿宋_GB2312" w:hAnsi="仿宋_GB2312" w:eastAsia="仿宋_GB2312" w:cs="仿宋_GB2312"/>
          <w:sz w:val="32"/>
          <w:szCs w:val="32"/>
          <w:lang w:val="en-US" w:eastAsia="zh-CN"/>
        </w:rPr>
        <w:t>进行集中</w:t>
      </w:r>
      <w:r>
        <w:rPr>
          <w:rFonts w:hint="eastAsia" w:ascii="仿宋_GB2312" w:hAnsi="仿宋_GB2312" w:eastAsia="仿宋_GB2312" w:cs="仿宋_GB2312"/>
          <w:sz w:val="32"/>
          <w:szCs w:val="32"/>
        </w:rPr>
        <w:t>培训。培训</w:t>
      </w:r>
      <w:r>
        <w:rPr>
          <w:rFonts w:hint="eastAsia" w:ascii="仿宋_GB2312" w:hAnsi="仿宋_GB2312" w:eastAsia="仿宋_GB2312" w:cs="仿宋_GB2312"/>
          <w:sz w:val="32"/>
          <w:szCs w:val="32"/>
          <w:lang w:val="en-US" w:eastAsia="zh-CN"/>
        </w:rPr>
        <w:t>内容</w:t>
      </w:r>
      <w:r>
        <w:rPr>
          <w:rFonts w:hint="eastAsia" w:ascii="仿宋_GB2312" w:hAnsi="仿宋_GB2312" w:eastAsia="仿宋_GB2312" w:cs="仿宋_GB2312"/>
          <w:sz w:val="32"/>
          <w:szCs w:val="32"/>
        </w:rPr>
        <w:t>主要</w:t>
      </w:r>
      <w:r>
        <w:rPr>
          <w:rFonts w:hint="eastAsia" w:ascii="仿宋_GB2312" w:hAnsi="仿宋_GB2312" w:eastAsia="仿宋_GB2312" w:cs="仿宋_GB2312"/>
          <w:sz w:val="32"/>
          <w:szCs w:val="32"/>
          <w:lang w:val="en-US" w:eastAsia="zh-CN"/>
        </w:rPr>
        <w:t>是</w:t>
      </w:r>
      <w:r>
        <w:rPr>
          <w:rFonts w:hint="eastAsia" w:ascii="仿宋_GB2312" w:hAnsi="仿宋_GB2312" w:eastAsia="仿宋_GB2312" w:cs="仿宋_GB2312"/>
          <w:sz w:val="32"/>
          <w:szCs w:val="32"/>
        </w:rPr>
        <w:t>围绕全覆盖预算</w:t>
      </w:r>
      <w:r>
        <w:rPr>
          <w:rFonts w:hint="eastAsia" w:ascii="仿宋_GB2312" w:hAnsi="仿宋_GB2312" w:eastAsia="仿宋_GB2312" w:cs="仿宋_GB2312"/>
          <w:sz w:val="32"/>
          <w:szCs w:val="32"/>
          <w:lang w:val="en-US" w:eastAsia="zh-CN"/>
        </w:rPr>
        <w:t>绩效</w:t>
      </w:r>
      <w:r>
        <w:rPr>
          <w:rFonts w:hint="eastAsia" w:ascii="仿宋_GB2312" w:hAnsi="仿宋_GB2312" w:eastAsia="仿宋_GB2312" w:cs="仿宋_GB2312"/>
          <w:sz w:val="32"/>
          <w:szCs w:val="32"/>
        </w:rPr>
        <w:t>管理主要环节及时间节点、法律政策支持、绩效目标管理主体、绩效目标编审要点、绩效目标表编制解析等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通过全面解读预算绩效管理政策，明确预算绩效管理的总体框架，</w:t>
      </w:r>
      <w:r>
        <w:rPr>
          <w:rFonts w:hint="eastAsia" w:ascii="仿宋_GB2312" w:hAnsi="仿宋_GB2312" w:eastAsia="仿宋_GB2312" w:cs="仿宋_GB2312"/>
          <w:sz w:val="32"/>
          <w:szCs w:val="32"/>
        </w:rPr>
        <w:t>结合市级实操要点展开成本预算绩效分析具体案例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提升绩效目标</w:t>
      </w:r>
      <w:r>
        <w:rPr>
          <w:rFonts w:hint="eastAsia" w:ascii="仿宋_GB2312" w:hAnsi="仿宋_GB2312" w:eastAsia="仿宋_GB2312" w:cs="仿宋_GB2312"/>
          <w:sz w:val="32"/>
          <w:szCs w:val="32"/>
        </w:rPr>
        <w:t>编制人员的理论水平</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实践操作</w:t>
      </w:r>
      <w:r>
        <w:rPr>
          <w:rFonts w:hint="eastAsia" w:ascii="仿宋_GB2312" w:hAnsi="仿宋_GB2312" w:eastAsia="仿宋_GB2312" w:cs="仿宋_GB2312"/>
          <w:sz w:val="32"/>
          <w:szCs w:val="32"/>
          <w:lang w:val="en-US" w:eastAsia="zh-CN"/>
        </w:rPr>
        <w:t>能力</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2、绩效目标编制现场</w:t>
      </w:r>
      <w:r>
        <w:rPr>
          <w:rFonts w:hint="eastAsia" w:ascii="仿宋_GB2312" w:hAnsi="仿宋_GB2312" w:eastAsia="仿宋_GB2312" w:cs="仿宋_GB2312"/>
          <w:sz w:val="32"/>
          <w:szCs w:val="32"/>
          <w:lang w:val="en-US" w:eastAsia="zh-CN"/>
        </w:rPr>
        <w:t>指</w:t>
      </w:r>
      <w:r>
        <w:rPr>
          <w:rFonts w:hint="eastAsia" w:ascii="仿宋_GB2312" w:hAnsi="仿宋_GB2312" w:eastAsia="仿宋_GB2312" w:cs="仿宋_GB2312"/>
          <w:sz w:val="32"/>
          <w:szCs w:val="32"/>
        </w:rPr>
        <w:t>导。</w:t>
      </w:r>
      <w:r>
        <w:rPr>
          <w:rFonts w:hint="eastAsia" w:ascii="仿宋_GB2312" w:hAnsi="仿宋_GB2312" w:eastAsia="仿宋_GB2312" w:cs="仿宋_GB2312"/>
          <w:sz w:val="32"/>
          <w:szCs w:val="32"/>
          <w:highlight w:val="none"/>
          <w:lang w:val="en-US" w:eastAsia="zh-CN"/>
        </w:rPr>
        <w:t>为了</w:t>
      </w:r>
      <w:r>
        <w:rPr>
          <w:rFonts w:hint="eastAsia" w:ascii="仿宋" w:hAnsi="仿宋" w:eastAsia="仿宋" w:cs="仿宋"/>
          <w:b w:val="0"/>
          <w:bCs w:val="0"/>
          <w:color w:val="000000"/>
          <w:kern w:val="0"/>
          <w:sz w:val="32"/>
          <w:szCs w:val="32"/>
          <w:highlight w:val="none"/>
          <w:lang w:val="en-US" w:eastAsia="zh-CN"/>
        </w:rPr>
        <w:t>完善绩效目标财政审核和第三方集中审核机制</w:t>
      </w:r>
      <w:r>
        <w:rPr>
          <w:rFonts w:hint="eastAsia" w:ascii="仿宋_GB2312" w:hAnsi="仿宋_GB2312" w:eastAsia="仿宋_GB2312" w:cs="仿宋_GB2312"/>
          <w:sz w:val="32"/>
          <w:szCs w:val="32"/>
          <w:highlight w:val="none"/>
          <w:lang w:val="en-US" w:eastAsia="zh-CN"/>
        </w:rPr>
        <w:t>，我局聘请了专业的第三方机构进行指导和审核。根据工作安排，</w:t>
      </w:r>
      <w:r>
        <w:rPr>
          <w:rFonts w:hint="eastAsia" w:ascii="仿宋_GB2312" w:hAnsi="仿宋_GB2312" w:eastAsia="仿宋_GB2312" w:cs="仿宋_GB2312"/>
          <w:sz w:val="32"/>
          <w:szCs w:val="32"/>
        </w:rPr>
        <w:t>绩效目标编制现场</w:t>
      </w:r>
      <w:r>
        <w:rPr>
          <w:rFonts w:hint="eastAsia" w:ascii="仿宋_GB2312" w:hAnsi="仿宋_GB2312" w:eastAsia="仿宋_GB2312" w:cs="仿宋_GB2312"/>
          <w:sz w:val="32"/>
          <w:szCs w:val="32"/>
          <w:lang w:val="en-US" w:eastAsia="zh-CN"/>
        </w:rPr>
        <w:t>指</w:t>
      </w:r>
      <w:r>
        <w:rPr>
          <w:rFonts w:hint="eastAsia" w:ascii="仿宋_GB2312" w:hAnsi="仿宋_GB2312" w:eastAsia="仿宋_GB2312" w:cs="仿宋_GB2312"/>
          <w:sz w:val="32"/>
          <w:szCs w:val="32"/>
        </w:rPr>
        <w:t>导工作人员分</w:t>
      </w:r>
      <w:r>
        <w:rPr>
          <w:rFonts w:hint="eastAsia" w:ascii="仿宋_GB2312" w:hAnsi="仿宋_GB2312" w:eastAsia="仿宋_GB2312" w:cs="仿宋_GB2312"/>
          <w:sz w:val="32"/>
          <w:szCs w:val="32"/>
          <w:lang w:val="en-US" w:eastAsia="zh-CN"/>
        </w:rPr>
        <w:t>组</w:t>
      </w:r>
      <w:r>
        <w:rPr>
          <w:rFonts w:hint="eastAsia" w:ascii="仿宋_GB2312" w:hAnsi="仿宋_GB2312" w:eastAsia="仿宋_GB2312" w:cs="仿宋_GB2312"/>
          <w:sz w:val="32"/>
          <w:szCs w:val="32"/>
        </w:rPr>
        <w:t>入驻财政局各业务</w:t>
      </w:r>
      <w:r>
        <w:rPr>
          <w:rFonts w:hint="eastAsia" w:ascii="仿宋_GB2312" w:hAnsi="仿宋_GB2312" w:eastAsia="仿宋_GB2312" w:cs="仿宋_GB2312"/>
          <w:sz w:val="32"/>
          <w:szCs w:val="32"/>
          <w:lang w:val="en-US" w:eastAsia="zh-CN"/>
        </w:rPr>
        <w:t>科</w:t>
      </w:r>
      <w:r>
        <w:rPr>
          <w:rFonts w:hint="eastAsia" w:ascii="仿宋_GB2312" w:hAnsi="仿宋_GB2312" w:eastAsia="仿宋_GB2312" w:cs="仿宋_GB2312"/>
          <w:sz w:val="32"/>
          <w:szCs w:val="32"/>
        </w:rPr>
        <w:t>室，对财政审核人员进行预算绩效目标审核辅导，讲述审核要点、注意事项，协助主管业务科室对不符合要求的绩效目标表进行退回并标注修改事项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围绕一些共性问题和个性问题，对具体指标、指标值的设置进行了充分的</w:t>
      </w:r>
      <w:r>
        <w:rPr>
          <w:rFonts w:hint="eastAsia" w:ascii="仿宋_GB2312" w:hAnsi="仿宋_GB2312" w:eastAsia="仿宋_GB2312" w:cs="仿宋_GB2312"/>
          <w:sz w:val="32"/>
          <w:szCs w:val="32"/>
          <w:lang w:val="en-US" w:eastAsia="zh-CN"/>
        </w:rPr>
        <w:t>分析</w:t>
      </w:r>
      <w:r>
        <w:rPr>
          <w:rFonts w:hint="eastAsia" w:ascii="仿宋_GB2312" w:hAnsi="仿宋_GB2312" w:eastAsia="仿宋_GB2312" w:cs="仿宋_GB2312"/>
          <w:sz w:val="32"/>
          <w:szCs w:val="32"/>
        </w:rPr>
        <w:t>和探讨，力求实用、兼容、客观、精准。</w:t>
      </w:r>
      <w:r>
        <w:rPr>
          <w:rFonts w:hint="eastAsia" w:ascii="仿宋_GB2312" w:hAnsi="仿宋_GB2312" w:eastAsia="仿宋_GB2312" w:cs="仿宋_GB2312"/>
          <w:sz w:val="32"/>
          <w:szCs w:val="32"/>
          <w:lang w:val="en-US" w:eastAsia="zh-CN"/>
        </w:rPr>
        <w:t>同时，本次审核重点对笼统的成本指标进行了细化，为零基预算改革打好基础。</w:t>
      </w:r>
    </w:p>
    <w:p>
      <w:pPr>
        <w:pageBreakBefore w:val="0"/>
        <w:widowControl w:val="0"/>
        <w:kinsoku/>
        <w:wordWrap/>
        <w:overflowPunct/>
        <w:topLinePunct w:val="0"/>
        <w:autoSpaceDE/>
        <w:autoSpaceDN/>
        <w:bidi w:val="0"/>
        <w:adjustRightInd/>
        <w:spacing w:line="560" w:lineRule="exact"/>
        <w:ind w:firstLine="640" w:firstLineChars="200"/>
        <w:textAlignment w:val="auto"/>
        <w:rPr>
          <w:rFonts w:hint="eastAsia" w:eastAsia="仿宋_GB2312"/>
          <w:lang w:val="en-US"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引进第三方机构对重要绩效目标进行集中审核。在科室审核完成后，第三方机构对重要绩效目标进行集中审核，对于填写不够完善的绩效目标予以退回，并</w:t>
      </w:r>
      <w:r>
        <w:rPr>
          <w:rFonts w:hint="eastAsia" w:ascii="仿宋_GB2312" w:hAnsi="仿宋_GB2312" w:eastAsia="仿宋_GB2312" w:cs="仿宋_GB2312"/>
          <w:sz w:val="32"/>
          <w:szCs w:val="32"/>
        </w:rPr>
        <w:t>以电话或现场</w:t>
      </w:r>
      <w:r>
        <w:rPr>
          <w:rFonts w:hint="eastAsia" w:ascii="仿宋_GB2312" w:hAnsi="仿宋_GB2312" w:eastAsia="仿宋_GB2312" w:cs="仿宋_GB2312"/>
          <w:sz w:val="32"/>
          <w:szCs w:val="32"/>
          <w:lang w:val="en-US" w:eastAsia="zh-CN"/>
        </w:rPr>
        <w:t>指导</w:t>
      </w:r>
      <w:r>
        <w:rPr>
          <w:rFonts w:hint="eastAsia" w:ascii="仿宋_GB2312" w:hAnsi="仿宋_GB2312" w:eastAsia="仿宋_GB2312" w:cs="仿宋_GB2312"/>
          <w:sz w:val="32"/>
          <w:szCs w:val="32"/>
        </w:rPr>
        <w:t>的方式对预算单位进行一对一辅导。</w:t>
      </w:r>
    </w:p>
    <w:p>
      <w:pPr>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四、本次编制取得的成效</w:t>
      </w:r>
    </w:p>
    <w:p>
      <w:pPr>
        <w:pageBreakBefore w:val="0"/>
        <w:widowControl w:val="0"/>
        <w:kinsoku/>
        <w:wordWrap/>
        <w:overflowPunct/>
        <w:topLinePunct w:val="0"/>
        <w:autoSpaceDE/>
        <w:autoSpaceDN/>
        <w:bidi w:val="0"/>
        <w:adjustRightIn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规范目标编制流程，提升绩效目标编制质量。一是借助一体化系统应用，编制年度部门预算，同步设置绩效目标和细化量化绩效指标，建立以绩效目标为先导的预算编制管理模式，将预期绩效目标设置作为预算安排的前置条件和财政资金分配的基础依据。二是完善绩效目标审核流程，采取“财政部门审核+第三方集中审核”的方式，确保审核过程更加严谨和高效，财政业务科室相关人员负责初步审核，重点检查绩效目标的合规性和可行性，而第三方机构则从独立、客观的角度进行深度审核，补充专业意见，通过双重审核机制，有效避免了单一审核可能出现的疏漏，提升了绩效目标的质量和可信度。三是狠抓绩效目标同步公开，坚持“公开为常态、不公开为例外”，不断加大绩效信息公开力度，拓宽公开内容，在公开预决算报表的同时公开绩效目标，覆盖所有非涉密项目，提高资金使用透明度，提升政府公信力。</w:t>
      </w:r>
    </w:p>
    <w:p>
      <w:pPr>
        <w:pageBreakBefore w:val="0"/>
        <w:widowControl w:val="0"/>
        <w:kinsoku/>
        <w:wordWrap/>
        <w:overflowPunct/>
        <w:topLinePunct w:val="0"/>
        <w:autoSpaceDE/>
        <w:autoSpaceDN/>
        <w:bidi w:val="0"/>
        <w:adjustRightInd/>
        <w:spacing w:line="56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w:t>
      </w:r>
      <w:r>
        <w:rPr>
          <w:rFonts w:ascii="仿宋_GB2312" w:hAnsi="仿宋_GB2312" w:eastAsia="仿宋_GB2312" w:cs="仿宋_GB2312"/>
          <w:kern w:val="2"/>
          <w:sz w:val="32"/>
          <w:szCs w:val="32"/>
          <w:lang w:bidi="ar-SA"/>
        </w:rPr>
        <w:t>引入成本绩效理念</w:t>
      </w:r>
      <w:r>
        <w:rPr>
          <w:rFonts w:hint="eastAsia" w:ascii="仿宋_GB2312" w:hAnsi="仿宋_GB2312" w:eastAsia="仿宋_GB2312" w:cs="仿宋_GB2312"/>
          <w:kern w:val="2"/>
          <w:sz w:val="32"/>
          <w:szCs w:val="32"/>
          <w:lang w:eastAsia="zh-CN" w:bidi="ar-SA"/>
        </w:rPr>
        <w:t>，</w:t>
      </w:r>
      <w:r>
        <w:rPr>
          <w:rFonts w:hint="eastAsia" w:ascii="仿宋_GB2312" w:hAnsi="仿宋_GB2312" w:eastAsia="仿宋_GB2312" w:cs="仿宋_GB2312"/>
          <w:kern w:val="2"/>
          <w:sz w:val="32"/>
          <w:szCs w:val="32"/>
          <w:lang w:val="en-US" w:eastAsia="zh-CN" w:bidi="ar-SA"/>
        </w:rPr>
        <w:t>为零基预算打好基础</w:t>
      </w:r>
      <w:r>
        <w:rPr>
          <w:rFonts w:hint="eastAsia" w:ascii="仿宋_GB2312" w:hAnsi="仿宋_GB2312" w:eastAsia="仿宋_GB2312" w:cs="仿宋_GB2312"/>
          <w:kern w:val="2"/>
          <w:sz w:val="32"/>
          <w:szCs w:val="32"/>
          <w:lang w:eastAsia="zh-CN" w:bidi="ar-SA"/>
        </w:rPr>
        <w:t>。</w:t>
      </w:r>
      <w:r>
        <w:rPr>
          <w:rFonts w:ascii="仿宋_GB2312" w:hAnsi="仿宋_GB2312" w:eastAsia="仿宋_GB2312" w:cs="仿宋_GB2312"/>
          <w:kern w:val="2"/>
          <w:sz w:val="32"/>
          <w:szCs w:val="32"/>
          <w:lang w:bidi="ar-SA"/>
        </w:rPr>
        <w:t>在编制</w:t>
      </w:r>
      <w:r>
        <w:rPr>
          <w:rFonts w:hint="eastAsia" w:ascii="仿宋_GB2312" w:hAnsi="仿宋_GB2312" w:eastAsia="仿宋_GB2312" w:cs="仿宋_GB2312"/>
          <w:kern w:val="2"/>
          <w:sz w:val="32"/>
          <w:szCs w:val="32"/>
          <w:lang w:val="en-US" w:eastAsia="zh-CN" w:bidi="ar-SA"/>
        </w:rPr>
        <w:t>绩效目标时首次引进成本绩效理念，</w:t>
      </w:r>
      <w:r>
        <w:rPr>
          <w:rFonts w:ascii="仿宋_GB2312" w:hAnsi="仿宋_GB2312" w:eastAsia="仿宋_GB2312" w:cs="仿宋_GB2312"/>
          <w:kern w:val="2"/>
          <w:sz w:val="32"/>
          <w:szCs w:val="32"/>
          <w:lang w:bidi="ar-SA"/>
        </w:rPr>
        <w:t>进行成本效益分析，</w:t>
      </w:r>
      <w:r>
        <w:rPr>
          <w:rFonts w:hint="eastAsia" w:ascii="仿宋_GB2312" w:hAnsi="仿宋_GB2312" w:eastAsia="仿宋_GB2312" w:cs="仿宋_GB2312"/>
          <w:kern w:val="2"/>
          <w:sz w:val="32"/>
          <w:szCs w:val="32"/>
          <w:lang w:val="en-US" w:eastAsia="zh-CN" w:bidi="ar-SA"/>
        </w:rPr>
        <w:t>量化</w:t>
      </w:r>
      <w:r>
        <w:rPr>
          <w:rFonts w:ascii="仿宋_GB2312" w:hAnsi="仿宋_GB2312" w:eastAsia="仿宋_GB2312" w:cs="仿宋_GB2312"/>
          <w:kern w:val="2"/>
          <w:sz w:val="32"/>
          <w:szCs w:val="32"/>
          <w:lang w:bidi="ar-SA"/>
        </w:rPr>
        <w:t>成本指标</w:t>
      </w:r>
      <w:r>
        <w:rPr>
          <w:rFonts w:hint="eastAsia" w:ascii="仿宋_GB2312" w:hAnsi="仿宋_GB2312" w:eastAsia="仿宋_GB2312" w:cs="仿宋_GB2312"/>
          <w:kern w:val="2"/>
          <w:sz w:val="32"/>
          <w:szCs w:val="32"/>
          <w:lang w:eastAsia="zh-CN" w:bidi="ar-SA"/>
        </w:rPr>
        <w:t>，</w:t>
      </w:r>
      <w:r>
        <w:rPr>
          <w:rFonts w:ascii="仿宋_GB2312" w:hAnsi="仿宋_GB2312" w:eastAsia="仿宋_GB2312" w:cs="仿宋_GB2312"/>
          <w:kern w:val="2"/>
          <w:sz w:val="32"/>
          <w:szCs w:val="32"/>
          <w:lang w:bidi="ar-SA"/>
        </w:rPr>
        <w:t>避免了过去仅控制总成本而对单项成本进行随意调整的问题</w:t>
      </w:r>
      <w:r>
        <w:rPr>
          <w:rFonts w:hint="eastAsia" w:ascii="仿宋_GB2312" w:hAnsi="仿宋_GB2312" w:eastAsia="仿宋_GB2312" w:cs="仿宋_GB2312"/>
          <w:kern w:val="2"/>
          <w:sz w:val="32"/>
          <w:szCs w:val="32"/>
          <w:lang w:eastAsia="zh-CN" w:bidi="ar-SA"/>
        </w:rPr>
        <w:t>，</w:t>
      </w:r>
      <w:r>
        <w:rPr>
          <w:rFonts w:ascii="仿宋_GB2312" w:hAnsi="仿宋_GB2312" w:eastAsia="仿宋_GB2312" w:cs="仿宋_GB2312"/>
          <w:kern w:val="2"/>
          <w:sz w:val="32"/>
          <w:szCs w:val="32"/>
          <w:lang w:bidi="ar-SA"/>
        </w:rPr>
        <w:t>通过研究同类单位的共性成本指标，实现</w:t>
      </w:r>
      <w:r>
        <w:rPr>
          <w:rFonts w:hint="eastAsia" w:ascii="仿宋_GB2312" w:hAnsi="仿宋_GB2312" w:eastAsia="仿宋_GB2312" w:cs="仿宋_GB2312"/>
          <w:kern w:val="2"/>
          <w:sz w:val="32"/>
          <w:szCs w:val="32"/>
          <w:lang w:val="en-US" w:eastAsia="zh-CN" w:bidi="ar-SA"/>
        </w:rPr>
        <w:t>成本指标的</w:t>
      </w:r>
      <w:r>
        <w:rPr>
          <w:rFonts w:ascii="仿宋_GB2312" w:hAnsi="仿宋_GB2312" w:eastAsia="仿宋_GB2312" w:cs="仿宋_GB2312"/>
          <w:kern w:val="2"/>
          <w:sz w:val="32"/>
          <w:szCs w:val="32"/>
          <w:lang w:bidi="ar-SA"/>
        </w:rPr>
        <w:t>统一设定和横向比较</w:t>
      </w:r>
      <w:r>
        <w:rPr>
          <w:rFonts w:hint="eastAsia" w:ascii="仿宋_GB2312" w:hAnsi="仿宋_GB2312" w:eastAsia="仿宋_GB2312" w:cs="仿宋_GB2312"/>
          <w:kern w:val="2"/>
          <w:sz w:val="32"/>
          <w:szCs w:val="32"/>
          <w:lang w:eastAsia="zh-CN" w:bidi="ar-SA"/>
        </w:rPr>
        <w:t>，</w:t>
      </w:r>
      <w:r>
        <w:rPr>
          <w:rFonts w:ascii="仿宋_GB2312" w:hAnsi="仿宋_GB2312" w:eastAsia="仿宋_GB2312" w:cs="仿宋_GB2312"/>
          <w:kern w:val="2"/>
          <w:sz w:val="32"/>
          <w:szCs w:val="32"/>
          <w:lang w:bidi="ar-SA"/>
        </w:rPr>
        <w:t>细化可细化</w:t>
      </w:r>
      <w:r>
        <w:rPr>
          <w:rFonts w:hint="eastAsia" w:ascii="仿宋_GB2312" w:hAnsi="仿宋_GB2312" w:eastAsia="仿宋_GB2312" w:cs="仿宋_GB2312"/>
          <w:kern w:val="2"/>
          <w:sz w:val="32"/>
          <w:szCs w:val="32"/>
          <w:lang w:val="en-US" w:eastAsia="zh-CN" w:bidi="ar-SA"/>
        </w:rPr>
        <w:t>成本</w:t>
      </w:r>
      <w:r>
        <w:rPr>
          <w:rFonts w:ascii="仿宋_GB2312" w:hAnsi="仿宋_GB2312" w:eastAsia="仿宋_GB2312" w:cs="仿宋_GB2312"/>
          <w:kern w:val="2"/>
          <w:sz w:val="32"/>
          <w:szCs w:val="32"/>
          <w:lang w:bidi="ar-SA"/>
        </w:rPr>
        <w:t>指标，强调投入与产出的关系，全面评估投入成本，</w:t>
      </w:r>
      <w:r>
        <w:rPr>
          <w:rFonts w:hint="eastAsia" w:ascii="仿宋_GB2312" w:hAnsi="仿宋_GB2312" w:eastAsia="仿宋_GB2312" w:cs="仿宋_GB2312"/>
          <w:kern w:val="2"/>
          <w:sz w:val="32"/>
          <w:szCs w:val="32"/>
          <w:lang w:val="en-US" w:eastAsia="zh-CN" w:bidi="ar-SA"/>
        </w:rPr>
        <w:t>提升</w:t>
      </w:r>
      <w:r>
        <w:rPr>
          <w:rFonts w:ascii="仿宋_GB2312" w:hAnsi="仿宋_GB2312" w:eastAsia="仿宋_GB2312" w:cs="仿宋_GB2312"/>
          <w:kern w:val="2"/>
          <w:sz w:val="32"/>
          <w:szCs w:val="32"/>
          <w:lang w:bidi="ar-SA"/>
        </w:rPr>
        <w:t>财政资金投入</w:t>
      </w:r>
      <w:r>
        <w:rPr>
          <w:rFonts w:hint="eastAsia" w:ascii="仿宋_GB2312" w:hAnsi="仿宋_GB2312" w:eastAsia="仿宋_GB2312" w:cs="仿宋_GB2312"/>
          <w:kern w:val="2"/>
          <w:sz w:val="32"/>
          <w:szCs w:val="32"/>
          <w:lang w:val="en-US" w:eastAsia="zh-CN" w:bidi="ar-SA"/>
        </w:rPr>
        <w:t>绩效。</w:t>
      </w:r>
    </w:p>
    <w:p>
      <w:pPr>
        <w:pStyle w:val="2"/>
        <w:pageBreakBefore w:val="0"/>
        <w:widowControl w:val="0"/>
        <w:kinsoku/>
        <w:wordWrap/>
        <w:overflowPunct/>
        <w:topLinePunct w:val="0"/>
        <w:autoSpaceDE/>
        <w:autoSpaceDN/>
        <w:bidi w:val="0"/>
        <w:adjustRightInd/>
        <w:spacing w:line="560" w:lineRule="exact"/>
        <w:textAlignment w:val="auto"/>
        <w:rPr>
          <w:rFonts w:hint="eastAsia" w:ascii="仿宋_GB2312" w:hAnsi="宋体" w:eastAsia="仿宋_GB2312" w:cs="仿宋_GB2312"/>
          <w:color w:val="000000"/>
          <w:kern w:val="2"/>
          <w:sz w:val="32"/>
          <w:szCs w:val="32"/>
          <w:lang w:val="en-US" w:eastAsia="zh-CN"/>
        </w:rPr>
      </w:pPr>
      <w:r>
        <w:rPr>
          <w:rFonts w:hint="eastAsia" w:ascii="仿宋_GB2312" w:hAnsi="仿宋_GB2312" w:eastAsia="仿宋_GB2312" w:cs="仿宋_GB2312"/>
          <w:kern w:val="2"/>
          <w:sz w:val="32"/>
          <w:szCs w:val="32"/>
          <w:lang w:val="en-US" w:eastAsia="zh-CN" w:bidi="ar-SA"/>
        </w:rPr>
        <w:t>3、加大事前评估力度，从源头优化财政资金。</w:t>
      </w:r>
      <w:r>
        <w:rPr>
          <w:rFonts w:ascii="仿宋_GB2312" w:hAnsi="宋体" w:eastAsia="仿宋_GB2312" w:cs="仿宋_GB2312"/>
          <w:color w:val="000000"/>
          <w:kern w:val="2"/>
          <w:sz w:val="32"/>
          <w:szCs w:val="32"/>
        </w:rPr>
        <w:t>我局结合零基预算改革，以</w:t>
      </w:r>
      <w:r>
        <w:rPr>
          <w:rFonts w:hint="default" w:ascii="仿宋_GB2312" w:hAnsi="宋体" w:eastAsia="仿宋_GB2312" w:cs="仿宋_GB2312"/>
          <w:color w:val="000000"/>
          <w:kern w:val="2"/>
          <w:sz w:val="32"/>
          <w:szCs w:val="32"/>
        </w:rPr>
        <w:t>2025年预算编制为契机，</w:t>
      </w:r>
      <w:r>
        <w:rPr>
          <w:rFonts w:hint="eastAsia" w:ascii="仿宋_GB2312" w:hAnsi="宋体" w:eastAsia="仿宋_GB2312" w:cs="仿宋_GB2312"/>
          <w:color w:val="000000"/>
          <w:kern w:val="2"/>
          <w:sz w:val="32"/>
          <w:szCs w:val="32"/>
          <w:lang w:val="en-US" w:eastAsia="zh-CN"/>
        </w:rPr>
        <w:t>进一步强化项目可行性论证，确保每一笔资金投入都经过严格的科学评估。通过建立多层次的评估体系，不仅对项目的必要性、合理性和预期效果进行深入分析，还对项目的风险进行全方位评估，从而确保资金投向更加精准高效。此外，我们积极引入外部专家评审机制，借助专业力量提升评估质量，确保评估结果的客观性和公正性。通过这些措施，有效提升了财政资金的使用效益，为全市经济社会高质量发展提供了坚实保障。</w:t>
      </w:r>
    </w:p>
    <w:p>
      <w:pPr>
        <w:pageBreakBefore w:val="0"/>
        <w:widowControl w:val="0"/>
        <w:kinsoku/>
        <w:wordWrap/>
        <w:overflowPunct/>
        <w:topLinePunct w:val="0"/>
        <w:autoSpaceDE/>
        <w:autoSpaceDN/>
        <w:bidi w:val="0"/>
        <w:adjustRightInd/>
        <w:spacing w:line="560" w:lineRule="exact"/>
        <w:textAlignment w:val="auto"/>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4417AED-30E0-4E40-9462-B0053854621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2" w:fontKey="{7AAB14B1-A0F0-4AF4-85BB-7F6B3DD334BA}"/>
  </w:font>
  <w:font w:name="仿宋_GB2312">
    <w:panose1 w:val="02010609030101010101"/>
    <w:charset w:val="86"/>
    <w:family w:val="auto"/>
    <w:pitch w:val="default"/>
    <w:sig w:usb0="00000001" w:usb1="080E0000" w:usb2="00000000" w:usb3="00000000" w:csb0="00040000" w:csb1="00000000"/>
    <w:embedRegular r:id="rId3" w:fontKey="{94AD20EB-832A-42C4-8A57-CE23B00F1B15}"/>
  </w:font>
  <w:font w:name="仿宋">
    <w:panose1 w:val="02010609060101010101"/>
    <w:charset w:val="86"/>
    <w:family w:val="auto"/>
    <w:pitch w:val="default"/>
    <w:sig w:usb0="800002BF" w:usb1="38CF7CFA" w:usb2="00000016" w:usb3="00000000" w:csb0="00040001" w:csb1="00000000"/>
    <w:embedRegular r:id="rId4" w:fontKey="{044E9A57-7505-4218-9C44-CBEEE9D731D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lNTM2OTM0NmYwMDMwOWM3NjBlYWQ3NzM1NTdjZjYifQ=="/>
    <w:docVar w:name="KSO_WPS_MARK_KEY" w:val="042ef181-8f70-47ed-a6d9-0ba09db5c9e7"/>
  </w:docVars>
  <w:rsids>
    <w:rsidRoot w:val="00000000"/>
    <w:rsid w:val="0021020D"/>
    <w:rsid w:val="035C0392"/>
    <w:rsid w:val="0539563E"/>
    <w:rsid w:val="09E162A4"/>
    <w:rsid w:val="16F864EB"/>
    <w:rsid w:val="26593C28"/>
    <w:rsid w:val="27420144"/>
    <w:rsid w:val="29271BFF"/>
    <w:rsid w:val="2C4A4E33"/>
    <w:rsid w:val="2C6721E1"/>
    <w:rsid w:val="2CD43D98"/>
    <w:rsid w:val="2E7A6903"/>
    <w:rsid w:val="36F84359"/>
    <w:rsid w:val="3E2017AF"/>
    <w:rsid w:val="3E3055FF"/>
    <w:rsid w:val="41586EB9"/>
    <w:rsid w:val="43740F5C"/>
    <w:rsid w:val="479B6B89"/>
    <w:rsid w:val="49C0607B"/>
    <w:rsid w:val="4E9569A3"/>
    <w:rsid w:val="4F751E23"/>
    <w:rsid w:val="57BA7813"/>
    <w:rsid w:val="590333F5"/>
    <w:rsid w:val="5BC24A68"/>
    <w:rsid w:val="5C79279D"/>
    <w:rsid w:val="5D6B3030"/>
    <w:rsid w:val="5DD31ABD"/>
    <w:rsid w:val="618C6DB7"/>
    <w:rsid w:val="66BC3E54"/>
    <w:rsid w:val="6D7B358A"/>
    <w:rsid w:val="6DAB4A5A"/>
    <w:rsid w:val="6E585CEA"/>
    <w:rsid w:val="705A140E"/>
    <w:rsid w:val="73191DE6"/>
    <w:rsid w:val="79485FB8"/>
    <w:rsid w:val="7BF440CB"/>
    <w:rsid w:val="7C392EC9"/>
    <w:rsid w:val="7C665431"/>
    <w:rsid w:val="7F3221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2071</Words>
  <Characters>2182</Characters>
  <Lines>0</Lines>
  <Paragraphs>0</Paragraphs>
  <TotalTime>79</TotalTime>
  <ScaleCrop>false</ScaleCrop>
  <LinksUpToDate>false</LinksUpToDate>
  <CharactersWithSpaces>2182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2024-12-16T00:32:00Z</dcterms:created>
  <dc:creator>86150</dc:creator>
  <cp:lastModifiedBy>1402836399</cp:lastModifiedBy>
  <dcterms:modified xsi:type="dcterms:W3CDTF">2025-01-22T06:08:52Z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201891EC9B4B455AB8D2535579B5FC9E</vt:lpwstr>
  </property>
  <property fmtid="{D5CDD505-2E9C-101B-9397-08002B2CF9AE}" pid="4" name="KSOTemplateDocerSaveRecord">
    <vt:lpwstr>eyJoZGlkIjoiOWFmYmRmOTI1OTFhYWNlYjE1OTk4MGEzMGExZDU1YzkiLCJ1c2VySWQiOiI3MDQ2MDAwOTkifQ==</vt:lpwstr>
  </property>
</Properties>
</file>