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560" w:lineRule="exact"/>
        <w:rPr>
          <w:rFonts w:ascii="仿宋" w:hAnsi="仿宋" w:eastAsia="仿宋" w:cs="仿宋"/>
          <w:sz w:val="32"/>
          <w:szCs w:val="32"/>
        </w:rPr>
      </w:pPr>
    </w:p>
    <w:p>
      <w:pPr>
        <w:spacing w:line="560" w:lineRule="exact"/>
        <w:jc w:val="center"/>
        <w:rPr>
          <w:rFonts w:ascii="仿宋" w:hAnsi="仿宋" w:eastAsia="仿宋" w:cs="仿宋"/>
          <w:sz w:val="32"/>
          <w:szCs w:val="32"/>
        </w:rPr>
      </w:pPr>
      <w:r>
        <w:rPr>
          <w:rFonts w:hint="eastAsia" w:asciiTheme="minorEastAsia" w:hAnsiTheme="minorEastAsia" w:eastAsiaTheme="minorEastAsia" w:cstheme="minorEastAsia"/>
          <w:b/>
          <w:bCs/>
          <w:sz w:val="44"/>
          <w:szCs w:val="44"/>
        </w:rPr>
        <w:t>邵阳市财政局关于开展邵阳市大祥坪体育馆公共停车场项目债券资金绩效评价报告</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为全面贯彻落实中共中央、国务院关于全面实施预算绩效管理的决策部署，进一步加强和规范专项资金的管理，切实提高专项资金使用效益，根据《中华人民共和国预算法》《中共中央 国务院关于全面实施预算绩效管理的意见》《中共湖南省委办公厅 湖南省人民政府办公厅关于全面实施预算绩效管理的实施意见》等文件为评价依据，湖南诚悦达会计师事务所（普通合伙）根据《邵阳市财政局关于开展邵阳市大祥坪体育馆公共停车场项目债券资金绩效评价工作的通知》（邵财绩〔2023〕17号），对邵阳市大祥坪体育馆公共停车场项目债券资金的管理使用效果进行绩效评价，现就绩效评价情况报告如下：</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0" w:name="_Toc467"/>
      <w:r>
        <w:rPr>
          <w:rFonts w:hint="eastAsia" w:ascii="黑体" w:hAnsi="黑体" w:eastAsia="黑体" w:cs="黑体"/>
          <w:b/>
          <w:bCs/>
          <w:color w:val="000000"/>
          <w:sz w:val="32"/>
          <w:szCs w:val="32"/>
        </w:rPr>
        <w:t>一、基本情况</w:t>
      </w:r>
      <w:bookmarkEnd w:id="0"/>
    </w:p>
    <w:p>
      <w:pPr>
        <w:spacing w:line="560" w:lineRule="exact"/>
        <w:ind w:firstLine="643" w:firstLineChars="200"/>
        <w:outlineLvl w:val="1"/>
        <w:rPr>
          <w:rFonts w:ascii="仿宋" w:hAnsi="仿宋" w:eastAsia="仿宋" w:cs="仿宋"/>
          <w:bCs/>
          <w:color w:val="000000"/>
          <w:sz w:val="32"/>
          <w:szCs w:val="32"/>
        </w:rPr>
      </w:pPr>
      <w:bookmarkStart w:id="1" w:name="_Toc26236"/>
      <w:r>
        <w:rPr>
          <w:rFonts w:hint="eastAsia" w:ascii="楷体" w:hAnsi="楷体" w:eastAsia="楷体" w:cs="楷体"/>
          <w:b/>
          <w:color w:val="000000"/>
          <w:sz w:val="32"/>
          <w:szCs w:val="32"/>
        </w:rPr>
        <w:t>（一）项目概况</w:t>
      </w:r>
      <w:bookmarkEnd w:id="1"/>
    </w:p>
    <w:p>
      <w:pPr>
        <w:spacing w:line="560" w:lineRule="exact"/>
        <w:ind w:firstLine="643" w:firstLineChars="200"/>
        <w:outlineLvl w:val="2"/>
        <w:rPr>
          <w:rFonts w:ascii="仿宋" w:hAnsi="仿宋" w:eastAsia="仿宋" w:cs="仿宋"/>
          <w:b/>
          <w:bCs/>
          <w:color w:val="000000"/>
          <w:sz w:val="32"/>
          <w:szCs w:val="32"/>
        </w:rPr>
      </w:pPr>
      <w:bookmarkStart w:id="2" w:name="_Toc27208"/>
      <w:r>
        <w:rPr>
          <w:rFonts w:hint="eastAsia" w:ascii="仿宋" w:hAnsi="仿宋" w:eastAsia="仿宋" w:cs="仿宋"/>
          <w:b/>
          <w:bCs/>
          <w:color w:val="000000"/>
          <w:sz w:val="32"/>
          <w:szCs w:val="32"/>
        </w:rPr>
        <w:t>1.项目背景</w:t>
      </w:r>
      <w:bookmarkEnd w:id="2"/>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为进一步改善城市出行基础设施条件，推动城市高质量发展，湖南省住房和城乡建设厅印发《关于进一步完善城市道路功能推进停车设施建设的通知》（湘建城函〔2019〕280 号），指导各地通过积极增加停车场用地供给，拓展停车场建设资源渠道，推进停车场智能改造等方式，加快推进城市停车设施建设。目前邵阳城区公共停车场缺乏，大祥坪体育馆位于邵阳市大祥区人民路南段路侧，属于商业、医院和办公等设施集中区域，人流量大停车需求大，因处于老城区，街道路面狭窄拓展空间早已压榨干净。为有效解决大祥坪体育馆周边停车难的问题，实施了大祥坪体育馆公共停车场项目。</w:t>
      </w:r>
    </w:p>
    <w:p>
      <w:pPr>
        <w:spacing w:line="560" w:lineRule="exact"/>
        <w:ind w:firstLine="643" w:firstLineChars="200"/>
        <w:outlineLvl w:val="2"/>
        <w:rPr>
          <w:rFonts w:ascii="仿宋" w:hAnsi="仿宋" w:eastAsia="仿宋" w:cs="仿宋"/>
          <w:b/>
          <w:bCs/>
          <w:color w:val="000000"/>
          <w:sz w:val="32"/>
          <w:szCs w:val="32"/>
        </w:rPr>
      </w:pPr>
      <w:bookmarkStart w:id="3" w:name="_Toc27005"/>
      <w:r>
        <w:rPr>
          <w:rFonts w:hint="eastAsia" w:ascii="仿宋" w:hAnsi="仿宋" w:eastAsia="仿宋" w:cs="仿宋"/>
          <w:b/>
          <w:bCs/>
          <w:color w:val="000000"/>
          <w:sz w:val="32"/>
          <w:szCs w:val="32"/>
        </w:rPr>
        <w:t>2.主要内容</w:t>
      </w:r>
      <w:bookmarkEnd w:id="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邵阳市大祥坪体育馆公共停车场项目位于红旗路/乾元巷交叉口东南角，总建筑面积 25959.24㎡，其中地下停车场24584.97 ㎡，地上配套附属用房1374.27 ㎡。项目建成后新增停车位 741 个，充电桩（车位）238 个，并配套建设给排水、供配电、消防等配套基础设施。</w:t>
      </w:r>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rPr>
        <w:t>项目总投资约23263.64万元，其中工程费用约18513.12万元，工程建设其他费用约1817.46万元，预备费约2033.06万元，建设期利息900.00万元。资金来源为单</w:t>
      </w:r>
      <w:r>
        <w:rPr>
          <w:rFonts w:hint="eastAsia" w:ascii="仿宋" w:hAnsi="仿宋" w:eastAsia="仿宋" w:cs="仿宋"/>
          <w:sz w:val="32"/>
          <w:szCs w:val="32"/>
          <w:highlight w:val="none"/>
        </w:rPr>
        <w:t>位自筹及申请专项债券资金，其中项目单位自筹 8263.64 万元（将根据项目进度逐步到位）；拟申请专项债券资金15000.00万元。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highlight w:val="none"/>
        </w:rPr>
        <w:t>项目计划工期 24 个月，预计于 2021 年</w:t>
      </w:r>
      <w:r>
        <w:rPr>
          <w:rFonts w:hint="eastAsia" w:ascii="仿宋" w:hAnsi="仿宋" w:eastAsia="仿宋" w:cs="仿宋"/>
          <w:sz w:val="32"/>
          <w:szCs w:val="32"/>
        </w:rPr>
        <w:t xml:space="preserve"> 11 月施工建设，2023 年 10 月底竣工。</w:t>
      </w:r>
    </w:p>
    <w:p>
      <w:pPr>
        <w:spacing w:line="560" w:lineRule="exact"/>
        <w:ind w:firstLine="643" w:firstLineChars="200"/>
        <w:outlineLvl w:val="2"/>
        <w:rPr>
          <w:rFonts w:ascii="仿宋" w:hAnsi="仿宋" w:eastAsia="仿宋" w:cs="仿宋"/>
          <w:b/>
          <w:bCs/>
          <w:color w:val="000000"/>
          <w:sz w:val="32"/>
          <w:szCs w:val="32"/>
        </w:rPr>
      </w:pPr>
      <w:bookmarkStart w:id="4" w:name="_Toc11327"/>
      <w:r>
        <w:rPr>
          <w:rFonts w:hint="eastAsia" w:ascii="仿宋" w:hAnsi="仿宋" w:eastAsia="仿宋" w:cs="仿宋"/>
          <w:b/>
          <w:bCs/>
          <w:color w:val="000000"/>
          <w:sz w:val="32"/>
          <w:szCs w:val="32"/>
        </w:rPr>
        <w:t>3.项目实施情况</w:t>
      </w:r>
      <w:bookmarkEnd w:id="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主管单位为邵阳市国有资产监督管理委员会，项目实施单位为邵阳市城市建设投资经营集团有限公司，项目施工及设计单位为中交一公局集团有限公司、中交一公局桥隧工程有限公司、中船第九设计研究院工程有限公司。</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于2019年7月22日取得邵阳市发展和改革会《关于邵阳市智慧静态停车场及充电桩项目核准的批复》（邵市发改投〔2019〕195号）；2019年12月26日挂网招标，确定中交一公局集团有限公司、中交一公局桥隧工程有限公司、中船第九设计研究院工程有限公司三家联合体为项目建设方；2021年5月19日取得邵阳市发展和改革会《关于同意调整邵阳市大祥坪体育馆公共停车场项目建设内容及规模的通知》（邵市发改投〔2021〕93号）；2021年6月9日取得邵阳市自然资源和规划局颁发的建设用地规划许可证；2021年11月3日取得邵阳市住房和城乡建设局颁发的建筑工程临时施工许可证，项目开工；2022年5月25日取得邵阳市住房和城乡建设局颁发的建筑工程施工许可证。</w:t>
      </w:r>
    </w:p>
    <w:p>
      <w:pPr>
        <w:spacing w:line="56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截至2023年7月评价组实地察看项目主体建设及周边绿化乔木基本栽植完成，地下室卫生正在打扫清理。项目预计2023年8月底竣工投入使用。</w:t>
      </w:r>
    </w:p>
    <w:p>
      <w:pPr>
        <w:spacing w:line="560" w:lineRule="exact"/>
        <w:ind w:firstLine="643" w:firstLineChars="200"/>
        <w:outlineLvl w:val="2"/>
        <w:rPr>
          <w:rFonts w:ascii="仿宋" w:hAnsi="仿宋" w:eastAsia="仿宋" w:cs="仿宋"/>
          <w:b/>
          <w:bCs/>
          <w:color w:val="000000"/>
          <w:sz w:val="32"/>
          <w:szCs w:val="32"/>
        </w:rPr>
      </w:pPr>
      <w:bookmarkStart w:id="5" w:name="_Toc16966"/>
      <w:r>
        <w:rPr>
          <w:rFonts w:hint="eastAsia" w:ascii="仿宋" w:hAnsi="仿宋" w:eastAsia="仿宋" w:cs="仿宋"/>
          <w:b/>
          <w:bCs/>
          <w:color w:val="000000"/>
          <w:sz w:val="32"/>
          <w:szCs w:val="32"/>
        </w:rPr>
        <w:t>4.资金投入和使用情况</w:t>
      </w:r>
      <w:bookmarkEnd w:id="5"/>
    </w:p>
    <w:p>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rPr>
        <w:t>项目计划总投资约23263.64万元</w:t>
      </w:r>
      <w:r>
        <w:rPr>
          <w:rFonts w:hint="eastAsia" w:ascii="仿宋" w:hAnsi="仿宋" w:eastAsia="仿宋" w:cs="仿宋"/>
          <w:sz w:val="32"/>
          <w:szCs w:val="32"/>
          <w:highlight w:val="none"/>
        </w:rPr>
        <w:t>。截至2023年6月30日邵阳市城市建设投资经营集团有限公司实际已投入资金8582.07万元。其中：自筹资金投入2082.07万元，专债资金投入6500.00万元。</w:t>
      </w:r>
    </w:p>
    <w:p>
      <w:pPr>
        <w:spacing w:line="560" w:lineRule="exact"/>
        <w:jc w:val="center"/>
        <w:rPr>
          <w:rFonts w:ascii="仿宋" w:hAnsi="仿宋" w:eastAsia="仿宋" w:cs="仿宋"/>
          <w:sz w:val="32"/>
          <w:szCs w:val="32"/>
        </w:rPr>
      </w:pPr>
      <w:bookmarkStart w:id="6" w:name="_Toc11026"/>
      <w:bookmarkStart w:id="7" w:name="_Toc26277"/>
      <w:r>
        <w:rPr>
          <w:rFonts w:hint="eastAsia" w:ascii="楷体" w:hAnsi="楷体" w:eastAsia="楷体" w:cs="楷体"/>
          <w:spacing w:val="8"/>
          <w:sz w:val="32"/>
          <w:szCs w:val="32"/>
        </w:rPr>
        <w:t>资金使用情况明细表</w:t>
      </w:r>
      <w:bookmarkEnd w:id="6"/>
      <w:bookmarkEnd w:id="7"/>
    </w:p>
    <w:p>
      <w:pPr>
        <w:spacing w:before="106" w:line="560" w:lineRule="exact"/>
        <w:ind w:left="7059"/>
        <w:jc w:val="right"/>
        <w:rPr>
          <w:rFonts w:ascii="楷体" w:hAnsi="楷体" w:eastAsia="楷体" w:cs="楷体"/>
          <w:spacing w:val="7"/>
          <w:sz w:val="28"/>
          <w:szCs w:val="28"/>
        </w:rPr>
      </w:pPr>
      <w:r>
        <w:rPr>
          <w:rFonts w:hint="eastAsia" w:ascii="楷体" w:hAnsi="楷体" w:eastAsia="楷体" w:cs="楷体"/>
          <w:spacing w:val="8"/>
          <w:sz w:val="28"/>
          <w:szCs w:val="28"/>
        </w:rPr>
        <w:t>单</w:t>
      </w:r>
      <w:r>
        <w:rPr>
          <w:rFonts w:hint="eastAsia" w:ascii="楷体" w:hAnsi="楷体" w:eastAsia="楷体" w:cs="楷体"/>
          <w:spacing w:val="7"/>
          <w:sz w:val="28"/>
          <w:szCs w:val="28"/>
        </w:rPr>
        <w:t>位：万元</w:t>
      </w:r>
    </w:p>
    <w:tbl>
      <w:tblPr>
        <w:tblStyle w:val="12"/>
        <w:tblW w:w="8982" w:type="dxa"/>
        <w:tblInd w:w="0" w:type="dxa"/>
        <w:tblLayout w:type="autofit"/>
        <w:tblCellMar>
          <w:top w:w="0" w:type="dxa"/>
          <w:left w:w="108" w:type="dxa"/>
          <w:bottom w:w="0" w:type="dxa"/>
          <w:right w:w="108" w:type="dxa"/>
        </w:tblCellMar>
      </w:tblPr>
      <w:tblGrid>
        <w:gridCol w:w="3794"/>
        <w:gridCol w:w="1843"/>
        <w:gridCol w:w="1559"/>
        <w:gridCol w:w="1786"/>
      </w:tblGrid>
      <w:tr>
        <w:tblPrEx>
          <w:tblCellMar>
            <w:top w:w="0" w:type="dxa"/>
            <w:left w:w="108" w:type="dxa"/>
            <w:bottom w:w="0" w:type="dxa"/>
            <w:right w:w="108" w:type="dxa"/>
          </w:tblCellMar>
        </w:tblPrEx>
        <w:trPr>
          <w:trHeight w:val="268" w:hRule="atLeast"/>
        </w:trPr>
        <w:tc>
          <w:tcPr>
            <w:tcW w:w="379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施工或收款单位</w:t>
            </w:r>
          </w:p>
        </w:tc>
        <w:tc>
          <w:tcPr>
            <w:tcW w:w="1843"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内容</w:t>
            </w:r>
          </w:p>
        </w:tc>
        <w:tc>
          <w:tcPr>
            <w:tcW w:w="1559"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合同金额</w:t>
            </w:r>
          </w:p>
        </w:tc>
        <w:tc>
          <w:tcPr>
            <w:tcW w:w="178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实付金额</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湖南楚嘉工程咨询有限公司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监理费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208.60</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104.30</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湖南金鼎建筑设计研究院</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设计费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28.80</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28.80</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邵阳市城建测绘有限公司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测绘费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0.20</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0.20</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邵阳市城市规划建筑设计(集团)有限公司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规划设计费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13.49</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13.49</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邵阳市城市规划建筑设计(集团)有限公司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景观设计费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19.82</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19.82</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邵阳市城市规划设计研究院</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规划设计费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8.00</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8.00</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邵阳市城市规划设计研究院</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可行性研究编制费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18.00</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18.00</w:t>
            </w:r>
          </w:p>
        </w:tc>
      </w:tr>
      <w:tr>
        <w:tblPrEx>
          <w:tblCellMar>
            <w:top w:w="0" w:type="dxa"/>
            <w:left w:w="108" w:type="dxa"/>
            <w:bottom w:w="0" w:type="dxa"/>
            <w:right w:w="108" w:type="dxa"/>
          </w:tblCellMar>
        </w:tblPrEx>
        <w:trPr>
          <w:trHeight w:val="1502"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邵阳市住房和城乡建设局</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城市基础设施配套费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162.12</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162.12</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中船第九设计研究院工程有限公司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勘察设计费</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578.19</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45.43</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中交一公局桥隧工程有限公司</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hint="eastAsia" w:ascii="仿宋" w:hAnsi="仿宋" w:eastAsia="仿宋" w:cs="Arial"/>
                <w:kern w:val="0"/>
                <w:sz w:val="28"/>
                <w:szCs w:val="28"/>
              </w:rPr>
              <w:t>建安费用</w:t>
            </w: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21222.45</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8181.91</w:t>
            </w:r>
          </w:p>
        </w:tc>
      </w:tr>
      <w:tr>
        <w:tblPrEx>
          <w:tblCellMar>
            <w:top w:w="0" w:type="dxa"/>
            <w:left w:w="108" w:type="dxa"/>
            <w:bottom w:w="0" w:type="dxa"/>
            <w:right w:w="108" w:type="dxa"/>
          </w:tblCellMar>
        </w:tblPrEx>
        <w:trPr>
          <w:trHeight w:val="236" w:hRule="atLeast"/>
        </w:trPr>
        <w:tc>
          <w:tcPr>
            <w:tcW w:w="379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仿宋" w:hAnsi="仿宋" w:eastAsia="仿宋" w:cs="Arial"/>
                <w:kern w:val="0"/>
                <w:sz w:val="28"/>
                <w:szCs w:val="28"/>
              </w:rPr>
            </w:pPr>
            <w:r>
              <w:rPr>
                <w:rFonts w:ascii="仿宋" w:hAnsi="仿宋" w:eastAsia="仿宋" w:cs="Arial"/>
                <w:kern w:val="0"/>
                <w:sz w:val="28"/>
                <w:szCs w:val="28"/>
              </w:rPr>
              <w:t>总计</w:t>
            </w:r>
          </w:p>
        </w:tc>
        <w:tc>
          <w:tcPr>
            <w:tcW w:w="1843"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p>
        </w:tc>
        <w:tc>
          <w:tcPr>
            <w:tcW w:w="1559"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22259.67</w:t>
            </w:r>
          </w:p>
        </w:tc>
        <w:tc>
          <w:tcPr>
            <w:tcW w:w="1786" w:type="dxa"/>
            <w:tcBorders>
              <w:top w:val="nil"/>
              <w:left w:val="nil"/>
              <w:bottom w:val="single" w:color="auto" w:sz="4" w:space="0"/>
              <w:right w:val="single" w:color="auto" w:sz="4" w:space="0"/>
            </w:tcBorders>
            <w:shd w:val="clear" w:color="auto" w:fill="auto"/>
            <w:noWrap/>
            <w:vAlign w:val="bottom"/>
          </w:tcPr>
          <w:p>
            <w:pPr>
              <w:widowControl/>
              <w:jc w:val="center"/>
              <w:rPr>
                <w:rFonts w:ascii="仿宋" w:hAnsi="仿宋" w:eastAsia="仿宋" w:cs="Arial"/>
                <w:kern w:val="0"/>
                <w:sz w:val="28"/>
                <w:szCs w:val="28"/>
              </w:rPr>
            </w:pPr>
            <w:r>
              <w:rPr>
                <w:rFonts w:ascii="仿宋" w:hAnsi="仿宋" w:eastAsia="仿宋" w:cs="Arial"/>
                <w:kern w:val="0"/>
                <w:sz w:val="28"/>
                <w:szCs w:val="28"/>
              </w:rPr>
              <w:t>8582.07</w:t>
            </w:r>
          </w:p>
        </w:tc>
      </w:tr>
    </w:tbl>
    <w:p>
      <w:pPr>
        <w:spacing w:line="560" w:lineRule="exact"/>
        <w:ind w:firstLine="640" w:firstLineChars="200"/>
        <w:outlineLvl w:val="1"/>
        <w:rPr>
          <w:rFonts w:ascii="仿宋" w:hAnsi="仿宋" w:eastAsia="仿宋" w:cs="仿宋"/>
          <w:sz w:val="32"/>
          <w:szCs w:val="32"/>
        </w:rPr>
      </w:pPr>
      <w:bookmarkStart w:id="8" w:name="_Toc18171"/>
      <w:r>
        <w:rPr>
          <w:rFonts w:hint="eastAsia" w:ascii="仿宋" w:hAnsi="仿宋" w:eastAsia="仿宋" w:cs="仿宋"/>
          <w:sz w:val="32"/>
          <w:szCs w:val="32"/>
        </w:rPr>
        <w:t>备注：主体工程建安费用合同金额为21222.45万元,截至2023年5月,施工方申报已累计完成产值 12708.78万元。</w:t>
      </w:r>
      <w:bookmarkEnd w:id="8"/>
    </w:p>
    <w:p>
      <w:pPr>
        <w:spacing w:line="560" w:lineRule="exact"/>
        <w:ind w:firstLine="643" w:firstLineChars="200"/>
        <w:outlineLvl w:val="1"/>
        <w:rPr>
          <w:rFonts w:ascii="楷体" w:hAnsi="楷体" w:eastAsia="楷体" w:cs="楷体"/>
          <w:b/>
          <w:color w:val="000000"/>
          <w:sz w:val="32"/>
          <w:szCs w:val="32"/>
        </w:rPr>
      </w:pPr>
      <w:bookmarkStart w:id="9" w:name="_Toc32621"/>
      <w:r>
        <w:rPr>
          <w:rFonts w:hint="eastAsia" w:ascii="楷体" w:hAnsi="楷体" w:eastAsia="楷体" w:cs="楷体"/>
          <w:b/>
          <w:color w:val="000000"/>
          <w:sz w:val="32"/>
          <w:szCs w:val="32"/>
        </w:rPr>
        <w:t>（二）债券资金与项目管理情况</w:t>
      </w:r>
      <w:bookmarkEnd w:id="9"/>
    </w:p>
    <w:p>
      <w:pPr>
        <w:spacing w:line="560" w:lineRule="exact"/>
        <w:ind w:firstLine="643" w:firstLineChars="200"/>
        <w:outlineLvl w:val="2"/>
        <w:rPr>
          <w:rFonts w:ascii="仿宋" w:hAnsi="仿宋" w:eastAsia="仿宋" w:cs="仿宋"/>
          <w:b/>
          <w:bCs/>
          <w:sz w:val="32"/>
          <w:szCs w:val="32"/>
        </w:rPr>
      </w:pPr>
      <w:bookmarkStart w:id="10" w:name="_Toc29074"/>
      <w:r>
        <w:rPr>
          <w:rFonts w:hint="eastAsia" w:ascii="仿宋" w:hAnsi="仿宋" w:eastAsia="仿宋" w:cs="仿宋"/>
          <w:b/>
          <w:bCs/>
          <w:sz w:val="32"/>
          <w:szCs w:val="32"/>
        </w:rPr>
        <w:t>1.债券资金发行情况</w:t>
      </w:r>
      <w:bookmarkEnd w:id="10"/>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项目专项债券资金总需求15,000.00万元，发行期限20年，该项目收入主要来源于停车位收入、充电桩充电服务费收入、广告位收入、体育健身中心出租收入，债券存续期内，项目预期总收入3.85亿元，预期总成本0.64亿元，项目净收益即可用于融资平衡的资金为3.2亿元。本次20年期债券的预测利率按3.86%,债券存续期内本息共计2.66亿元，相关收益对债券本息的覆盖倍数为1.21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该项目已通过国家发改委和财政部的审核，符合专项债的发行条件，在本着项目建设资金需求精准平衡、债券资金不趴账的原则，项目实施单位在2</w:t>
      </w:r>
      <w:r>
        <w:rPr>
          <w:rFonts w:ascii="仿宋" w:hAnsi="仿宋" w:eastAsia="仿宋" w:cs="仿宋"/>
          <w:sz w:val="32"/>
          <w:szCs w:val="32"/>
        </w:rPr>
        <w:t>022</w:t>
      </w:r>
      <w:r>
        <w:rPr>
          <w:rFonts w:hint="eastAsia" w:ascii="仿宋" w:hAnsi="仿宋" w:eastAsia="仿宋" w:cs="仿宋"/>
          <w:sz w:val="32"/>
          <w:szCs w:val="32"/>
        </w:rPr>
        <w:t>年向市财政局申请发行债券8</w:t>
      </w:r>
      <w:r>
        <w:rPr>
          <w:rFonts w:ascii="仿宋" w:hAnsi="仿宋" w:eastAsia="仿宋" w:cs="仿宋"/>
          <w:sz w:val="32"/>
          <w:szCs w:val="32"/>
        </w:rPr>
        <w:t>000</w:t>
      </w:r>
      <w:r>
        <w:rPr>
          <w:rFonts w:hint="eastAsia" w:ascii="仿宋" w:hAnsi="仿宋" w:eastAsia="仿宋" w:cs="仿宋"/>
          <w:sz w:val="32"/>
          <w:szCs w:val="32"/>
        </w:rPr>
        <w:t>万元，其中： 2022年1月发行专项债券5,000万元，债券名称为2022年湖南省交通基础设施建设专项债券(二期)-2022年湖南省政府专项债券(二)期，发行期限为20年，票面利率3.28%，付息频率为每半年一次，到期偿还本金；2022年10月发行专项债券3,000.00万元，发行期限为20年，票面利率3.53%，付息频率为每半年一次，到期偿还本金。2023年度拟申请发行7,000.00万元。</w:t>
      </w:r>
    </w:p>
    <w:p>
      <w:pPr>
        <w:spacing w:line="560" w:lineRule="exact"/>
        <w:ind w:firstLine="643" w:firstLineChars="200"/>
        <w:outlineLvl w:val="2"/>
        <w:rPr>
          <w:rFonts w:ascii="仿宋" w:hAnsi="仿宋" w:eastAsia="仿宋" w:cs="仿宋"/>
          <w:b/>
          <w:bCs/>
          <w:sz w:val="32"/>
          <w:szCs w:val="32"/>
        </w:rPr>
      </w:pPr>
      <w:bookmarkStart w:id="11" w:name="_Toc15141"/>
      <w:r>
        <w:rPr>
          <w:rFonts w:hint="eastAsia" w:ascii="仿宋" w:hAnsi="仿宋" w:eastAsia="仿宋" w:cs="仿宋"/>
          <w:b/>
          <w:bCs/>
          <w:sz w:val="32"/>
          <w:szCs w:val="32"/>
        </w:rPr>
        <w:t>2.债券资金拨付情况</w:t>
      </w:r>
      <w:bookmarkEnd w:id="11"/>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由邵阳市城市建设投资经营集团有限公司根据工程完成进度向市财政局提出资金拨付申请。截至2023年6月30日，市财政局共拨付6,500.00万元专项债券资金至邵阳市城市建设投资经营集团有限公司。</w:t>
      </w:r>
    </w:p>
    <w:p>
      <w:pPr>
        <w:spacing w:line="560" w:lineRule="exact"/>
        <w:ind w:firstLine="643" w:firstLineChars="200"/>
        <w:outlineLvl w:val="2"/>
        <w:rPr>
          <w:rFonts w:ascii="仿宋" w:hAnsi="仿宋" w:eastAsia="仿宋" w:cs="仿宋"/>
          <w:b/>
          <w:bCs/>
          <w:sz w:val="32"/>
          <w:szCs w:val="32"/>
        </w:rPr>
      </w:pPr>
      <w:bookmarkStart w:id="12" w:name="_Toc26391"/>
      <w:r>
        <w:rPr>
          <w:rFonts w:hint="eastAsia" w:ascii="仿宋" w:hAnsi="仿宋" w:eastAsia="仿宋" w:cs="仿宋"/>
          <w:b/>
          <w:bCs/>
          <w:sz w:val="32"/>
          <w:szCs w:val="32"/>
        </w:rPr>
        <w:t>3.债券资金使用情况</w:t>
      </w:r>
      <w:bookmarkEnd w:id="12"/>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截至2023年6月30日，邵阳市城市建设投资经营集团有限公司收到专项债券资金6,500.00万元已全部使用完毕。专项债券资金主要用于监理费及工程款等，具体为：2022年支付中交-公局桥隧工程公司工程款4,937.42万元、湖南楚嘉工程咨询公司监理费62.58万元；2023年6月支付中交-公局桥隧工程公司工程款1,500.00万元。</w:t>
      </w:r>
    </w:p>
    <w:p>
      <w:pPr>
        <w:spacing w:line="560" w:lineRule="exact"/>
        <w:ind w:firstLine="643" w:firstLineChars="200"/>
        <w:outlineLvl w:val="2"/>
        <w:rPr>
          <w:rFonts w:ascii="仿宋" w:hAnsi="仿宋" w:eastAsia="仿宋" w:cs="仿宋"/>
          <w:b/>
          <w:bCs/>
          <w:sz w:val="32"/>
          <w:szCs w:val="32"/>
        </w:rPr>
      </w:pPr>
      <w:bookmarkStart w:id="13" w:name="_Toc20278"/>
      <w:r>
        <w:rPr>
          <w:rFonts w:hint="eastAsia" w:ascii="仿宋" w:hAnsi="仿宋" w:eastAsia="仿宋" w:cs="仿宋"/>
          <w:b/>
          <w:bCs/>
          <w:sz w:val="32"/>
          <w:szCs w:val="32"/>
        </w:rPr>
        <w:t>4.还本付息情况</w:t>
      </w:r>
      <w:bookmarkEnd w:id="1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邵阳市城市建设投资经营集团有限公司按照市财政局每年下发的政府债券还本付息工作通知支付债券利息至市财政局。按本项目债券发行要求，每半年付息一次，截至2023年6月30日，邵阳市城市建设投资经营集团有限公司按债券发行条件需支付二期利息共16</w:t>
      </w:r>
      <w:r>
        <w:rPr>
          <w:rFonts w:hint="eastAsia" w:ascii="仿宋" w:hAnsi="仿宋" w:eastAsia="仿宋" w:cs="仿宋"/>
          <w:sz w:val="32"/>
          <w:szCs w:val="32"/>
          <w:lang w:val="en-US" w:eastAsia="zh-CN"/>
        </w:rPr>
        <w:t>1.30</w:t>
      </w:r>
      <w:r>
        <w:rPr>
          <w:rFonts w:hint="eastAsia" w:ascii="仿宋" w:hAnsi="仿宋" w:eastAsia="仿宋" w:cs="仿宋"/>
          <w:sz w:val="32"/>
          <w:szCs w:val="32"/>
        </w:rPr>
        <w:t>万元，暂由市财政局先行垫付。</w:t>
      </w:r>
    </w:p>
    <w:p>
      <w:pPr>
        <w:spacing w:line="560" w:lineRule="exact"/>
        <w:ind w:firstLine="643" w:firstLineChars="200"/>
        <w:outlineLvl w:val="2"/>
        <w:rPr>
          <w:rFonts w:ascii="仿宋" w:hAnsi="仿宋" w:eastAsia="仿宋" w:cs="仿宋"/>
          <w:b/>
          <w:bCs/>
          <w:sz w:val="32"/>
          <w:szCs w:val="32"/>
        </w:rPr>
      </w:pPr>
      <w:bookmarkStart w:id="14" w:name="_Toc294"/>
      <w:r>
        <w:rPr>
          <w:rFonts w:hint="eastAsia" w:ascii="仿宋" w:hAnsi="仿宋" w:eastAsia="仿宋" w:cs="仿宋"/>
          <w:b/>
          <w:bCs/>
          <w:sz w:val="32"/>
          <w:szCs w:val="32"/>
        </w:rPr>
        <w:t>5.项目管理情况</w:t>
      </w:r>
      <w:bookmarkEnd w:id="1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公司为保证该项目顺利实施，按照相关工程管理模式，成立了专门的项目领导小组，负责项目建设前期及具体实施工作。领导小组组织和协调有关部门对项目进行设计、施工、监理等工作，并对项目进度和资金使用情况进行管理、检查、监督。</w:t>
      </w:r>
    </w:p>
    <w:p>
      <w:pPr>
        <w:spacing w:line="560" w:lineRule="exact"/>
        <w:ind w:firstLine="643" w:firstLineChars="200"/>
        <w:outlineLvl w:val="1"/>
        <w:rPr>
          <w:rFonts w:ascii="楷体" w:hAnsi="楷体" w:eastAsia="楷体" w:cs="楷体"/>
          <w:b/>
          <w:color w:val="000000"/>
          <w:sz w:val="32"/>
          <w:szCs w:val="32"/>
        </w:rPr>
      </w:pPr>
      <w:bookmarkStart w:id="15" w:name="_Toc25051"/>
      <w:r>
        <w:rPr>
          <w:rFonts w:hint="eastAsia" w:ascii="楷体" w:hAnsi="楷体" w:eastAsia="楷体" w:cs="楷体"/>
          <w:b/>
          <w:color w:val="000000"/>
          <w:sz w:val="32"/>
          <w:szCs w:val="32"/>
        </w:rPr>
        <w:t>（三）项目绩效目标完成程度</w:t>
      </w:r>
      <w:bookmarkEnd w:id="15"/>
    </w:p>
    <w:p>
      <w:pPr>
        <w:spacing w:line="560" w:lineRule="exact"/>
        <w:ind w:firstLine="640" w:firstLineChars="200"/>
        <w:rPr>
          <w:rFonts w:ascii="仿宋" w:hAnsi="仿宋" w:eastAsia="仿宋" w:cs="仿宋"/>
          <w:color w:val="0000FF"/>
          <w:sz w:val="32"/>
          <w:szCs w:val="32"/>
          <w:highlight w:val="yellow"/>
        </w:rPr>
      </w:pPr>
      <w:r>
        <w:rPr>
          <w:rFonts w:hint="eastAsia" w:ascii="仿宋" w:hAnsi="仿宋" w:eastAsia="仿宋" w:cs="仿宋"/>
          <w:sz w:val="32"/>
          <w:szCs w:val="32"/>
        </w:rPr>
        <w:t>项目总建筑面积 25959.24㎡，分为地面工程和地下工程两部分，其中地下停车场24584.97 ㎡，地上配套附属用房1374.27 ㎡。项目建成后新增停车位 741 个，充电桩（车位）238 个，并配套建设给排水、供配电、消防等配套基础设施。现场评价实地察看项目主体建设工程已基本完成，实际新增地下停车位716个，比目标产出少25个；充电桩（车位）218个，比目标产出少20个。项目现阶段正在打扫清理收尾工程，预计8月底竣工，尚未办理项目验收手续。</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6" w:name="_Toc31711"/>
      <w:r>
        <w:rPr>
          <w:rFonts w:hint="eastAsia" w:ascii="黑体" w:hAnsi="黑体" w:eastAsia="黑体" w:cs="黑体"/>
          <w:b/>
          <w:bCs/>
          <w:color w:val="000000"/>
          <w:sz w:val="32"/>
          <w:szCs w:val="32"/>
        </w:rPr>
        <w:t>二、绩效评价工作开展情况</w:t>
      </w:r>
      <w:bookmarkEnd w:id="16"/>
    </w:p>
    <w:p>
      <w:pPr>
        <w:spacing w:line="560" w:lineRule="exact"/>
        <w:ind w:firstLine="640" w:firstLineChars="200"/>
        <w:rPr>
          <w:rFonts w:ascii="仿宋" w:hAnsi="仿宋" w:eastAsia="仿宋" w:cs="仿宋"/>
          <w:sz w:val="32"/>
          <w:szCs w:val="32"/>
        </w:rPr>
      </w:pPr>
      <w:bookmarkStart w:id="17" w:name="_Toc26709"/>
      <w:bookmarkStart w:id="18" w:name="_Toc27744"/>
      <w:r>
        <w:rPr>
          <w:rFonts w:hint="eastAsia" w:ascii="仿宋" w:hAnsi="仿宋" w:eastAsia="仿宋" w:cs="仿宋"/>
          <w:sz w:val="32"/>
          <w:szCs w:val="32"/>
        </w:rPr>
        <w:t>根据《邵阳市财政局关于开展邵阳市大祥坪体育馆公共停车场项目债券资金绩效评价工作的通知》的作部署安排，湖南诚悦达会计师事务所（普通合伙）组建1个评价工作小组，于2023年7月10 日-15日开展现场绩效评价，评价小组主要采取查阅资料、重新计算、实地观察和问卷调查的方法完成现场评价工作。</w:t>
      </w:r>
      <w:bookmarkEnd w:id="17"/>
    </w:p>
    <w:bookmarkEnd w:id="18"/>
    <w:p>
      <w:pPr>
        <w:tabs>
          <w:tab w:val="left" w:pos="5673"/>
        </w:tabs>
        <w:spacing w:line="560" w:lineRule="exact"/>
        <w:ind w:firstLine="643" w:firstLineChars="200"/>
        <w:outlineLvl w:val="0"/>
        <w:rPr>
          <w:rFonts w:ascii="黑体" w:hAnsi="黑体" w:eastAsia="黑体" w:cs="黑体"/>
          <w:b/>
          <w:bCs/>
          <w:color w:val="000000"/>
          <w:sz w:val="32"/>
          <w:szCs w:val="32"/>
        </w:rPr>
      </w:pPr>
      <w:bookmarkStart w:id="19" w:name="_Toc23130"/>
      <w:r>
        <w:rPr>
          <w:rFonts w:hint="eastAsia" w:ascii="黑体" w:hAnsi="黑体" w:eastAsia="黑体" w:cs="黑体"/>
          <w:b/>
          <w:bCs/>
          <w:color w:val="000000"/>
          <w:sz w:val="32"/>
          <w:szCs w:val="32"/>
        </w:rPr>
        <w:t>三、绩效评价结论</w:t>
      </w:r>
      <w:bookmarkEnd w:id="19"/>
    </w:p>
    <w:p>
      <w:pPr>
        <w:spacing w:line="560" w:lineRule="exact"/>
        <w:ind w:firstLine="643" w:firstLineChars="200"/>
        <w:outlineLvl w:val="1"/>
        <w:rPr>
          <w:rFonts w:ascii="楷体" w:hAnsi="楷体" w:eastAsia="楷体" w:cs="楷体"/>
          <w:b/>
          <w:color w:val="000000"/>
          <w:sz w:val="32"/>
          <w:szCs w:val="32"/>
        </w:rPr>
      </w:pPr>
      <w:bookmarkStart w:id="20" w:name="_Toc22151"/>
      <w:r>
        <w:rPr>
          <w:rFonts w:hint="eastAsia" w:ascii="楷体" w:hAnsi="楷体" w:eastAsia="楷体" w:cs="楷体"/>
          <w:b/>
          <w:color w:val="000000"/>
          <w:sz w:val="32"/>
          <w:szCs w:val="32"/>
        </w:rPr>
        <w:t>（一）绩效评价综合结论</w:t>
      </w:r>
      <w:bookmarkEnd w:id="20"/>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从总体得分情况看整体尚好，但过程部分有缺陷，主要原为政府预算资金到位率低，资金支付不及时，资金使用不规范，项目管理制度不健全，合同管理欠规范，债务风险预警体系和债务风险事件不健全，未制定债务风险预警体系和债务风险事件应急处置措施。另产出部分项目计划产出数量与实际产出数量有差异。</w:t>
      </w:r>
    </w:p>
    <w:p>
      <w:pPr>
        <w:spacing w:line="560" w:lineRule="exact"/>
        <w:ind w:firstLine="643" w:firstLineChars="200"/>
        <w:outlineLvl w:val="1"/>
        <w:rPr>
          <w:rFonts w:ascii="楷体" w:hAnsi="楷体" w:eastAsia="楷体" w:cs="楷体"/>
          <w:b/>
          <w:color w:val="000000"/>
          <w:sz w:val="32"/>
          <w:szCs w:val="32"/>
        </w:rPr>
      </w:pPr>
      <w:bookmarkStart w:id="21" w:name="_Toc913"/>
      <w:r>
        <w:rPr>
          <w:rFonts w:hint="eastAsia" w:ascii="楷体" w:hAnsi="楷体" w:eastAsia="楷体" w:cs="楷体"/>
          <w:b/>
          <w:color w:val="000000"/>
          <w:sz w:val="32"/>
          <w:szCs w:val="32"/>
        </w:rPr>
        <w:t>（二）绩效评价得分情况</w:t>
      </w:r>
      <w:bookmarkEnd w:id="21"/>
    </w:p>
    <w:p>
      <w:pPr>
        <w:spacing w:line="560" w:lineRule="exact"/>
        <w:ind w:right="-92" w:rightChars="-44" w:firstLine="640" w:firstLineChars="200"/>
        <w:rPr>
          <w:rFonts w:ascii="仿宋" w:hAnsi="仿宋" w:eastAsia="仿宋" w:cs="仿宋"/>
          <w:sz w:val="32"/>
          <w:szCs w:val="32"/>
        </w:rPr>
      </w:pPr>
      <w:r>
        <w:rPr>
          <w:rFonts w:hint="eastAsia" w:ascii="仿宋" w:hAnsi="仿宋" w:eastAsia="仿宋" w:cs="仿宋"/>
          <w:sz w:val="32"/>
          <w:szCs w:val="32"/>
        </w:rPr>
        <w:t>邵阳市大祥坪体育馆公共停车场项目绩效评价得分为8</w:t>
      </w: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ascii="仿宋" w:hAnsi="仿宋" w:eastAsia="仿宋" w:cs="仿宋"/>
          <w:sz w:val="32"/>
          <w:szCs w:val="32"/>
        </w:rPr>
        <w:t>3</w:t>
      </w:r>
      <w:r>
        <w:rPr>
          <w:rFonts w:hint="eastAsia" w:ascii="仿宋" w:hAnsi="仿宋" w:eastAsia="仿宋" w:cs="仿宋"/>
          <w:sz w:val="32"/>
          <w:szCs w:val="32"/>
        </w:rPr>
        <w:t>分，评价等级为“良”。一级指标具体得分情况详见下表：</w:t>
      </w:r>
    </w:p>
    <w:p>
      <w:pPr>
        <w:spacing w:line="560" w:lineRule="exact"/>
        <w:jc w:val="center"/>
        <w:rPr>
          <w:rFonts w:ascii="仿宋" w:hAnsi="仿宋" w:eastAsia="仿宋" w:cs="仿宋"/>
          <w:spacing w:val="10"/>
          <w:sz w:val="32"/>
          <w:szCs w:val="32"/>
        </w:rPr>
      </w:pPr>
      <w:r>
        <w:rPr>
          <w:rFonts w:hint="eastAsia" w:ascii="仿宋" w:hAnsi="仿宋" w:eastAsia="仿宋" w:cs="仿宋"/>
          <w:spacing w:val="10"/>
          <w:sz w:val="32"/>
          <w:szCs w:val="32"/>
        </w:rPr>
        <w:t>绩效评价得分情况</w:t>
      </w:r>
    </w:p>
    <w:tbl>
      <w:tblPr>
        <w:tblStyle w:val="18"/>
        <w:tblW w:w="84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71"/>
        <w:gridCol w:w="2169"/>
        <w:gridCol w:w="2032"/>
        <w:gridCol w:w="20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一级指标</w:t>
            </w:r>
          </w:p>
        </w:tc>
        <w:tc>
          <w:tcPr>
            <w:tcW w:w="2169"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指标分值</w:t>
            </w:r>
          </w:p>
        </w:tc>
        <w:tc>
          <w:tcPr>
            <w:tcW w:w="2032"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评价得分</w:t>
            </w:r>
          </w:p>
        </w:tc>
        <w:tc>
          <w:tcPr>
            <w:tcW w:w="2044"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决策</w:t>
            </w:r>
          </w:p>
        </w:tc>
        <w:tc>
          <w:tcPr>
            <w:tcW w:w="2169" w:type="dxa"/>
            <w:shd w:val="clear" w:color="auto" w:fill="auto"/>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15</w:t>
            </w:r>
          </w:p>
        </w:tc>
        <w:tc>
          <w:tcPr>
            <w:tcW w:w="2032"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2</w:t>
            </w:r>
          </w:p>
        </w:tc>
        <w:tc>
          <w:tcPr>
            <w:tcW w:w="2044" w:type="dxa"/>
            <w:shd w:val="clear" w:color="auto" w:fill="auto"/>
            <w:vAlign w:val="center"/>
          </w:tcPr>
          <w:p>
            <w:pPr>
              <w:spacing w:line="560" w:lineRule="exact"/>
              <w:ind w:right="-92" w:rightChars="-44"/>
              <w:jc w:val="center"/>
              <w:rPr>
                <w:rFonts w:ascii="仿宋" w:hAnsi="仿宋" w:eastAsia="仿宋" w:cs="仿宋"/>
                <w:sz w:val="28"/>
                <w:szCs w:val="28"/>
              </w:rPr>
            </w:pPr>
            <w:r>
              <w:rPr>
                <w:rFonts w:ascii="仿宋" w:hAnsi="仿宋" w:eastAsia="仿宋" w:cs="仿宋"/>
                <w:sz w:val="28"/>
                <w:szCs w:val="28"/>
              </w:rPr>
              <w:t>8</w:t>
            </w:r>
            <w:r>
              <w:rPr>
                <w:rFonts w:hint="eastAsia" w:ascii="仿宋" w:hAnsi="仿宋" w:eastAsia="仿宋" w:cs="仿宋"/>
                <w:sz w:val="28"/>
                <w:szCs w:val="28"/>
              </w:rPr>
              <w:t>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过程</w:t>
            </w:r>
          </w:p>
        </w:tc>
        <w:tc>
          <w:tcPr>
            <w:tcW w:w="2169" w:type="dxa"/>
            <w:shd w:val="clear" w:color="auto" w:fill="auto"/>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30</w:t>
            </w:r>
          </w:p>
        </w:tc>
        <w:tc>
          <w:tcPr>
            <w:tcW w:w="2032"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.13</w:t>
            </w:r>
          </w:p>
        </w:tc>
        <w:tc>
          <w:tcPr>
            <w:tcW w:w="2044"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10</w:t>
            </w:r>
            <w:r>
              <w:rPr>
                <w:rFonts w:hint="eastAsia" w:ascii="仿宋" w:hAnsi="仿宋" w:eastAsia="仿宋" w:cs="仿宋"/>
                <w:sz w:val="28"/>
                <w:szCs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产出</w:t>
            </w:r>
          </w:p>
        </w:tc>
        <w:tc>
          <w:tcPr>
            <w:tcW w:w="2169" w:type="dxa"/>
            <w:shd w:val="clear" w:color="auto" w:fill="auto"/>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35</w:t>
            </w:r>
          </w:p>
        </w:tc>
        <w:tc>
          <w:tcPr>
            <w:tcW w:w="2032" w:type="dxa"/>
            <w:shd w:val="clear" w:color="auto" w:fill="auto"/>
            <w:vAlign w:val="center"/>
          </w:tcPr>
          <w:p>
            <w:pPr>
              <w:spacing w:line="560" w:lineRule="exact"/>
              <w:ind w:right="-92" w:rightChars="-44"/>
              <w:jc w:val="center"/>
              <w:rPr>
                <w:rFonts w:hint="eastAsia" w:ascii="仿宋" w:hAnsi="仿宋" w:eastAsia="仿宋" w:cs="仿宋"/>
                <w:sz w:val="28"/>
                <w:szCs w:val="28"/>
                <w:lang w:eastAsia="zh-CN"/>
              </w:rPr>
            </w:pPr>
            <w:r>
              <w:rPr>
                <w:rFonts w:hint="eastAsia" w:ascii="仿宋" w:hAnsi="仿宋" w:eastAsia="仿宋" w:cs="仿宋"/>
                <w:sz w:val="28"/>
                <w:szCs w:val="28"/>
              </w:rPr>
              <w:t>3</w:t>
            </w:r>
            <w:r>
              <w:rPr>
                <w:rFonts w:ascii="仿宋" w:hAnsi="仿宋" w:eastAsia="仿宋" w:cs="仿宋"/>
                <w:sz w:val="28"/>
                <w:szCs w:val="28"/>
              </w:rPr>
              <w:t>2</w:t>
            </w:r>
            <w:r>
              <w:rPr>
                <w:rFonts w:hint="eastAsia" w:ascii="仿宋" w:hAnsi="仿宋" w:eastAsia="仿宋" w:cs="仿宋"/>
                <w:sz w:val="28"/>
                <w:szCs w:val="28"/>
              </w:rPr>
              <w:t>.</w:t>
            </w:r>
            <w:r>
              <w:rPr>
                <w:rFonts w:hint="eastAsia" w:ascii="仿宋" w:hAnsi="仿宋" w:eastAsia="仿宋" w:cs="仿宋"/>
                <w:sz w:val="28"/>
                <w:szCs w:val="28"/>
                <w:lang w:val="en-US" w:eastAsia="zh-CN"/>
              </w:rPr>
              <w:t>4</w:t>
            </w:r>
          </w:p>
        </w:tc>
        <w:tc>
          <w:tcPr>
            <w:tcW w:w="2044"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57</w:t>
            </w:r>
            <w:r>
              <w:rPr>
                <w:rFonts w:hint="eastAsia" w:ascii="仿宋" w:hAnsi="仿宋" w:eastAsia="仿宋" w:cs="仿宋"/>
                <w:sz w:val="28"/>
                <w:szCs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效益</w:t>
            </w:r>
          </w:p>
        </w:tc>
        <w:tc>
          <w:tcPr>
            <w:tcW w:w="2169" w:type="dxa"/>
            <w:shd w:val="clear" w:color="auto" w:fill="auto"/>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20</w:t>
            </w:r>
          </w:p>
        </w:tc>
        <w:tc>
          <w:tcPr>
            <w:tcW w:w="2032"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20</w:t>
            </w:r>
          </w:p>
        </w:tc>
        <w:tc>
          <w:tcPr>
            <w:tcW w:w="2044"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2171"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合计</w:t>
            </w:r>
          </w:p>
        </w:tc>
        <w:tc>
          <w:tcPr>
            <w:tcW w:w="2169" w:type="dxa"/>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100</w:t>
            </w:r>
          </w:p>
        </w:tc>
        <w:tc>
          <w:tcPr>
            <w:tcW w:w="2032"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ascii="仿宋" w:hAnsi="仿宋" w:eastAsia="仿宋" w:cs="仿宋"/>
                <w:sz w:val="28"/>
                <w:szCs w:val="28"/>
              </w:rPr>
              <w:t>3</w:t>
            </w:r>
          </w:p>
        </w:tc>
        <w:tc>
          <w:tcPr>
            <w:tcW w:w="2044" w:type="dxa"/>
            <w:shd w:val="clear" w:color="auto" w:fill="auto"/>
            <w:vAlign w:val="center"/>
          </w:tcPr>
          <w:p>
            <w:pPr>
              <w:spacing w:line="560" w:lineRule="exact"/>
              <w:ind w:right="-92" w:rightChars="-44"/>
              <w:jc w:val="center"/>
              <w:rPr>
                <w:rFonts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ascii="仿宋" w:hAnsi="仿宋" w:eastAsia="仿宋" w:cs="仿宋"/>
                <w:sz w:val="28"/>
                <w:szCs w:val="28"/>
              </w:rPr>
              <w:t>3</w:t>
            </w:r>
            <w:r>
              <w:rPr>
                <w:rFonts w:hint="eastAsia" w:ascii="仿宋" w:hAnsi="仿宋" w:eastAsia="仿宋" w:cs="仿宋"/>
                <w:sz w:val="28"/>
                <w:szCs w:val="28"/>
              </w:rPr>
              <w:t>%</w:t>
            </w:r>
          </w:p>
        </w:tc>
      </w:tr>
    </w:tbl>
    <w:p>
      <w:pPr>
        <w:tabs>
          <w:tab w:val="left" w:pos="5673"/>
        </w:tabs>
        <w:spacing w:line="560" w:lineRule="exact"/>
        <w:ind w:firstLine="643" w:firstLineChars="200"/>
        <w:outlineLvl w:val="0"/>
        <w:rPr>
          <w:rFonts w:ascii="黑体" w:hAnsi="黑体" w:eastAsia="黑体" w:cs="黑体"/>
          <w:b/>
          <w:bCs/>
          <w:color w:val="000000"/>
          <w:sz w:val="32"/>
          <w:szCs w:val="32"/>
        </w:rPr>
      </w:pPr>
      <w:bookmarkStart w:id="22" w:name="_Toc7791"/>
      <w:r>
        <w:rPr>
          <w:rFonts w:hint="eastAsia" w:ascii="黑体" w:hAnsi="黑体" w:eastAsia="黑体" w:cs="黑体"/>
          <w:b/>
          <w:bCs/>
          <w:color w:val="000000"/>
          <w:sz w:val="32"/>
          <w:szCs w:val="32"/>
        </w:rPr>
        <w:t>四、绩效评价指标分析</w:t>
      </w:r>
      <w:bookmarkEnd w:id="22"/>
    </w:p>
    <w:p>
      <w:pPr>
        <w:spacing w:line="560" w:lineRule="exact"/>
        <w:ind w:firstLine="643" w:firstLineChars="200"/>
        <w:outlineLvl w:val="1"/>
        <w:rPr>
          <w:rFonts w:ascii="楷体" w:hAnsi="楷体" w:eastAsia="楷体" w:cs="楷体"/>
          <w:b/>
          <w:color w:val="000000"/>
          <w:sz w:val="32"/>
          <w:szCs w:val="32"/>
        </w:rPr>
      </w:pPr>
      <w:bookmarkStart w:id="23" w:name="_Toc5078"/>
      <w:r>
        <w:rPr>
          <w:rFonts w:hint="eastAsia" w:ascii="楷体" w:hAnsi="楷体" w:eastAsia="楷体" w:cs="楷体"/>
          <w:b/>
          <w:color w:val="000000"/>
          <w:sz w:val="32"/>
          <w:szCs w:val="32"/>
        </w:rPr>
        <w:t>（一）项目决策情况。该项分值15分，计1</w:t>
      </w:r>
      <w:r>
        <w:rPr>
          <w:rFonts w:ascii="楷体" w:hAnsi="楷体" w:eastAsia="楷体" w:cs="楷体"/>
          <w:b/>
          <w:color w:val="000000"/>
          <w:sz w:val="32"/>
          <w:szCs w:val="32"/>
        </w:rPr>
        <w:t>2</w:t>
      </w:r>
      <w:r>
        <w:rPr>
          <w:rFonts w:hint="eastAsia" w:ascii="楷体" w:hAnsi="楷体" w:eastAsia="楷体" w:cs="楷体"/>
          <w:b/>
          <w:color w:val="000000"/>
          <w:sz w:val="32"/>
          <w:szCs w:val="32"/>
        </w:rPr>
        <w:t>分</w:t>
      </w:r>
      <w:bookmarkEnd w:id="23"/>
    </w:p>
    <w:p>
      <w:pPr>
        <w:spacing w:line="560" w:lineRule="exact"/>
        <w:ind w:firstLine="640" w:firstLineChars="200"/>
        <w:outlineLvl w:val="2"/>
        <w:rPr>
          <w:rFonts w:ascii="仿宋" w:hAnsi="仿宋" w:eastAsia="仿宋" w:cs="仿宋"/>
          <w:sz w:val="32"/>
          <w:szCs w:val="32"/>
        </w:rPr>
      </w:pPr>
      <w:bookmarkStart w:id="24" w:name="_Toc7629"/>
      <w:bookmarkStart w:id="25" w:name="_Toc29201"/>
      <w:bookmarkStart w:id="26" w:name="_Toc7231"/>
      <w:r>
        <w:rPr>
          <w:rFonts w:hint="eastAsia" w:ascii="仿宋" w:hAnsi="仿宋" w:eastAsia="仿宋" w:cs="仿宋"/>
          <w:sz w:val="32"/>
          <w:szCs w:val="32"/>
        </w:rPr>
        <w:t>1.项目立项7分，实得7分</w:t>
      </w:r>
      <w:bookmarkEnd w:id="24"/>
      <w:bookmarkEnd w:id="25"/>
      <w:bookmarkEnd w:id="26"/>
    </w:p>
    <w:p>
      <w:pPr>
        <w:spacing w:line="560" w:lineRule="exact"/>
        <w:ind w:firstLine="640" w:firstLineChars="200"/>
        <w:rPr>
          <w:rFonts w:ascii="仿宋" w:hAnsi="仿宋" w:eastAsia="仿宋" w:cs="仿宋"/>
          <w:sz w:val="32"/>
          <w:szCs w:val="32"/>
        </w:rPr>
      </w:pPr>
      <w:bookmarkStart w:id="27" w:name="_Toc22426"/>
      <w:bookmarkStart w:id="28" w:name="_Toc18065"/>
      <w:r>
        <w:rPr>
          <w:rFonts w:hint="eastAsia" w:ascii="仿宋" w:hAnsi="仿宋" w:eastAsia="仿宋" w:cs="仿宋"/>
          <w:sz w:val="32"/>
          <w:szCs w:val="32"/>
        </w:rPr>
        <w:t>（1）项目储备（2分）：本项目资金投向领域为交通基础设施领域，符合地方政府专项债资金投向领域类型；项目有专业机构出具 “一案两书”，无扣分。</w:t>
      </w:r>
      <w:bookmarkEnd w:id="27"/>
      <w:bookmarkEnd w:id="28"/>
    </w:p>
    <w:p>
      <w:pPr>
        <w:spacing w:line="560" w:lineRule="exact"/>
        <w:ind w:firstLine="640" w:firstLineChars="200"/>
        <w:rPr>
          <w:rFonts w:ascii="仿宋" w:hAnsi="仿宋" w:eastAsia="仿宋" w:cs="仿宋"/>
          <w:sz w:val="32"/>
          <w:szCs w:val="32"/>
        </w:rPr>
      </w:pPr>
      <w:bookmarkStart w:id="29" w:name="_Toc18006"/>
      <w:bookmarkStart w:id="30" w:name="_Toc14542"/>
      <w:r>
        <w:rPr>
          <w:rFonts w:hint="eastAsia" w:ascii="仿宋" w:hAnsi="仿宋" w:eastAsia="仿宋" w:cs="仿宋"/>
          <w:sz w:val="32"/>
          <w:szCs w:val="32"/>
        </w:rPr>
        <w:t>（2）立项依据充分性（3分）：项目立项符合国家法律法规、行业发展政策、省委省政府决策部署；项目与部门职责范围相符，属于部门履职所需；项目与相关部门同类预算支出或部门内部相关预算支出无重复，无扣分。</w:t>
      </w:r>
      <w:bookmarkEnd w:id="29"/>
      <w:bookmarkEnd w:id="30"/>
    </w:p>
    <w:p>
      <w:pPr>
        <w:spacing w:line="560" w:lineRule="exact"/>
        <w:ind w:firstLine="640" w:firstLineChars="200"/>
        <w:rPr>
          <w:rFonts w:ascii="仿宋" w:hAnsi="仿宋" w:eastAsia="仿宋" w:cs="仿宋"/>
          <w:sz w:val="32"/>
          <w:szCs w:val="32"/>
        </w:rPr>
      </w:pPr>
      <w:bookmarkStart w:id="31" w:name="_Toc13678"/>
      <w:bookmarkStart w:id="32" w:name="_Toc28174"/>
      <w:r>
        <w:rPr>
          <w:rFonts w:hint="eastAsia" w:ascii="仿宋" w:hAnsi="仿宋" w:eastAsia="仿宋" w:cs="仿宋"/>
          <w:sz w:val="32"/>
          <w:szCs w:val="32"/>
        </w:rPr>
        <w:t>（3）立项程序规范性（2分）：项目按规定完成勘察、设计、用地、环评、开工许可等前期批复程序；项目审批文件、手续符合相关要求；项目经过必要的专家论证、风险评估、集体决策，无扣分。</w:t>
      </w:r>
      <w:bookmarkEnd w:id="31"/>
      <w:bookmarkEnd w:id="32"/>
    </w:p>
    <w:p>
      <w:pPr>
        <w:spacing w:line="560" w:lineRule="exact"/>
        <w:ind w:firstLine="640" w:firstLineChars="200"/>
        <w:outlineLvl w:val="2"/>
        <w:rPr>
          <w:rFonts w:ascii="仿宋" w:hAnsi="仿宋" w:eastAsia="仿宋" w:cs="仿宋"/>
          <w:color w:val="0000FF"/>
          <w:sz w:val="32"/>
          <w:szCs w:val="32"/>
        </w:rPr>
      </w:pPr>
      <w:bookmarkStart w:id="33" w:name="_Toc22739"/>
      <w:bookmarkStart w:id="34" w:name="_Toc19668"/>
      <w:bookmarkStart w:id="35" w:name="_Toc7469"/>
      <w:r>
        <w:rPr>
          <w:rFonts w:hint="eastAsia" w:ascii="仿宋" w:hAnsi="仿宋" w:eastAsia="仿宋" w:cs="仿宋"/>
          <w:sz w:val="32"/>
          <w:szCs w:val="32"/>
        </w:rPr>
        <w:t>2.绩效目标5分，实得</w:t>
      </w:r>
      <w:r>
        <w:rPr>
          <w:rFonts w:ascii="仿宋" w:hAnsi="仿宋" w:eastAsia="仿宋" w:cs="仿宋"/>
          <w:sz w:val="32"/>
          <w:szCs w:val="32"/>
        </w:rPr>
        <w:t>2</w:t>
      </w:r>
      <w:r>
        <w:rPr>
          <w:rFonts w:hint="eastAsia" w:ascii="仿宋" w:hAnsi="仿宋" w:eastAsia="仿宋" w:cs="仿宋"/>
          <w:sz w:val="32"/>
          <w:szCs w:val="32"/>
        </w:rPr>
        <w:t>分</w:t>
      </w:r>
      <w:bookmarkEnd w:id="33"/>
      <w:bookmarkEnd w:id="34"/>
      <w:bookmarkEnd w:id="35"/>
    </w:p>
    <w:p>
      <w:pPr>
        <w:spacing w:line="560" w:lineRule="exact"/>
        <w:ind w:firstLine="640" w:firstLineChars="200"/>
        <w:rPr>
          <w:rFonts w:ascii="仿宋" w:hAnsi="仿宋" w:eastAsia="仿宋" w:cs="仿宋"/>
          <w:color w:val="0000FF"/>
          <w:sz w:val="32"/>
          <w:szCs w:val="32"/>
        </w:rPr>
      </w:pPr>
      <w:bookmarkStart w:id="36" w:name="_Toc20997"/>
      <w:bookmarkStart w:id="37" w:name="_Toc11684"/>
      <w:r>
        <w:rPr>
          <w:rFonts w:hint="eastAsia" w:ascii="仿宋" w:hAnsi="仿宋" w:eastAsia="仿宋" w:cs="仿宋"/>
          <w:sz w:val="32"/>
          <w:szCs w:val="32"/>
        </w:rPr>
        <w:t>（1）绩效目标合理性（3分）：根据《邵阳市大祥坪体育馆公共停车场建设工程实施方案》了解到，项目单位按财政部关于印发《地方政府专项债券项目资金绩效管理办法》的通知(财预〔2021〕61号)，设立了项目绩效目标表,但绩效目标表未包括全生命周期的绩效管理目标,扣1</w:t>
      </w:r>
      <w:r>
        <w:rPr>
          <w:rFonts w:ascii="仿宋" w:hAnsi="仿宋" w:eastAsia="仿宋" w:cs="仿宋"/>
          <w:sz w:val="32"/>
          <w:szCs w:val="32"/>
        </w:rPr>
        <w:t>.5</w:t>
      </w:r>
      <w:r>
        <w:rPr>
          <w:rFonts w:hint="eastAsia" w:ascii="仿宋" w:hAnsi="仿宋" w:eastAsia="仿宋" w:cs="仿宋"/>
          <w:sz w:val="32"/>
          <w:szCs w:val="32"/>
        </w:rPr>
        <w:t>分。</w:t>
      </w:r>
      <w:bookmarkEnd w:id="36"/>
      <w:bookmarkEnd w:id="37"/>
    </w:p>
    <w:p>
      <w:pPr>
        <w:spacing w:line="560" w:lineRule="exact"/>
        <w:ind w:firstLine="640" w:firstLineChars="200"/>
        <w:rPr>
          <w:rFonts w:ascii="仿宋" w:hAnsi="仿宋" w:eastAsia="仿宋" w:cs="仿宋"/>
          <w:color w:val="0000FF"/>
          <w:sz w:val="32"/>
          <w:szCs w:val="32"/>
        </w:rPr>
      </w:pPr>
      <w:bookmarkStart w:id="38" w:name="_Toc3502"/>
      <w:bookmarkStart w:id="39" w:name="_Toc4546"/>
      <w:r>
        <w:rPr>
          <w:rFonts w:hint="eastAsia" w:ascii="仿宋" w:hAnsi="仿宋" w:eastAsia="仿宋" w:cs="仿宋"/>
          <w:sz w:val="32"/>
          <w:szCs w:val="32"/>
        </w:rPr>
        <w:t>（2）绩效指标明确性（2分）：从《邵阳市大祥坪体育馆公共停车场建设工程实施方案》中设定的绩效目标表可以看出项目绩效目标制定的产出指标清晰、可行、可量化，但效益指标未制定清晰、可量化的指标</w:t>
      </w:r>
      <w:bookmarkEnd w:id="38"/>
      <w:bookmarkEnd w:id="39"/>
      <w:r>
        <w:rPr>
          <w:rFonts w:hint="eastAsia" w:ascii="仿宋" w:hAnsi="仿宋" w:eastAsia="仿宋" w:cs="仿宋"/>
          <w:sz w:val="32"/>
          <w:szCs w:val="32"/>
        </w:rPr>
        <w:t>，不能用以清晰反映和考核项目效益的情况，扣1.5分。</w:t>
      </w:r>
    </w:p>
    <w:p>
      <w:pPr>
        <w:spacing w:line="560" w:lineRule="exact"/>
        <w:ind w:firstLine="640" w:firstLineChars="200"/>
        <w:outlineLvl w:val="2"/>
        <w:rPr>
          <w:rFonts w:ascii="仿宋" w:hAnsi="仿宋" w:eastAsia="仿宋" w:cs="仿宋"/>
          <w:sz w:val="32"/>
          <w:szCs w:val="32"/>
        </w:rPr>
      </w:pPr>
      <w:bookmarkStart w:id="40" w:name="_Toc30381"/>
      <w:bookmarkStart w:id="41" w:name="_Toc6118"/>
      <w:bookmarkStart w:id="42" w:name="_Toc12495"/>
      <w:r>
        <w:rPr>
          <w:rFonts w:hint="eastAsia" w:ascii="仿宋" w:hAnsi="仿宋" w:eastAsia="仿宋" w:cs="仿宋"/>
          <w:sz w:val="32"/>
          <w:szCs w:val="32"/>
        </w:rPr>
        <w:t>3.资金投入3分，实得3分</w:t>
      </w:r>
      <w:bookmarkEnd w:id="40"/>
      <w:bookmarkEnd w:id="41"/>
      <w:bookmarkEnd w:id="42"/>
    </w:p>
    <w:p>
      <w:pPr>
        <w:spacing w:line="560" w:lineRule="exact"/>
        <w:ind w:firstLine="640" w:firstLineChars="200"/>
        <w:rPr>
          <w:rFonts w:ascii="仿宋" w:hAnsi="仿宋" w:eastAsia="仿宋" w:cs="仿宋"/>
          <w:sz w:val="32"/>
          <w:szCs w:val="32"/>
        </w:rPr>
      </w:pPr>
      <w:bookmarkStart w:id="43" w:name="_Toc8049"/>
      <w:bookmarkStart w:id="44" w:name="_Toc22282"/>
      <w:r>
        <w:rPr>
          <w:rFonts w:hint="eastAsia" w:ascii="仿宋" w:hAnsi="仿宋" w:eastAsia="仿宋" w:cs="仿宋"/>
          <w:sz w:val="32"/>
          <w:szCs w:val="32"/>
        </w:rPr>
        <w:t>预算编制科学性（3分）：项目专项债券实施方案中的资金来源及收益等情况与绩效目标一致。项目已编制可研报告、获得发改部门可研批复，环评、用地、选址等合规性要件齐全，已编制专项债券实施方案、财务评价报告、法律意见书，收益测算合理，项目收益与融资自求平衡，项目融资与偿债能力相匹配，项目可行性强，符合专项债券政策规定和发行条件。</w:t>
      </w:r>
      <w:bookmarkEnd w:id="43"/>
      <w:bookmarkEnd w:id="44"/>
    </w:p>
    <w:p>
      <w:pPr>
        <w:spacing w:line="560" w:lineRule="exact"/>
        <w:ind w:firstLine="643" w:firstLineChars="200"/>
        <w:outlineLvl w:val="1"/>
        <w:rPr>
          <w:rFonts w:ascii="楷体" w:hAnsi="楷体" w:eastAsia="楷体" w:cs="楷体"/>
          <w:b/>
          <w:color w:val="000000"/>
          <w:sz w:val="32"/>
          <w:szCs w:val="32"/>
        </w:rPr>
      </w:pPr>
      <w:bookmarkStart w:id="45" w:name="_Toc15178"/>
      <w:r>
        <w:rPr>
          <w:rFonts w:hint="eastAsia" w:ascii="楷体" w:hAnsi="楷体" w:eastAsia="楷体" w:cs="楷体"/>
          <w:b/>
          <w:color w:val="000000"/>
          <w:sz w:val="32"/>
          <w:szCs w:val="32"/>
        </w:rPr>
        <w:t>（二）项目过程情况。该项分值30分，计</w:t>
      </w:r>
      <w:r>
        <w:rPr>
          <w:rFonts w:hint="eastAsia" w:ascii="楷体" w:hAnsi="楷体" w:eastAsia="楷体" w:cs="楷体"/>
          <w:b/>
          <w:color w:val="000000"/>
          <w:sz w:val="32"/>
          <w:szCs w:val="32"/>
          <w:lang w:val="en-US" w:eastAsia="zh-CN"/>
        </w:rPr>
        <w:t>20</w:t>
      </w:r>
      <w:r>
        <w:rPr>
          <w:rFonts w:hint="eastAsia" w:ascii="楷体" w:hAnsi="楷体" w:eastAsia="楷体" w:cs="楷体"/>
          <w:b/>
          <w:color w:val="000000"/>
          <w:sz w:val="32"/>
          <w:szCs w:val="32"/>
        </w:rPr>
        <w:t>.13分</w:t>
      </w:r>
      <w:bookmarkEnd w:id="45"/>
    </w:p>
    <w:p>
      <w:pPr>
        <w:spacing w:line="560" w:lineRule="exact"/>
        <w:ind w:firstLine="640" w:firstLineChars="200"/>
        <w:outlineLvl w:val="2"/>
        <w:rPr>
          <w:rFonts w:ascii="仿宋" w:hAnsi="仿宋" w:eastAsia="仿宋" w:cs="仿宋"/>
          <w:sz w:val="32"/>
          <w:szCs w:val="32"/>
        </w:rPr>
      </w:pPr>
      <w:bookmarkStart w:id="46" w:name="_Toc5400"/>
      <w:bookmarkStart w:id="47" w:name="_Toc13491"/>
      <w:bookmarkStart w:id="48" w:name="_Toc12841"/>
      <w:r>
        <w:rPr>
          <w:rFonts w:hint="eastAsia" w:ascii="仿宋" w:hAnsi="仿宋" w:eastAsia="仿宋" w:cs="仿宋"/>
          <w:sz w:val="32"/>
          <w:szCs w:val="32"/>
        </w:rPr>
        <w:t>1.资金管理10分，实得7.63分</w:t>
      </w:r>
      <w:bookmarkEnd w:id="46"/>
      <w:bookmarkEnd w:id="47"/>
      <w:bookmarkEnd w:id="48"/>
    </w:p>
    <w:p>
      <w:pPr>
        <w:spacing w:line="560" w:lineRule="exact"/>
        <w:ind w:firstLine="640" w:firstLineChars="200"/>
        <w:rPr>
          <w:rFonts w:ascii="仿宋" w:hAnsi="仿宋" w:eastAsia="仿宋" w:cs="仿宋"/>
          <w:sz w:val="32"/>
          <w:szCs w:val="32"/>
        </w:rPr>
      </w:pPr>
      <w:bookmarkStart w:id="49" w:name="_Toc17010"/>
      <w:bookmarkStart w:id="50" w:name="_Toc26853"/>
      <w:r>
        <w:rPr>
          <w:rFonts w:hint="eastAsia" w:ascii="仿宋" w:hAnsi="仿宋" w:eastAsia="仿宋" w:cs="仿宋"/>
          <w:sz w:val="32"/>
          <w:szCs w:val="32"/>
        </w:rPr>
        <w:t>（1）资金到位率（2分）：项目已发行政府专项债券资金8000万元，实际拨付到项目单位专项债券资金6500万元，资金到位率为81.25%，资金到位率=（实际到位资金/预算资金）×100%=（6500/8000）×100%=81.25%，扣0.37分。</w:t>
      </w:r>
      <w:bookmarkEnd w:id="49"/>
      <w:bookmarkEnd w:id="50"/>
    </w:p>
    <w:p>
      <w:pPr>
        <w:spacing w:line="560" w:lineRule="exact"/>
        <w:ind w:firstLine="640" w:firstLineChars="200"/>
        <w:rPr>
          <w:rFonts w:ascii="仿宋" w:hAnsi="仿宋" w:eastAsia="仿宋" w:cs="仿宋"/>
          <w:sz w:val="32"/>
          <w:szCs w:val="32"/>
        </w:rPr>
      </w:pPr>
      <w:bookmarkStart w:id="51" w:name="_Toc24258"/>
      <w:bookmarkStart w:id="52" w:name="_Toc5444"/>
      <w:r>
        <w:rPr>
          <w:rFonts w:hint="eastAsia" w:ascii="仿宋" w:hAnsi="仿宋" w:eastAsia="仿宋" w:cs="仿宋"/>
          <w:sz w:val="32"/>
          <w:szCs w:val="32"/>
        </w:rPr>
        <w:t>（2）预算执行率（2分）：项目实际到位专项债券资金6500万元，实际支出专项债券资金6500万元，预算执行率=（实际支出资金/实际到位资金）×100%=（6500/6500）×100%=100%，预算执行率100%，无扣分。</w:t>
      </w:r>
      <w:bookmarkEnd w:id="51"/>
      <w:bookmarkEnd w:id="52"/>
    </w:p>
    <w:p>
      <w:pPr>
        <w:spacing w:line="560" w:lineRule="exact"/>
        <w:ind w:firstLine="640" w:firstLineChars="200"/>
        <w:rPr>
          <w:rFonts w:ascii="仿宋" w:hAnsi="仿宋" w:eastAsia="仿宋" w:cs="仿宋"/>
          <w:sz w:val="32"/>
          <w:szCs w:val="32"/>
        </w:rPr>
      </w:pPr>
      <w:bookmarkStart w:id="53" w:name="_Toc2040"/>
      <w:bookmarkStart w:id="54" w:name="_Toc21996"/>
      <w:r>
        <w:rPr>
          <w:rFonts w:hint="eastAsia" w:ascii="仿宋" w:hAnsi="仿宋" w:eastAsia="仿宋" w:cs="仿宋"/>
          <w:sz w:val="32"/>
          <w:szCs w:val="32"/>
        </w:rPr>
        <w:t>（3）资金使用合规性（3分）：项目合作相关当事人与工程施工单位以及勘察单位、设计单位均通过招投标程序，并签订了合同。邵阳市城市建设投资经营集团有限公司未针对债券资金制定专门的资金财务管理办法；未严格按照合同约定的比例支付款项，扣1分。</w:t>
      </w:r>
      <w:bookmarkEnd w:id="53"/>
      <w:bookmarkEnd w:id="54"/>
    </w:p>
    <w:p>
      <w:pPr>
        <w:spacing w:line="560" w:lineRule="exact"/>
        <w:ind w:firstLine="640" w:firstLineChars="200"/>
        <w:rPr>
          <w:rFonts w:ascii="仿宋" w:hAnsi="仿宋" w:eastAsia="仿宋" w:cs="仿宋"/>
          <w:sz w:val="32"/>
          <w:szCs w:val="32"/>
        </w:rPr>
      </w:pPr>
      <w:bookmarkStart w:id="55" w:name="_Toc4183"/>
      <w:bookmarkStart w:id="56" w:name="_Toc8335"/>
      <w:r>
        <w:rPr>
          <w:rFonts w:hint="eastAsia" w:ascii="仿宋" w:hAnsi="仿宋" w:eastAsia="仿宋" w:cs="仿宋"/>
          <w:sz w:val="32"/>
          <w:szCs w:val="32"/>
        </w:rPr>
        <w:t>（4）还本付息（3分）：根据2022年1月24日湖南省财政厅发行公告《2022年湖南省交通基础设施建设专项债券(二期)-2022年湖南省政府专项债券(二)期发行结果公告》，本期债券付息为半年一次，票面利率3.28%。利息暂由财政局垫付，至评价现场结束时项目单位未支付市财政局利息，扣1分。</w:t>
      </w:r>
      <w:bookmarkEnd w:id="55"/>
      <w:bookmarkEnd w:id="56"/>
    </w:p>
    <w:p>
      <w:pPr>
        <w:spacing w:line="560" w:lineRule="exact"/>
        <w:ind w:firstLine="640" w:firstLineChars="200"/>
        <w:outlineLvl w:val="2"/>
        <w:rPr>
          <w:rFonts w:ascii="仿宋" w:hAnsi="仿宋" w:eastAsia="仿宋" w:cs="仿宋"/>
          <w:sz w:val="32"/>
          <w:szCs w:val="32"/>
        </w:rPr>
      </w:pPr>
      <w:bookmarkStart w:id="57" w:name="_Toc7645"/>
      <w:bookmarkStart w:id="58" w:name="_Toc13042"/>
      <w:bookmarkStart w:id="59" w:name="_Toc15861"/>
      <w:r>
        <w:rPr>
          <w:rFonts w:hint="eastAsia" w:ascii="仿宋" w:hAnsi="仿宋" w:eastAsia="仿宋" w:cs="仿宋"/>
          <w:sz w:val="32"/>
          <w:szCs w:val="32"/>
        </w:rPr>
        <w:t>2.项目实施12分，实得</w:t>
      </w:r>
      <w:r>
        <w:rPr>
          <w:rFonts w:hint="eastAsia" w:ascii="仿宋" w:hAnsi="仿宋" w:eastAsia="仿宋" w:cs="仿宋"/>
          <w:sz w:val="32"/>
          <w:szCs w:val="32"/>
          <w:lang w:val="en-US" w:eastAsia="zh-CN"/>
        </w:rPr>
        <w:t>7</w:t>
      </w:r>
      <w:r>
        <w:rPr>
          <w:rFonts w:hint="eastAsia" w:ascii="仿宋" w:hAnsi="仿宋" w:eastAsia="仿宋" w:cs="仿宋"/>
          <w:sz w:val="32"/>
          <w:szCs w:val="32"/>
        </w:rPr>
        <w:t>.5分</w:t>
      </w:r>
      <w:bookmarkEnd w:id="57"/>
      <w:bookmarkEnd w:id="58"/>
      <w:bookmarkEnd w:id="59"/>
    </w:p>
    <w:p>
      <w:pPr>
        <w:spacing w:line="560" w:lineRule="exact"/>
        <w:ind w:firstLine="640" w:firstLineChars="200"/>
        <w:rPr>
          <w:rFonts w:ascii="仿宋" w:hAnsi="仿宋" w:eastAsia="仿宋" w:cs="仿宋"/>
          <w:sz w:val="32"/>
          <w:szCs w:val="32"/>
        </w:rPr>
      </w:pPr>
      <w:bookmarkStart w:id="60" w:name="_Toc26713"/>
      <w:bookmarkStart w:id="61" w:name="_Toc23761"/>
      <w:r>
        <w:rPr>
          <w:rFonts w:hint="eastAsia" w:ascii="仿宋" w:hAnsi="仿宋" w:eastAsia="仿宋" w:cs="仿宋"/>
          <w:sz w:val="32"/>
          <w:szCs w:val="32"/>
        </w:rPr>
        <w:t>（1）管理制度健全性（3分）：单位未专门建立项目建设、资产管理等环节的管理制度，未正式出台债务风险应急处置预案，且项目建设财务管理制度、内控制度也有待建立健全，扣</w:t>
      </w:r>
      <w:r>
        <w:rPr>
          <w:rFonts w:hint="eastAsia" w:ascii="仿宋" w:hAnsi="仿宋" w:eastAsia="仿宋" w:cs="仿宋"/>
          <w:sz w:val="32"/>
          <w:szCs w:val="32"/>
          <w:lang w:val="en-US" w:eastAsia="zh-CN"/>
        </w:rPr>
        <w:t>1</w:t>
      </w:r>
      <w:r>
        <w:rPr>
          <w:rFonts w:hint="eastAsia" w:ascii="仿宋" w:hAnsi="仿宋" w:eastAsia="仿宋" w:cs="仿宋"/>
          <w:sz w:val="32"/>
          <w:szCs w:val="32"/>
        </w:rPr>
        <w:t>.5分。</w:t>
      </w:r>
      <w:bookmarkEnd w:id="60"/>
      <w:bookmarkEnd w:id="61"/>
    </w:p>
    <w:p>
      <w:pPr>
        <w:spacing w:line="560" w:lineRule="exact"/>
        <w:ind w:firstLine="640" w:firstLineChars="200"/>
        <w:rPr>
          <w:rFonts w:ascii="仿宋" w:hAnsi="仿宋" w:eastAsia="仿宋" w:cs="仿宋"/>
          <w:sz w:val="32"/>
          <w:szCs w:val="32"/>
        </w:rPr>
      </w:pPr>
      <w:bookmarkStart w:id="62" w:name="_Toc21580"/>
      <w:bookmarkStart w:id="63" w:name="_Toc31011"/>
      <w:r>
        <w:rPr>
          <w:rFonts w:hint="eastAsia" w:ascii="仿宋" w:hAnsi="仿宋" w:eastAsia="仿宋" w:cs="仿宋"/>
          <w:sz w:val="32"/>
          <w:szCs w:val="32"/>
        </w:rPr>
        <w:t>（2）项目质量控制（3分）：邵阳市城市建设投资经营集团有限公司编制了科学合理的项目实施计划；按照国家相关标准严格把控项目质量；采取了相应的项目质量检查、验收；项目调整审批手续完备，无扣分。</w:t>
      </w:r>
      <w:bookmarkEnd w:id="62"/>
      <w:bookmarkEnd w:id="63"/>
    </w:p>
    <w:p>
      <w:pPr>
        <w:spacing w:line="560" w:lineRule="exact"/>
        <w:ind w:firstLine="640" w:firstLineChars="200"/>
        <w:rPr>
          <w:rFonts w:ascii="仿宋" w:hAnsi="仿宋" w:eastAsia="仿宋" w:cs="仿宋"/>
          <w:sz w:val="32"/>
          <w:szCs w:val="32"/>
        </w:rPr>
      </w:pPr>
      <w:bookmarkStart w:id="64" w:name="_Toc1542"/>
      <w:bookmarkStart w:id="65" w:name="_Toc22999"/>
      <w:r>
        <w:rPr>
          <w:rFonts w:hint="eastAsia" w:ascii="仿宋" w:hAnsi="仿宋" w:eastAsia="仿宋" w:cs="仿宋"/>
          <w:sz w:val="32"/>
          <w:szCs w:val="32"/>
        </w:rPr>
        <w:t>（3）招标及政府采购管理（4分）：项目招标和政府采购的程序及手续合法合规；工程、设备、原材料等采购需求与项目实际需求吻合，不存在重复或浪费现象；但合同签订及执行不规范，扣3分。</w:t>
      </w:r>
      <w:bookmarkEnd w:id="64"/>
      <w:bookmarkEnd w:id="65"/>
    </w:p>
    <w:p>
      <w:pPr>
        <w:spacing w:line="560" w:lineRule="exact"/>
        <w:ind w:firstLine="640" w:firstLineChars="200"/>
        <w:rPr>
          <w:rFonts w:ascii="仿宋" w:hAnsi="仿宋" w:eastAsia="仿宋" w:cs="仿宋"/>
          <w:sz w:val="32"/>
          <w:szCs w:val="32"/>
        </w:rPr>
      </w:pPr>
      <w:bookmarkStart w:id="66" w:name="_Toc30127"/>
      <w:bookmarkStart w:id="67" w:name="_Toc519"/>
      <w:r>
        <w:rPr>
          <w:rFonts w:hint="eastAsia" w:ascii="仿宋" w:hAnsi="仿宋" w:eastAsia="仿宋" w:cs="仿宋"/>
          <w:sz w:val="32"/>
          <w:szCs w:val="32"/>
        </w:rPr>
        <w:t>（4）资产管理（2分）：2021年3月24日取得邵阳市自然资源和规划局颁发的湘</w:t>
      </w:r>
      <w:r>
        <w:rPr>
          <w:rFonts w:ascii="仿宋" w:hAnsi="仿宋" w:eastAsia="仿宋" w:cs="仿宋"/>
          <w:sz w:val="32"/>
          <w:szCs w:val="32"/>
        </w:rPr>
        <w:t>(2021)</w:t>
      </w:r>
      <w:r>
        <w:rPr>
          <w:rFonts w:hint="eastAsia" w:ascii="仿宋" w:hAnsi="仿宋" w:eastAsia="仿宋" w:cs="仿宋"/>
          <w:sz w:val="32"/>
          <w:szCs w:val="32"/>
        </w:rPr>
        <w:t>邵阳市不动产权第0</w:t>
      </w:r>
      <w:r>
        <w:rPr>
          <w:rFonts w:ascii="仿宋" w:hAnsi="仿宋" w:eastAsia="仿宋" w:cs="仿宋"/>
          <w:sz w:val="32"/>
          <w:szCs w:val="32"/>
        </w:rPr>
        <w:t>007339</w:t>
      </w:r>
      <w:r>
        <w:rPr>
          <w:rFonts w:hint="eastAsia" w:ascii="仿宋" w:hAnsi="仿宋" w:eastAsia="仿宋" w:cs="仿宋"/>
          <w:sz w:val="32"/>
          <w:szCs w:val="32"/>
        </w:rPr>
        <w:t>号不动产权证书，无扣分。</w:t>
      </w:r>
      <w:bookmarkEnd w:id="66"/>
      <w:bookmarkEnd w:id="67"/>
    </w:p>
    <w:p>
      <w:pPr>
        <w:spacing w:line="560" w:lineRule="exact"/>
        <w:ind w:firstLine="640" w:firstLineChars="200"/>
        <w:outlineLvl w:val="2"/>
        <w:rPr>
          <w:rFonts w:ascii="仿宋" w:hAnsi="仿宋" w:eastAsia="仿宋" w:cs="仿宋"/>
          <w:sz w:val="32"/>
          <w:szCs w:val="32"/>
        </w:rPr>
      </w:pPr>
      <w:bookmarkStart w:id="68" w:name="_Toc17083"/>
      <w:bookmarkStart w:id="69" w:name="_Toc20093"/>
      <w:bookmarkStart w:id="70" w:name="_Toc3427"/>
      <w:r>
        <w:rPr>
          <w:rFonts w:hint="eastAsia" w:ascii="仿宋" w:hAnsi="仿宋" w:eastAsia="仿宋" w:cs="仿宋"/>
          <w:sz w:val="32"/>
          <w:szCs w:val="32"/>
        </w:rPr>
        <w:t>3.风险控制8分，实得5分</w:t>
      </w:r>
      <w:bookmarkEnd w:id="68"/>
      <w:bookmarkEnd w:id="69"/>
      <w:bookmarkEnd w:id="70"/>
    </w:p>
    <w:p>
      <w:pPr>
        <w:spacing w:line="560" w:lineRule="exact"/>
        <w:ind w:firstLine="640" w:firstLineChars="200"/>
        <w:rPr>
          <w:rFonts w:ascii="仿宋" w:hAnsi="仿宋" w:eastAsia="仿宋" w:cs="仿宋"/>
          <w:sz w:val="32"/>
          <w:szCs w:val="32"/>
        </w:rPr>
      </w:pPr>
      <w:bookmarkStart w:id="71" w:name="_Toc10892"/>
      <w:bookmarkStart w:id="72" w:name="_Toc5216"/>
      <w:r>
        <w:rPr>
          <w:rFonts w:hint="eastAsia" w:ascii="仿宋" w:hAnsi="仿宋" w:eastAsia="仿宋" w:cs="仿宋"/>
          <w:sz w:val="32"/>
          <w:szCs w:val="32"/>
        </w:rPr>
        <w:t>（1）信息公开（2分）：对债券资金发行、存续、重大事项、调整用途等进行了信息披露，无扣分。</w:t>
      </w:r>
      <w:bookmarkEnd w:id="71"/>
      <w:bookmarkEnd w:id="72"/>
    </w:p>
    <w:p>
      <w:pPr>
        <w:spacing w:line="560" w:lineRule="exact"/>
        <w:ind w:firstLine="640" w:firstLineChars="200"/>
        <w:rPr>
          <w:rFonts w:ascii="仿宋" w:hAnsi="仿宋" w:eastAsia="仿宋" w:cs="仿宋"/>
          <w:sz w:val="32"/>
          <w:szCs w:val="32"/>
        </w:rPr>
      </w:pPr>
      <w:bookmarkStart w:id="73" w:name="_Toc13361"/>
      <w:bookmarkStart w:id="74" w:name="_Toc20140"/>
      <w:r>
        <w:rPr>
          <w:rFonts w:hint="eastAsia" w:ascii="仿宋" w:hAnsi="仿宋" w:eastAsia="仿宋" w:cs="仿宋"/>
          <w:sz w:val="32"/>
          <w:szCs w:val="32"/>
        </w:rPr>
        <w:t>（2）风控效果（2分）：截至评价现场结束时，项目建设期间未发生过重大风险事件（重大债务违约事件、重大安全事故、重大违法违规事件等）、因债务引起的重大事件等情况，无扣分。</w:t>
      </w:r>
      <w:bookmarkEnd w:id="73"/>
      <w:bookmarkEnd w:id="74"/>
    </w:p>
    <w:p>
      <w:pPr>
        <w:spacing w:line="560" w:lineRule="exact"/>
        <w:ind w:firstLine="640" w:firstLineChars="200"/>
        <w:rPr>
          <w:rFonts w:ascii="仿宋" w:hAnsi="仿宋" w:eastAsia="仿宋" w:cs="仿宋"/>
          <w:sz w:val="32"/>
          <w:szCs w:val="32"/>
        </w:rPr>
      </w:pPr>
      <w:bookmarkStart w:id="75" w:name="_Toc4790"/>
      <w:bookmarkStart w:id="76" w:name="_Toc2602"/>
      <w:r>
        <w:rPr>
          <w:rFonts w:hint="eastAsia" w:ascii="仿宋" w:hAnsi="仿宋" w:eastAsia="仿宋" w:cs="仿宋"/>
          <w:sz w:val="32"/>
          <w:szCs w:val="32"/>
        </w:rPr>
        <w:t>（3）问题整改（1分）：截至评价现场结束时，未发生相关重大问题，无扣分。</w:t>
      </w:r>
      <w:bookmarkEnd w:id="75"/>
      <w:bookmarkEnd w:id="76"/>
    </w:p>
    <w:p>
      <w:pPr>
        <w:spacing w:line="560" w:lineRule="exact"/>
        <w:ind w:firstLine="640" w:firstLineChars="200"/>
        <w:rPr>
          <w:rFonts w:ascii="仿宋" w:hAnsi="仿宋" w:eastAsia="仿宋" w:cs="仿宋"/>
          <w:sz w:val="32"/>
          <w:szCs w:val="32"/>
        </w:rPr>
      </w:pPr>
      <w:bookmarkStart w:id="77" w:name="_Toc3002"/>
      <w:bookmarkStart w:id="78" w:name="_Toc19700"/>
      <w:r>
        <w:rPr>
          <w:rFonts w:hint="eastAsia" w:ascii="仿宋" w:hAnsi="仿宋" w:eastAsia="仿宋" w:cs="仿宋"/>
          <w:sz w:val="32"/>
          <w:szCs w:val="32"/>
        </w:rPr>
        <w:t>（4）风控机制（3分）：未</w:t>
      </w:r>
      <w:r>
        <w:rPr>
          <w:rFonts w:hint="eastAsia" w:ascii="仿宋" w:hAnsi="仿宋" w:eastAsia="仿宋" w:cs="仿宋"/>
          <w:sz w:val="32"/>
          <w:szCs w:val="32"/>
          <w:lang w:val="en-US" w:eastAsia="zh-CN"/>
        </w:rPr>
        <w:t>提供</w:t>
      </w:r>
      <w:r>
        <w:rPr>
          <w:rFonts w:hint="eastAsia" w:ascii="仿宋" w:hAnsi="仿宋" w:eastAsia="仿宋" w:cs="仿宋"/>
          <w:sz w:val="32"/>
          <w:szCs w:val="32"/>
        </w:rPr>
        <w:t>债务风险动态监测机制；未</w:t>
      </w:r>
      <w:r>
        <w:rPr>
          <w:rFonts w:hint="eastAsia" w:ascii="仿宋" w:hAnsi="仿宋" w:eastAsia="仿宋" w:cs="仿宋"/>
          <w:sz w:val="32"/>
          <w:szCs w:val="32"/>
          <w:lang w:val="en-US" w:eastAsia="zh-CN"/>
        </w:rPr>
        <w:t>提供</w:t>
      </w:r>
      <w:r>
        <w:rPr>
          <w:rFonts w:hint="eastAsia" w:ascii="仿宋" w:hAnsi="仿宋" w:eastAsia="仿宋" w:cs="仿宋"/>
          <w:sz w:val="32"/>
          <w:szCs w:val="32"/>
        </w:rPr>
        <w:t>债务风险应对预案和社会稳定风险应对预案，扣3分。</w:t>
      </w:r>
      <w:bookmarkEnd w:id="77"/>
      <w:bookmarkEnd w:id="78"/>
    </w:p>
    <w:p>
      <w:pPr>
        <w:spacing w:line="560" w:lineRule="exact"/>
        <w:ind w:firstLine="643" w:firstLineChars="200"/>
        <w:outlineLvl w:val="1"/>
        <w:rPr>
          <w:rFonts w:ascii="楷体" w:hAnsi="楷体" w:eastAsia="楷体" w:cs="楷体"/>
          <w:b/>
          <w:color w:val="000000"/>
          <w:sz w:val="32"/>
          <w:szCs w:val="32"/>
        </w:rPr>
      </w:pPr>
      <w:bookmarkStart w:id="79" w:name="_Toc29529"/>
      <w:r>
        <w:rPr>
          <w:rFonts w:hint="eastAsia" w:ascii="楷体" w:hAnsi="楷体" w:eastAsia="楷体" w:cs="楷体"/>
          <w:b/>
          <w:color w:val="000000"/>
          <w:sz w:val="32"/>
          <w:szCs w:val="32"/>
        </w:rPr>
        <w:t>（三）项目产出情况。该项分值35分，计3</w:t>
      </w:r>
      <w:r>
        <w:rPr>
          <w:rFonts w:ascii="楷体" w:hAnsi="楷体" w:eastAsia="楷体" w:cs="楷体"/>
          <w:b/>
          <w:color w:val="000000"/>
          <w:sz w:val="32"/>
          <w:szCs w:val="32"/>
        </w:rPr>
        <w:t>2.</w:t>
      </w:r>
      <w:r>
        <w:rPr>
          <w:rFonts w:hint="eastAsia" w:ascii="楷体" w:hAnsi="楷体" w:eastAsia="楷体" w:cs="楷体"/>
          <w:b/>
          <w:color w:val="000000"/>
          <w:sz w:val="32"/>
          <w:szCs w:val="32"/>
          <w:lang w:val="en-US" w:eastAsia="zh-CN"/>
        </w:rPr>
        <w:t>4</w:t>
      </w:r>
      <w:r>
        <w:rPr>
          <w:rFonts w:hint="eastAsia" w:ascii="楷体" w:hAnsi="楷体" w:eastAsia="楷体" w:cs="楷体"/>
          <w:b/>
          <w:color w:val="000000"/>
          <w:sz w:val="32"/>
          <w:szCs w:val="32"/>
        </w:rPr>
        <w:t>分</w:t>
      </w:r>
      <w:bookmarkEnd w:id="79"/>
    </w:p>
    <w:p>
      <w:pPr>
        <w:spacing w:line="560" w:lineRule="exact"/>
        <w:ind w:firstLine="640" w:firstLineChars="200"/>
        <w:rPr>
          <w:rFonts w:ascii="仿宋" w:hAnsi="仿宋" w:eastAsia="仿宋" w:cs="仿宋"/>
          <w:sz w:val="32"/>
          <w:szCs w:val="32"/>
        </w:rPr>
      </w:pPr>
      <w:bookmarkStart w:id="80" w:name="_Toc26331"/>
      <w:bookmarkStart w:id="81" w:name="_Toc32109"/>
      <w:r>
        <w:rPr>
          <w:rFonts w:hint="eastAsia" w:ascii="仿宋" w:hAnsi="仿宋" w:eastAsia="仿宋" w:cs="仿宋"/>
          <w:sz w:val="32"/>
          <w:szCs w:val="32"/>
        </w:rPr>
        <w:t>项目产出35分，实得3</w:t>
      </w:r>
      <w:r>
        <w:rPr>
          <w:rFonts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 w:hAnsi="仿宋" w:eastAsia="仿宋" w:cs="仿宋"/>
          <w:sz w:val="32"/>
          <w:szCs w:val="32"/>
        </w:rPr>
        <w:t>分</w:t>
      </w:r>
      <w:bookmarkEnd w:id="80"/>
      <w:bookmarkEnd w:id="81"/>
      <w:r>
        <w:rPr>
          <w:rFonts w:hint="eastAsia" w:ascii="仿宋" w:hAnsi="仿宋" w:eastAsia="仿宋" w:cs="仿宋"/>
          <w:sz w:val="32"/>
          <w:szCs w:val="32"/>
        </w:rPr>
        <w:t>：</w:t>
      </w:r>
    </w:p>
    <w:p>
      <w:pPr>
        <w:spacing w:line="560" w:lineRule="exact"/>
        <w:ind w:firstLine="640" w:firstLineChars="200"/>
        <w:outlineLvl w:val="2"/>
        <w:rPr>
          <w:rFonts w:ascii="仿宋" w:hAnsi="仿宋" w:eastAsia="仿宋" w:cs="仿宋"/>
          <w:color w:val="0000FF"/>
          <w:sz w:val="32"/>
          <w:szCs w:val="32"/>
          <w:highlight w:val="none"/>
        </w:rPr>
      </w:pPr>
      <w:bookmarkStart w:id="82" w:name="_Toc27325"/>
      <w:bookmarkStart w:id="83" w:name="_Toc32017"/>
      <w:bookmarkStart w:id="84" w:name="_Toc26565"/>
      <w:r>
        <w:rPr>
          <w:rFonts w:hint="eastAsia" w:ascii="仿宋" w:hAnsi="仿宋" w:eastAsia="仿宋" w:cs="仿宋"/>
          <w:sz w:val="32"/>
          <w:szCs w:val="32"/>
        </w:rPr>
        <w:t>1.产出数量（10分）：项目计划建设完成新增停车位741个，充电桩（车位）238 个。截止目前主体工程已完工，完成新增停车位716个，充电桩（车位）218 个，少于计划产出数量</w:t>
      </w:r>
      <w:r>
        <w:rPr>
          <w:rFonts w:hint="eastAsia" w:ascii="仿宋" w:hAnsi="仿宋" w:eastAsia="仿宋" w:cs="仿宋"/>
          <w:sz w:val="32"/>
          <w:szCs w:val="32"/>
          <w:highlight w:val="none"/>
        </w:rPr>
        <w:t>，扣</w:t>
      </w:r>
      <w:r>
        <w:rPr>
          <w:rFonts w:ascii="仿宋" w:hAnsi="仿宋" w:eastAsia="仿宋" w:cs="仿宋"/>
          <w:sz w:val="32"/>
          <w:szCs w:val="32"/>
          <w:highlight w:val="none"/>
        </w:rPr>
        <w:t>2.</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分。</w:t>
      </w:r>
      <w:bookmarkEnd w:id="82"/>
      <w:bookmarkEnd w:id="83"/>
      <w:bookmarkEnd w:id="84"/>
    </w:p>
    <w:p>
      <w:pPr>
        <w:spacing w:line="560" w:lineRule="exact"/>
        <w:ind w:firstLine="640" w:firstLineChars="200"/>
        <w:outlineLvl w:val="2"/>
        <w:rPr>
          <w:rFonts w:ascii="仿宋" w:hAnsi="仿宋" w:eastAsia="仿宋" w:cs="仿宋"/>
          <w:color w:val="0000FF"/>
          <w:sz w:val="32"/>
          <w:szCs w:val="32"/>
        </w:rPr>
      </w:pPr>
      <w:bookmarkStart w:id="85" w:name="_Toc14801"/>
      <w:bookmarkStart w:id="86" w:name="_Toc27857"/>
      <w:bookmarkStart w:id="87" w:name="_Toc29717"/>
      <w:r>
        <w:rPr>
          <w:rFonts w:hint="eastAsia" w:ascii="仿宋" w:hAnsi="仿宋" w:eastAsia="仿宋" w:cs="仿宋"/>
          <w:sz w:val="32"/>
          <w:szCs w:val="32"/>
        </w:rPr>
        <w:t>2.产出质量（10分）：各项工程均在项目实施单位、监理单位的监管下有序开展，达到质量标准，无扣分。</w:t>
      </w:r>
      <w:bookmarkEnd w:id="85"/>
      <w:bookmarkEnd w:id="86"/>
      <w:bookmarkEnd w:id="87"/>
    </w:p>
    <w:p>
      <w:pPr>
        <w:spacing w:line="560" w:lineRule="exact"/>
        <w:ind w:firstLine="640" w:firstLineChars="200"/>
        <w:outlineLvl w:val="2"/>
        <w:rPr>
          <w:rFonts w:ascii="仿宋" w:hAnsi="仿宋" w:eastAsia="仿宋" w:cs="仿宋"/>
          <w:sz w:val="32"/>
          <w:szCs w:val="32"/>
        </w:rPr>
      </w:pPr>
      <w:bookmarkStart w:id="88" w:name="_Toc26275"/>
      <w:bookmarkStart w:id="89" w:name="_Toc25908"/>
      <w:bookmarkStart w:id="90" w:name="_Toc21527"/>
      <w:r>
        <w:rPr>
          <w:rFonts w:hint="eastAsia" w:ascii="仿宋" w:hAnsi="仿宋" w:eastAsia="仿宋" w:cs="仿宋"/>
          <w:sz w:val="32"/>
          <w:szCs w:val="32"/>
        </w:rPr>
        <w:t>3.产出时效（10分）：项目按计划时间有序开展，无扣分。</w:t>
      </w:r>
      <w:bookmarkEnd w:id="88"/>
      <w:bookmarkEnd w:id="89"/>
      <w:bookmarkEnd w:id="90"/>
    </w:p>
    <w:p>
      <w:pPr>
        <w:spacing w:line="560" w:lineRule="exact"/>
        <w:ind w:firstLine="640" w:firstLineChars="200"/>
        <w:outlineLvl w:val="2"/>
        <w:rPr>
          <w:rFonts w:ascii="仿宋" w:hAnsi="仿宋" w:eastAsia="仿宋" w:cs="仿宋"/>
          <w:sz w:val="32"/>
          <w:szCs w:val="32"/>
        </w:rPr>
      </w:pPr>
      <w:bookmarkStart w:id="91" w:name="_Toc26537"/>
      <w:bookmarkStart w:id="92" w:name="_Toc7868"/>
      <w:bookmarkStart w:id="93" w:name="_Toc5971"/>
      <w:r>
        <w:rPr>
          <w:rFonts w:hint="eastAsia" w:ascii="仿宋" w:hAnsi="仿宋" w:eastAsia="仿宋" w:cs="仿宋"/>
          <w:sz w:val="32"/>
          <w:szCs w:val="32"/>
        </w:rPr>
        <w:t>4.产出成本（5分）：因项目尚未完工，经询问项目单位得知，项目总成本将控制在项目预算以内，故根据谨慎性原则，参照"项目实际建设成本等于项目预算投资额"的等级予以评分，无扣分。</w:t>
      </w:r>
      <w:bookmarkEnd w:id="91"/>
      <w:bookmarkEnd w:id="92"/>
      <w:bookmarkEnd w:id="93"/>
    </w:p>
    <w:p>
      <w:pPr>
        <w:spacing w:line="560" w:lineRule="exact"/>
        <w:ind w:firstLine="643" w:firstLineChars="200"/>
        <w:outlineLvl w:val="1"/>
        <w:rPr>
          <w:rFonts w:ascii="楷体" w:hAnsi="楷体" w:eastAsia="楷体" w:cs="楷体"/>
          <w:b/>
          <w:color w:val="000000"/>
          <w:sz w:val="32"/>
          <w:szCs w:val="32"/>
        </w:rPr>
      </w:pPr>
      <w:bookmarkStart w:id="94" w:name="_Toc10673"/>
      <w:r>
        <w:rPr>
          <w:rFonts w:hint="eastAsia" w:ascii="楷体" w:hAnsi="楷体" w:eastAsia="楷体" w:cs="楷体"/>
          <w:b/>
          <w:color w:val="000000"/>
          <w:sz w:val="32"/>
          <w:szCs w:val="32"/>
        </w:rPr>
        <w:t>（四）项目效益情况。该项分值20分，计20分</w:t>
      </w:r>
      <w:bookmarkEnd w:id="9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w:t>
      </w:r>
      <w:bookmarkStart w:id="95" w:name="_Toc27967"/>
      <w:bookmarkStart w:id="96" w:name="_Toc16230"/>
      <w:r>
        <w:rPr>
          <w:rFonts w:hint="eastAsia" w:ascii="仿宋" w:hAnsi="仿宋" w:eastAsia="仿宋" w:cs="仿宋"/>
          <w:sz w:val="32"/>
          <w:szCs w:val="32"/>
        </w:rPr>
        <w:t>1.项目效益20分，实得20分</w:t>
      </w:r>
      <w:bookmarkEnd w:id="95"/>
      <w:bookmarkEnd w:id="96"/>
    </w:p>
    <w:p>
      <w:pPr>
        <w:spacing w:line="560" w:lineRule="exact"/>
        <w:ind w:firstLine="640" w:firstLineChars="200"/>
        <w:outlineLvl w:val="2"/>
        <w:rPr>
          <w:rFonts w:ascii="仿宋" w:hAnsi="仿宋" w:eastAsia="仿宋" w:cs="仿宋"/>
          <w:sz w:val="32"/>
          <w:szCs w:val="32"/>
        </w:rPr>
      </w:pPr>
      <w:bookmarkStart w:id="97" w:name="_Toc28598"/>
      <w:bookmarkStart w:id="98" w:name="_Toc22843"/>
      <w:bookmarkStart w:id="99" w:name="_Toc3288"/>
      <w:r>
        <w:rPr>
          <w:rFonts w:hint="eastAsia" w:ascii="仿宋" w:hAnsi="仿宋" w:eastAsia="仿宋" w:cs="仿宋"/>
          <w:sz w:val="32"/>
          <w:szCs w:val="32"/>
        </w:rPr>
        <w:t>（1）社会效益、经济效益（5分）：项目的实施可以解决中心医院停车难、缓解红旗路和宝庆中路“停与行”的矛盾，项目停车位、充电桩、广告位、配套附属用房出租部分在达到可使用状态后预计能取得净现金流量</w:t>
      </w:r>
      <w:r>
        <w:rPr>
          <w:rFonts w:ascii="仿宋" w:hAnsi="仿宋" w:eastAsia="仿宋" w:cs="仿宋"/>
          <w:sz w:val="32"/>
          <w:szCs w:val="32"/>
        </w:rPr>
        <w:t>32072</w:t>
      </w:r>
      <w:r>
        <w:rPr>
          <w:rFonts w:hint="eastAsia" w:ascii="仿宋" w:hAnsi="仿宋" w:eastAsia="仿宋" w:cs="仿宋"/>
          <w:sz w:val="32"/>
          <w:szCs w:val="32"/>
        </w:rPr>
        <w:t>.</w:t>
      </w:r>
      <w:r>
        <w:rPr>
          <w:rFonts w:ascii="仿宋" w:hAnsi="仿宋" w:eastAsia="仿宋" w:cs="仿宋"/>
          <w:sz w:val="32"/>
          <w:szCs w:val="32"/>
        </w:rPr>
        <w:t>94</w:t>
      </w:r>
      <w:r>
        <w:rPr>
          <w:rFonts w:hint="eastAsia" w:ascii="仿宋" w:hAnsi="仿宋" w:eastAsia="仿宋" w:cs="仿宋"/>
          <w:sz w:val="32"/>
          <w:szCs w:val="32"/>
        </w:rPr>
        <w:t>万元,本息覆盖率1</w:t>
      </w:r>
      <w:r>
        <w:rPr>
          <w:rFonts w:ascii="仿宋" w:hAnsi="仿宋" w:eastAsia="仿宋" w:cs="仿宋"/>
          <w:sz w:val="32"/>
          <w:szCs w:val="32"/>
        </w:rPr>
        <w:t>.21</w:t>
      </w:r>
      <w:r>
        <w:rPr>
          <w:rFonts w:hint="eastAsia" w:ascii="仿宋" w:hAnsi="仿宋" w:eastAsia="仿宋" w:cs="仿宋"/>
          <w:sz w:val="32"/>
          <w:szCs w:val="32"/>
        </w:rPr>
        <w:t>倍，现项目未完工交付使用，暂未产生经济效益，无扣分。</w:t>
      </w:r>
      <w:bookmarkEnd w:id="97"/>
      <w:bookmarkEnd w:id="98"/>
      <w:bookmarkEnd w:id="99"/>
      <w:r>
        <w:rPr>
          <w:rFonts w:hint="eastAsia" w:ascii="仿宋" w:hAnsi="仿宋" w:eastAsia="仿宋" w:cs="仿宋"/>
          <w:sz w:val="32"/>
          <w:szCs w:val="32"/>
        </w:rPr>
        <w:t xml:space="preserve"> </w:t>
      </w:r>
    </w:p>
    <w:p>
      <w:pPr>
        <w:spacing w:line="560" w:lineRule="exact"/>
        <w:ind w:firstLine="640" w:firstLineChars="200"/>
        <w:outlineLvl w:val="2"/>
        <w:rPr>
          <w:rFonts w:ascii="仿宋" w:hAnsi="仿宋" w:eastAsia="仿宋" w:cs="仿宋"/>
          <w:color w:val="0000FF"/>
          <w:sz w:val="32"/>
          <w:szCs w:val="32"/>
        </w:rPr>
      </w:pPr>
      <w:bookmarkStart w:id="100" w:name="_Toc15344"/>
      <w:bookmarkStart w:id="101" w:name="_Toc1424"/>
      <w:bookmarkStart w:id="102" w:name="_Toc5968"/>
      <w:r>
        <w:rPr>
          <w:rFonts w:hint="eastAsia" w:ascii="仿宋" w:hAnsi="仿宋" w:eastAsia="仿宋" w:cs="仿宋"/>
          <w:sz w:val="32"/>
          <w:szCs w:val="32"/>
        </w:rPr>
        <w:t>（2）社会公众或服务对象满意度（10分）：本次满意度问卷调查共收集有效问卷101份，其中：项目周边社会群体58份、主管单位和建设单位内部员工25份、项目建设过程中的参与者18份。最终，计算得出绩效评价满意度得分99.52分，等级优秀，无扣分。</w:t>
      </w:r>
      <w:bookmarkEnd w:id="100"/>
      <w:bookmarkEnd w:id="101"/>
      <w:bookmarkEnd w:id="102"/>
    </w:p>
    <w:p>
      <w:pPr>
        <w:spacing w:line="560" w:lineRule="exact"/>
        <w:ind w:firstLine="640" w:firstLineChars="200"/>
        <w:outlineLvl w:val="2"/>
        <w:rPr>
          <w:rFonts w:ascii="仿宋" w:hAnsi="仿宋" w:eastAsia="仿宋" w:cs="仿宋"/>
          <w:color w:val="0000FF"/>
          <w:sz w:val="32"/>
          <w:szCs w:val="32"/>
        </w:rPr>
      </w:pPr>
      <w:bookmarkStart w:id="103" w:name="_Toc21233"/>
      <w:bookmarkStart w:id="104" w:name="_Toc5137"/>
      <w:bookmarkStart w:id="105" w:name="_Toc17765"/>
      <w:r>
        <w:rPr>
          <w:rFonts w:hint="eastAsia" w:ascii="仿宋" w:hAnsi="仿宋" w:eastAsia="仿宋" w:cs="仿宋"/>
          <w:sz w:val="32"/>
          <w:szCs w:val="32"/>
        </w:rPr>
        <w:t>（3）可持续影响（5分）：本项目建设地西侧为市中心医院，南侧为市体育馆，北侧为市公安局原址，东侧为大祥坪东侧棚改项目用地。项目完成后对周边商业、医院、办公和居住均产生很好的交通便利，解决了该地老城区停车难的痛点，无扣分。</w:t>
      </w:r>
      <w:bookmarkEnd w:id="103"/>
      <w:bookmarkEnd w:id="104"/>
      <w:bookmarkEnd w:id="105"/>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06" w:name="_Toc24963"/>
      <w:r>
        <w:rPr>
          <w:rFonts w:hint="eastAsia" w:ascii="黑体" w:hAnsi="黑体" w:eastAsia="黑体" w:cs="黑体"/>
          <w:b/>
          <w:bCs/>
          <w:color w:val="000000"/>
          <w:sz w:val="32"/>
          <w:szCs w:val="32"/>
        </w:rPr>
        <w:t>五、主要经验及做法</w:t>
      </w:r>
      <w:bookmarkEnd w:id="106"/>
    </w:p>
    <w:p>
      <w:pPr>
        <w:spacing w:line="560" w:lineRule="exact"/>
        <w:ind w:firstLine="643" w:firstLineChars="200"/>
        <w:outlineLvl w:val="1"/>
        <w:rPr>
          <w:rFonts w:ascii="楷体" w:hAnsi="楷体" w:eastAsia="楷体" w:cs="楷体"/>
          <w:b/>
          <w:color w:val="000000"/>
          <w:sz w:val="32"/>
          <w:szCs w:val="32"/>
        </w:rPr>
      </w:pPr>
      <w:bookmarkStart w:id="107" w:name="_Toc9593"/>
      <w:r>
        <w:rPr>
          <w:rFonts w:hint="eastAsia" w:ascii="楷体" w:hAnsi="楷体" w:eastAsia="楷体" w:cs="楷体"/>
          <w:b/>
          <w:color w:val="000000"/>
          <w:sz w:val="32"/>
          <w:szCs w:val="32"/>
        </w:rPr>
        <w:t>（一）项目组织实施过程制度健全执行有效</w:t>
      </w:r>
      <w:bookmarkEnd w:id="107"/>
    </w:p>
    <w:p>
      <w:pPr>
        <w:spacing w:line="56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邵阳市大祥坪体育馆公共停车场建设工程项目的实施单位有健全的财务管理办法和项目业务管理办法。资金的拨付使用严格按照流程进行审批拨付，手续齐全；项目的进度、质量、投资以及合同管理及信息管理均有专门人员进</w:t>
      </w:r>
      <w:bookmarkStart w:id="108" w:name="_bookmark25"/>
      <w:bookmarkEnd w:id="108"/>
      <w:r>
        <w:rPr>
          <w:rFonts w:hint="eastAsia" w:ascii="仿宋" w:hAnsi="仿宋" w:eastAsia="仿宋" w:cs="仿宋"/>
          <w:sz w:val="32"/>
          <w:szCs w:val="32"/>
        </w:rPr>
        <w:t>行监督管控。</w:t>
      </w:r>
    </w:p>
    <w:p>
      <w:pPr>
        <w:spacing w:line="560" w:lineRule="exact"/>
        <w:ind w:firstLine="643" w:firstLineChars="200"/>
        <w:outlineLvl w:val="1"/>
        <w:rPr>
          <w:rFonts w:ascii="楷体" w:hAnsi="楷体" w:eastAsia="楷体" w:cs="楷体"/>
          <w:b/>
          <w:color w:val="000000"/>
          <w:sz w:val="32"/>
          <w:szCs w:val="32"/>
        </w:rPr>
      </w:pPr>
      <w:bookmarkStart w:id="109" w:name="_Toc11878"/>
      <w:r>
        <w:rPr>
          <w:rFonts w:hint="eastAsia" w:ascii="楷体" w:hAnsi="楷体" w:eastAsia="楷体" w:cs="楷体"/>
          <w:b/>
          <w:color w:val="000000"/>
          <w:sz w:val="32"/>
          <w:szCs w:val="32"/>
        </w:rPr>
        <w:t>（二）改善城区交通基础设施条件、促进区域内的经济社会发展</w:t>
      </w:r>
      <w:bookmarkEnd w:id="109"/>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邵阳市大祥坪体育馆公共停车场建设工程项目的实施，将极大地改善邵阳市城区的交通环境，物资流动、人口流动、信息流动将大为便捷。对促进区域内的经济社会发展会起到相当大的推动作用，也可带动项目建设区域的开发和相关产业的发展，实现财政收入的合理增长。</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10" w:name="_bookmark27"/>
      <w:bookmarkEnd w:id="110"/>
      <w:bookmarkStart w:id="111" w:name="_bookmark26"/>
      <w:bookmarkEnd w:id="111"/>
      <w:bookmarkStart w:id="112" w:name="_bookmark28"/>
      <w:bookmarkEnd w:id="112"/>
      <w:bookmarkStart w:id="113" w:name="_Toc18465"/>
      <w:r>
        <w:rPr>
          <w:rFonts w:hint="eastAsia" w:ascii="黑体" w:hAnsi="黑体" w:eastAsia="黑体" w:cs="黑体"/>
          <w:b/>
          <w:bCs/>
          <w:color w:val="000000"/>
          <w:sz w:val="32"/>
          <w:szCs w:val="32"/>
        </w:rPr>
        <w:t>六、存在的问题及原因分析</w:t>
      </w:r>
      <w:bookmarkEnd w:id="113"/>
    </w:p>
    <w:p>
      <w:pPr>
        <w:spacing w:line="560" w:lineRule="exact"/>
        <w:ind w:firstLine="643" w:firstLineChars="200"/>
        <w:rPr>
          <w:rFonts w:ascii="楷体" w:hAnsi="楷体" w:eastAsia="楷体" w:cs="楷体"/>
          <w:b/>
          <w:color w:val="000000"/>
          <w:sz w:val="32"/>
          <w:szCs w:val="32"/>
        </w:rPr>
      </w:pPr>
      <w:r>
        <w:rPr>
          <w:rFonts w:hint="eastAsia" w:ascii="楷体" w:hAnsi="楷体" w:eastAsia="楷体" w:cs="楷体"/>
          <w:b/>
          <w:color w:val="000000"/>
          <w:sz w:val="32"/>
          <w:szCs w:val="32"/>
        </w:rPr>
        <w:t>（一）</w:t>
      </w:r>
      <w:bookmarkStart w:id="114" w:name="_bookmark30"/>
      <w:bookmarkEnd w:id="114"/>
      <w:bookmarkStart w:id="115" w:name="_bookmark29"/>
      <w:bookmarkEnd w:id="115"/>
      <w:r>
        <w:rPr>
          <w:rFonts w:hint="eastAsia" w:ascii="楷体" w:hAnsi="楷体" w:eastAsia="楷体" w:cs="楷体"/>
          <w:b/>
          <w:color w:val="000000"/>
          <w:sz w:val="32"/>
          <w:szCs w:val="32"/>
        </w:rPr>
        <w:t>项目实施方面</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1.管理制度有待建立健全。未专门建立项目建设、运营、资产管理等环节的管理制度，不能反应和考核管理制度对项目顺利实施的保障情况。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2.合同管理有待进一步完善。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招标人和中标人未依照招标投标法及条例的规定签订合同，合同签订的个别条款与招标文件存在差异。如《招标文件》规定“施工工程进度款发包人按施工承包人每月完成的工程量70％进行支付，工程完工后（或移交使用前）支付到实际完成工程量的85％，竣工验收经审计核定后付到总工程款的97％，余下的3％按通用条款约定返还。所有工程款支付到施工承包人指定账户“。而《邵阳市大祥坪停车场(体育场改造)建设工程总承包项目合同书》规定“工程进度款根据发包人制定的里程碑节点支付，每到一个里程碑节点，付此节点至上一节点间完成所有工作量的85％工程款，期间所有工程量由承包人上报监理审核，发包人审批支付。……”。这不符合《中华人民共和国招标投标法实施条例》第五十七条“招标人和中标人应当依照招标投标法和本条例的规定签订书面合同，合同的标的、价款、质量、履行期限等主要条款应当与招标文件和中标人的投标文件的内容一致。招标人和中标人不得再行订立背离合同实质性内容的其他协议”的规定。</w:t>
      </w:r>
    </w:p>
    <w:p>
      <w:pPr>
        <w:spacing w:line="560" w:lineRule="exact"/>
        <w:ind w:firstLine="640" w:firstLineChars="200"/>
        <w:rPr>
          <w:rFonts w:ascii="仿宋" w:hAnsi="仿宋" w:eastAsia="仿宋" w:cs="仿宋"/>
          <w:sz w:val="32"/>
          <w:szCs w:val="32"/>
        </w:rPr>
      </w:pPr>
      <w:bookmarkStart w:id="116" w:name="_Toc6623"/>
      <w:r>
        <w:rPr>
          <w:rFonts w:hint="eastAsia" w:ascii="仿宋" w:hAnsi="仿宋" w:eastAsia="仿宋" w:cs="仿宋"/>
          <w:sz w:val="32"/>
          <w:szCs w:val="32"/>
        </w:rPr>
        <w:t>（2）合同重要条款约定不完整。2020年6月18日邵阳市城市建设投资经营集团有限公司与中标人的签订《邵阳市大祥坪停车场(体育场改造)建设工程总承包项目合同书》，合同条款第13条变更和合同价格调整中，无市场价格波动引起的调整内容，即主要材料价格的确定及调整不明确。工程投标到工程完工竣工期间，建筑材料市场价格波动较大，对建设工程造成较大影响，工程造价计价中未推行风险共担和合理分摊原则,未体现交易的公平性。</w:t>
      </w:r>
      <w:bookmarkEnd w:id="116"/>
    </w:p>
    <w:p>
      <w:pPr>
        <w:spacing w:line="560" w:lineRule="exact"/>
        <w:ind w:firstLine="640" w:firstLineChars="200"/>
        <w:rPr>
          <w:rFonts w:ascii="仿宋" w:hAnsi="仿宋" w:eastAsia="仿宋" w:cs="仿宋"/>
          <w:sz w:val="32"/>
          <w:szCs w:val="32"/>
        </w:rPr>
      </w:pPr>
      <w:bookmarkStart w:id="117" w:name="_Toc2476"/>
      <w:r>
        <w:rPr>
          <w:rFonts w:hint="eastAsia" w:ascii="仿宋" w:hAnsi="仿宋" w:eastAsia="仿宋" w:cs="仿宋"/>
          <w:sz w:val="32"/>
          <w:szCs w:val="32"/>
        </w:rPr>
        <w:t>（3）合同签订不及时。工程中标通知书出具时间为2020年4月2日，工程总承包项目合同书签订时间为2020年6月18日。合同签订时间超过发出中标通知书约定的期限30天。</w:t>
      </w:r>
      <w:bookmarkEnd w:id="117"/>
      <w:r>
        <w:rPr>
          <w:rFonts w:hint="eastAsia" w:ascii="仿宋" w:hAnsi="仿宋" w:eastAsia="仿宋" w:cs="仿宋"/>
          <w:sz w:val="32"/>
          <w:szCs w:val="32"/>
        </w:rPr>
        <w:t>与我国《政府采购法》第四十六条“采购人与中标、成交供应商应当在中标、成交通知书发出之日起三十日内，按照采购文件确定的事项签订采购合同”规定不符。</w:t>
      </w:r>
    </w:p>
    <w:p>
      <w:pPr>
        <w:spacing w:line="560" w:lineRule="exact"/>
        <w:ind w:firstLine="643" w:firstLineChars="200"/>
        <w:outlineLvl w:val="1"/>
        <w:rPr>
          <w:rFonts w:ascii="楷体" w:hAnsi="楷体" w:eastAsia="楷体" w:cs="楷体"/>
          <w:b/>
          <w:color w:val="000000"/>
          <w:sz w:val="32"/>
          <w:szCs w:val="32"/>
        </w:rPr>
      </w:pPr>
      <w:bookmarkStart w:id="118" w:name="_Toc1182"/>
      <w:r>
        <w:rPr>
          <w:rFonts w:hint="eastAsia" w:ascii="楷体" w:hAnsi="楷体" w:eastAsia="楷体" w:cs="楷体"/>
          <w:b/>
          <w:color w:val="000000"/>
          <w:sz w:val="32"/>
          <w:szCs w:val="32"/>
        </w:rPr>
        <w:t>（二）风险控制方面</w:t>
      </w:r>
      <w:bookmarkEnd w:id="11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债务风险防控不到位。未正式出台债务风险应急处置预案、债务风险动态监测机制，按照财政部印发的《地方政府专项债券项目资金绩效管理办法》，项目主管部门和项目单位应当建立专项债券项目资金绩效跟踪监测机制，对绩效目标实现程度进行动态监控，发现问题及时纠正并告知同级财政部门，提高专项债券资金使用效益，确保绩效目标如期实现。</w:t>
      </w:r>
    </w:p>
    <w:p>
      <w:pPr>
        <w:spacing w:line="560" w:lineRule="exact"/>
        <w:ind w:firstLine="643" w:firstLineChars="200"/>
        <w:outlineLvl w:val="1"/>
        <w:rPr>
          <w:rFonts w:ascii="楷体" w:hAnsi="楷体" w:eastAsia="楷体" w:cs="楷体"/>
          <w:b/>
          <w:color w:val="000000"/>
          <w:sz w:val="32"/>
          <w:szCs w:val="32"/>
        </w:rPr>
      </w:pPr>
      <w:bookmarkStart w:id="119" w:name="_Toc19004"/>
      <w:bookmarkStart w:id="120" w:name="_Toc31879"/>
      <w:r>
        <w:rPr>
          <w:rFonts w:hint="eastAsia" w:ascii="楷体" w:hAnsi="楷体" w:eastAsia="楷体" w:cs="楷体"/>
          <w:b/>
          <w:color w:val="000000"/>
          <w:sz w:val="32"/>
          <w:szCs w:val="32"/>
        </w:rPr>
        <w:t>（三）绩效管理方面</w:t>
      </w:r>
      <w:bookmarkEnd w:id="119"/>
      <w:bookmarkEnd w:id="120"/>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绩效目标未设置完整的实施期绩效目标和年度绩效目标。实施期绩效目标是政府债务项目在全生命周期内预期达到的产出和效果；年度绩效目标是项目实施期内每个年度预期达到的产出和效果，应当具体、明确、可衡量、可实现。</w:t>
      </w:r>
    </w:p>
    <w:p>
      <w:pPr>
        <w:pStyle w:val="15"/>
        <w:rPr>
          <w:rFonts w:ascii="仿宋" w:hAnsi="仿宋" w:eastAsia="仿宋" w:cs="仿宋"/>
          <w:color w:val="000000"/>
          <w:sz w:val="32"/>
          <w:szCs w:val="32"/>
        </w:rPr>
      </w:pPr>
      <w:r>
        <w:rPr>
          <w:rFonts w:hint="eastAsia"/>
        </w:rPr>
        <w:t xml:space="preserve"> </w:t>
      </w:r>
      <w:r>
        <w:t xml:space="preserve">     </w:t>
      </w:r>
      <w:r>
        <w:rPr>
          <w:rFonts w:hint="eastAsia" w:ascii="仿宋" w:hAnsi="仿宋" w:eastAsia="仿宋" w:cs="仿宋"/>
          <w:color w:val="000000"/>
          <w:sz w:val="32"/>
          <w:szCs w:val="32"/>
        </w:rPr>
        <w:t>2.绩效目标设定的效益指标不合理，无法进行量化分析。不符合《中共中央国务院关于全面实施预算绩效管理的意见》中完善绩效目标、强化绩效目标管理的规定。</w:t>
      </w:r>
    </w:p>
    <w:p>
      <w:pPr>
        <w:spacing w:line="560" w:lineRule="exact"/>
        <w:ind w:firstLine="640" w:firstLineChars="200"/>
        <w:rPr>
          <w:rFonts w:ascii="仿宋" w:hAnsi="仿宋" w:eastAsia="仿宋" w:cs="仿宋"/>
          <w:color w:val="000000"/>
          <w:sz w:val="32"/>
          <w:szCs w:val="32"/>
        </w:rPr>
      </w:pPr>
      <w:bookmarkStart w:id="121" w:name="_bookmark31"/>
      <w:bookmarkEnd w:id="121"/>
      <w:r>
        <w:rPr>
          <w:rFonts w:ascii="仿宋" w:hAnsi="仿宋" w:eastAsia="仿宋" w:cs="仿宋"/>
          <w:color w:val="000000"/>
          <w:sz w:val="32"/>
          <w:szCs w:val="32"/>
        </w:rPr>
        <w:t>3</w:t>
      </w:r>
      <w:r>
        <w:rPr>
          <w:rFonts w:hint="eastAsia" w:ascii="仿宋" w:hAnsi="仿宋" w:eastAsia="仿宋" w:cs="仿宋"/>
          <w:color w:val="000000"/>
          <w:sz w:val="32"/>
          <w:szCs w:val="32"/>
        </w:rPr>
        <w:t>.产出数量与绩效目标不符。项目计划建设完成新增停车位741个，充电桩（车位）238 个。实际完成新增停车位716个，充电桩（车位）218 个，少于计划产出数量。</w:t>
      </w:r>
    </w:p>
    <w:p>
      <w:pPr>
        <w:tabs>
          <w:tab w:val="left" w:pos="5673"/>
        </w:tabs>
        <w:spacing w:line="560" w:lineRule="exact"/>
        <w:ind w:firstLine="643" w:firstLineChars="200"/>
        <w:outlineLvl w:val="0"/>
        <w:rPr>
          <w:rFonts w:ascii="黑体" w:hAnsi="黑体" w:eastAsia="黑体" w:cs="黑体"/>
          <w:b/>
          <w:bCs/>
          <w:color w:val="000000"/>
          <w:sz w:val="32"/>
          <w:szCs w:val="32"/>
        </w:rPr>
      </w:pPr>
      <w:bookmarkStart w:id="122" w:name="_Toc27995"/>
      <w:r>
        <w:rPr>
          <w:rFonts w:hint="eastAsia" w:ascii="黑体" w:hAnsi="黑体" w:eastAsia="黑体" w:cs="黑体"/>
          <w:b/>
          <w:bCs/>
          <w:color w:val="000000"/>
          <w:sz w:val="32"/>
          <w:szCs w:val="32"/>
        </w:rPr>
        <w:t>七、有关建议</w:t>
      </w:r>
      <w:bookmarkEnd w:id="122"/>
      <w:bookmarkStart w:id="123" w:name="_bookmark32"/>
      <w:bookmarkEnd w:id="123"/>
      <w:bookmarkStart w:id="124" w:name="_bookmark33"/>
      <w:bookmarkEnd w:id="124"/>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w:t>
      </w:r>
      <w:bookmarkStart w:id="125" w:name="_bookmark34"/>
      <w:bookmarkEnd w:id="125"/>
      <w:r>
        <w:rPr>
          <w:rFonts w:hint="eastAsia" w:ascii="仿宋" w:hAnsi="仿宋" w:eastAsia="仿宋" w:cs="仿宋"/>
          <w:color w:val="000000"/>
          <w:sz w:val="32"/>
          <w:szCs w:val="32"/>
        </w:rPr>
        <w:t>项目公司应加强项目合同管理，认真阅读合同中的条款，严格按照合同约定履行责任和义务。签订合同要规范，内容要符合国家法律法规，双方的权利义务要合理、明确，对合同价款调整、设计变更、质量要求和付款方式等表述要准确、清楚，减少不确定因素。</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建立和完善专项债务相关制度。应按照《湖南省政府债务项目绩效管理暂行办法》的规定，建立和完善专项债务项目管理及资金管理相关制度，加强对专项债务的管理和监督；防范风险管控，加快制定并出台政府性债务风险应急处置预案。加强专项债券项目建设管理。严格执行基本建设程序和监管制度，对项目进行明确划分，按照不同的项目建立相应的台账，并科学分类、妥善保管项目资料。提升项目档案管理水平，应安排专人对项目各项资料进行科学分类、妥善保管。</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（三）加强预算绩效目标管理，提升绩效目标的完整性和指标的科学性。应设置实施期绩效目标和年度绩效目标</w:t>
      </w:r>
      <w:r>
        <w:rPr>
          <w:rFonts w:ascii="仿宋" w:hAnsi="仿宋" w:eastAsia="仿宋" w:cs="仿宋"/>
          <w:color w:val="000000"/>
          <w:sz w:val="32"/>
          <w:szCs w:val="32"/>
        </w:rPr>
        <w:t>,</w:t>
      </w:r>
      <w:r>
        <w:rPr>
          <w:rFonts w:hint="eastAsia" w:ascii="仿宋" w:hAnsi="仿宋" w:eastAsia="仿宋" w:cs="仿宋"/>
          <w:color w:val="000000"/>
          <w:sz w:val="32"/>
          <w:szCs w:val="32"/>
        </w:rPr>
        <w:t>应强化绩效目标管理，提高预算项目绩效目标填报的完整性、合理性、科学性。项目所设定的绩效目标要依据充分，符合客观实际工作内容。绩效指标要与项目目标任务数或政府投资计划相对应，确保绩效目标的完整性、合理性、科学性。</w:t>
      </w:r>
      <w:bookmarkStart w:id="126" w:name="_GoBack"/>
      <w:bookmarkEnd w:id="126"/>
    </w:p>
    <w:sectPr>
      <w:footerReference r:id="rId3" w:type="default"/>
      <w:pgSz w:w="11906" w:h="16838"/>
      <w:pgMar w:top="1417"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C37FC413-6AA3-412E-9A4E-B6142B68FE7C}"/>
  </w:font>
  <w:font w:name="黑体">
    <w:panose1 w:val="02010609060101010101"/>
    <w:charset w:val="86"/>
    <w:family w:val="auto"/>
    <w:pitch w:val="default"/>
    <w:sig w:usb0="800002BF" w:usb1="38CF7CFA" w:usb2="00000016" w:usb3="00000000" w:csb0="00040001" w:csb1="00000000"/>
    <w:embedRegular r:id="rId2" w:fontKey="{F38E9421-A8B0-4567-B7CD-A8282BFC05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23710B35-F7AE-44D7-BB39-D11F6CC78F74}"/>
  </w:font>
  <w:font w:name="楷体">
    <w:panose1 w:val="02010609060101010101"/>
    <w:charset w:val="86"/>
    <w:family w:val="modern"/>
    <w:pitch w:val="default"/>
    <w:sig w:usb0="800002BF" w:usb1="38CF7CFA" w:usb2="00000016" w:usb3="00000000" w:csb0="00040001" w:csb1="00000000"/>
    <w:embedRegular r:id="rId4" w:fontKey="{4EDB7A0C-4F13-4EC3-B01A-2F59F2C929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4278"/>
      <w:rPr>
        <w:rFonts w:ascii="仿宋" w:hAnsi="仿宋" w:eastAsia="仿宋" w:cs="仿宋"/>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8432FA2"/>
    <w:rsid w:val="000153DB"/>
    <w:rsid w:val="000539EB"/>
    <w:rsid w:val="000A3177"/>
    <w:rsid w:val="000D34EA"/>
    <w:rsid w:val="000F5CAF"/>
    <w:rsid w:val="00141D02"/>
    <w:rsid w:val="0016122B"/>
    <w:rsid w:val="001C5B88"/>
    <w:rsid w:val="001D3DE6"/>
    <w:rsid w:val="001E2717"/>
    <w:rsid w:val="001E78B7"/>
    <w:rsid w:val="002942CC"/>
    <w:rsid w:val="00310842"/>
    <w:rsid w:val="00351132"/>
    <w:rsid w:val="00372245"/>
    <w:rsid w:val="00374247"/>
    <w:rsid w:val="00380A37"/>
    <w:rsid w:val="003B2641"/>
    <w:rsid w:val="00442162"/>
    <w:rsid w:val="00447052"/>
    <w:rsid w:val="004948B6"/>
    <w:rsid w:val="004E6F2D"/>
    <w:rsid w:val="004F5515"/>
    <w:rsid w:val="00567FDE"/>
    <w:rsid w:val="005960F3"/>
    <w:rsid w:val="005C1534"/>
    <w:rsid w:val="005C229F"/>
    <w:rsid w:val="005E5DEA"/>
    <w:rsid w:val="00630088"/>
    <w:rsid w:val="006327DB"/>
    <w:rsid w:val="00634158"/>
    <w:rsid w:val="006D1F8E"/>
    <w:rsid w:val="006E1D75"/>
    <w:rsid w:val="00720657"/>
    <w:rsid w:val="007261DC"/>
    <w:rsid w:val="00805C4B"/>
    <w:rsid w:val="00842EE7"/>
    <w:rsid w:val="008B01AC"/>
    <w:rsid w:val="008C105C"/>
    <w:rsid w:val="008C2C8E"/>
    <w:rsid w:val="008E1169"/>
    <w:rsid w:val="008E7135"/>
    <w:rsid w:val="008F0ACB"/>
    <w:rsid w:val="009231E1"/>
    <w:rsid w:val="00945065"/>
    <w:rsid w:val="0097518F"/>
    <w:rsid w:val="00990E08"/>
    <w:rsid w:val="009966FC"/>
    <w:rsid w:val="009B5F86"/>
    <w:rsid w:val="009C46EA"/>
    <w:rsid w:val="009D1A9C"/>
    <w:rsid w:val="00A635EF"/>
    <w:rsid w:val="00A90F44"/>
    <w:rsid w:val="00AB6B7F"/>
    <w:rsid w:val="00AF1F31"/>
    <w:rsid w:val="00B05065"/>
    <w:rsid w:val="00B8175E"/>
    <w:rsid w:val="00C223F5"/>
    <w:rsid w:val="00CA5015"/>
    <w:rsid w:val="00CA7225"/>
    <w:rsid w:val="00CC75AB"/>
    <w:rsid w:val="00D07F09"/>
    <w:rsid w:val="00D1050B"/>
    <w:rsid w:val="00D90DDA"/>
    <w:rsid w:val="00D91C82"/>
    <w:rsid w:val="00DA595D"/>
    <w:rsid w:val="00DC18CA"/>
    <w:rsid w:val="00E157C1"/>
    <w:rsid w:val="00E34AE3"/>
    <w:rsid w:val="00E368DD"/>
    <w:rsid w:val="00EB3A94"/>
    <w:rsid w:val="00EF594F"/>
    <w:rsid w:val="00F42215"/>
    <w:rsid w:val="00FE652B"/>
    <w:rsid w:val="00FF2C56"/>
    <w:rsid w:val="012375FA"/>
    <w:rsid w:val="014F4893"/>
    <w:rsid w:val="01E81930"/>
    <w:rsid w:val="0218328A"/>
    <w:rsid w:val="02CB5C25"/>
    <w:rsid w:val="03486F55"/>
    <w:rsid w:val="04267B2D"/>
    <w:rsid w:val="04654581"/>
    <w:rsid w:val="050D2A9B"/>
    <w:rsid w:val="058A43DF"/>
    <w:rsid w:val="0647150E"/>
    <w:rsid w:val="06EF64EF"/>
    <w:rsid w:val="07035F04"/>
    <w:rsid w:val="07124399"/>
    <w:rsid w:val="072E0AA7"/>
    <w:rsid w:val="07373E14"/>
    <w:rsid w:val="07930A17"/>
    <w:rsid w:val="079742F4"/>
    <w:rsid w:val="079E06FB"/>
    <w:rsid w:val="07AB5A00"/>
    <w:rsid w:val="085B56E0"/>
    <w:rsid w:val="08886FD2"/>
    <w:rsid w:val="09153C1F"/>
    <w:rsid w:val="09233EFA"/>
    <w:rsid w:val="095D5393"/>
    <w:rsid w:val="096B1B3E"/>
    <w:rsid w:val="098D0754"/>
    <w:rsid w:val="09A810D5"/>
    <w:rsid w:val="09C324EE"/>
    <w:rsid w:val="09C351DA"/>
    <w:rsid w:val="09CD18FD"/>
    <w:rsid w:val="0B9058FD"/>
    <w:rsid w:val="0BA457DB"/>
    <w:rsid w:val="0BB66B97"/>
    <w:rsid w:val="0BC709C7"/>
    <w:rsid w:val="0BFA4BEA"/>
    <w:rsid w:val="0C1D6946"/>
    <w:rsid w:val="0C300E1D"/>
    <w:rsid w:val="0C56207D"/>
    <w:rsid w:val="0D1D7FF2"/>
    <w:rsid w:val="0E135128"/>
    <w:rsid w:val="0F28287A"/>
    <w:rsid w:val="0F3626AA"/>
    <w:rsid w:val="0F3A01AC"/>
    <w:rsid w:val="0F740C51"/>
    <w:rsid w:val="0FD526AC"/>
    <w:rsid w:val="10120F66"/>
    <w:rsid w:val="10F6445B"/>
    <w:rsid w:val="121549EF"/>
    <w:rsid w:val="124F64A1"/>
    <w:rsid w:val="128B3251"/>
    <w:rsid w:val="12B502CE"/>
    <w:rsid w:val="12CB18A0"/>
    <w:rsid w:val="130B7EEE"/>
    <w:rsid w:val="130D2DA4"/>
    <w:rsid w:val="14060DE1"/>
    <w:rsid w:val="14754782"/>
    <w:rsid w:val="14E76E65"/>
    <w:rsid w:val="16D13309"/>
    <w:rsid w:val="175E2CE2"/>
    <w:rsid w:val="17823384"/>
    <w:rsid w:val="17BB1EE3"/>
    <w:rsid w:val="17E8752C"/>
    <w:rsid w:val="18432FA2"/>
    <w:rsid w:val="1851364E"/>
    <w:rsid w:val="18932E60"/>
    <w:rsid w:val="19C21992"/>
    <w:rsid w:val="19C93C81"/>
    <w:rsid w:val="1AED2B7E"/>
    <w:rsid w:val="1AF36070"/>
    <w:rsid w:val="1B456B45"/>
    <w:rsid w:val="1B547528"/>
    <w:rsid w:val="1B557B2C"/>
    <w:rsid w:val="1B64307D"/>
    <w:rsid w:val="1C8B7AE5"/>
    <w:rsid w:val="1CFE6317"/>
    <w:rsid w:val="1D4866B0"/>
    <w:rsid w:val="1D695AE2"/>
    <w:rsid w:val="1D8C2F79"/>
    <w:rsid w:val="1D9C27B6"/>
    <w:rsid w:val="1DDD2889"/>
    <w:rsid w:val="1E2F7187"/>
    <w:rsid w:val="1E786D7F"/>
    <w:rsid w:val="1FDE2C12"/>
    <w:rsid w:val="1FE12702"/>
    <w:rsid w:val="213B4A6F"/>
    <w:rsid w:val="2147411A"/>
    <w:rsid w:val="22836DF0"/>
    <w:rsid w:val="22ED168F"/>
    <w:rsid w:val="22FF5749"/>
    <w:rsid w:val="23496F3C"/>
    <w:rsid w:val="235662B8"/>
    <w:rsid w:val="23AA3D1C"/>
    <w:rsid w:val="2466767A"/>
    <w:rsid w:val="2486193B"/>
    <w:rsid w:val="24AA3628"/>
    <w:rsid w:val="24B93C4E"/>
    <w:rsid w:val="25A22934"/>
    <w:rsid w:val="27335F39"/>
    <w:rsid w:val="27D112AE"/>
    <w:rsid w:val="283852AB"/>
    <w:rsid w:val="286C5AD0"/>
    <w:rsid w:val="290D3235"/>
    <w:rsid w:val="29712B71"/>
    <w:rsid w:val="2A2D61F0"/>
    <w:rsid w:val="2B0F2680"/>
    <w:rsid w:val="2BD55811"/>
    <w:rsid w:val="2D096521"/>
    <w:rsid w:val="2D36047F"/>
    <w:rsid w:val="2D5717A7"/>
    <w:rsid w:val="2D5D0233"/>
    <w:rsid w:val="2E0D48BD"/>
    <w:rsid w:val="2EC603D9"/>
    <w:rsid w:val="2FA5374C"/>
    <w:rsid w:val="31210BB1"/>
    <w:rsid w:val="3240150B"/>
    <w:rsid w:val="32757C76"/>
    <w:rsid w:val="32D86607"/>
    <w:rsid w:val="33492641"/>
    <w:rsid w:val="347F41D9"/>
    <w:rsid w:val="35064C8D"/>
    <w:rsid w:val="351A6043"/>
    <w:rsid w:val="353A0C8F"/>
    <w:rsid w:val="359466B9"/>
    <w:rsid w:val="36147CAD"/>
    <w:rsid w:val="365809DA"/>
    <w:rsid w:val="366A2FFA"/>
    <w:rsid w:val="36BA6090"/>
    <w:rsid w:val="370104D3"/>
    <w:rsid w:val="375B46E7"/>
    <w:rsid w:val="376E5D34"/>
    <w:rsid w:val="377D5E4E"/>
    <w:rsid w:val="37B0332E"/>
    <w:rsid w:val="37BE0F45"/>
    <w:rsid w:val="384004B6"/>
    <w:rsid w:val="387F40FB"/>
    <w:rsid w:val="38910F96"/>
    <w:rsid w:val="38A21BF6"/>
    <w:rsid w:val="38D644E9"/>
    <w:rsid w:val="38E23247"/>
    <w:rsid w:val="38E93BE4"/>
    <w:rsid w:val="38F85911"/>
    <w:rsid w:val="390908A8"/>
    <w:rsid w:val="394E66B6"/>
    <w:rsid w:val="3AD14FE6"/>
    <w:rsid w:val="3B755153"/>
    <w:rsid w:val="3C72386C"/>
    <w:rsid w:val="3C941611"/>
    <w:rsid w:val="3D601A4C"/>
    <w:rsid w:val="3D6B070E"/>
    <w:rsid w:val="3DBD12EA"/>
    <w:rsid w:val="3DDD71BB"/>
    <w:rsid w:val="3DFF671E"/>
    <w:rsid w:val="3EA51073"/>
    <w:rsid w:val="3EF56D6A"/>
    <w:rsid w:val="3F9C16C3"/>
    <w:rsid w:val="3FE958CE"/>
    <w:rsid w:val="3FEE15BC"/>
    <w:rsid w:val="3FF658FE"/>
    <w:rsid w:val="40AC1D36"/>
    <w:rsid w:val="411C75E7"/>
    <w:rsid w:val="41546D80"/>
    <w:rsid w:val="416703A1"/>
    <w:rsid w:val="41BD22E9"/>
    <w:rsid w:val="42227202"/>
    <w:rsid w:val="444D68CC"/>
    <w:rsid w:val="452B604A"/>
    <w:rsid w:val="45537816"/>
    <w:rsid w:val="45E74966"/>
    <w:rsid w:val="46DE0983"/>
    <w:rsid w:val="46E50608"/>
    <w:rsid w:val="46EE1636"/>
    <w:rsid w:val="47AA29E7"/>
    <w:rsid w:val="47B652EF"/>
    <w:rsid w:val="47BE4F54"/>
    <w:rsid w:val="48194880"/>
    <w:rsid w:val="48994BE9"/>
    <w:rsid w:val="493354CD"/>
    <w:rsid w:val="49956188"/>
    <w:rsid w:val="4A1E3411"/>
    <w:rsid w:val="4B003CA8"/>
    <w:rsid w:val="4B1A0FF0"/>
    <w:rsid w:val="4BE07B8E"/>
    <w:rsid w:val="4C06511B"/>
    <w:rsid w:val="4C383F7B"/>
    <w:rsid w:val="4C3954F1"/>
    <w:rsid w:val="4CE1013F"/>
    <w:rsid w:val="4D54180F"/>
    <w:rsid w:val="4D96356C"/>
    <w:rsid w:val="4D981DA3"/>
    <w:rsid w:val="4E255D2C"/>
    <w:rsid w:val="4E9D00AB"/>
    <w:rsid w:val="4EA0605D"/>
    <w:rsid w:val="4EAD2D1D"/>
    <w:rsid w:val="4EEA2BCD"/>
    <w:rsid w:val="4EFB7EB8"/>
    <w:rsid w:val="4F6D22EF"/>
    <w:rsid w:val="4FFE6835"/>
    <w:rsid w:val="500951DA"/>
    <w:rsid w:val="501F5A33"/>
    <w:rsid w:val="507D6957"/>
    <w:rsid w:val="508C2093"/>
    <w:rsid w:val="50B70118"/>
    <w:rsid w:val="514F154D"/>
    <w:rsid w:val="51960CEF"/>
    <w:rsid w:val="51E77AB7"/>
    <w:rsid w:val="531E4896"/>
    <w:rsid w:val="534C3D5B"/>
    <w:rsid w:val="53622AAB"/>
    <w:rsid w:val="53FF5627"/>
    <w:rsid w:val="541128B5"/>
    <w:rsid w:val="547373E8"/>
    <w:rsid w:val="54843081"/>
    <w:rsid w:val="56140155"/>
    <w:rsid w:val="567C0004"/>
    <w:rsid w:val="56D27204"/>
    <w:rsid w:val="571378BA"/>
    <w:rsid w:val="57B718A2"/>
    <w:rsid w:val="57F90077"/>
    <w:rsid w:val="58390F4F"/>
    <w:rsid w:val="59090D3D"/>
    <w:rsid w:val="59A52716"/>
    <w:rsid w:val="59E92DB0"/>
    <w:rsid w:val="5A6D1F75"/>
    <w:rsid w:val="5A7E73B4"/>
    <w:rsid w:val="5AF3275E"/>
    <w:rsid w:val="5C437995"/>
    <w:rsid w:val="5CB35FC3"/>
    <w:rsid w:val="5CDB42C7"/>
    <w:rsid w:val="5DA03C6D"/>
    <w:rsid w:val="5DA444F5"/>
    <w:rsid w:val="5DBE5856"/>
    <w:rsid w:val="5DD41327"/>
    <w:rsid w:val="5E122B27"/>
    <w:rsid w:val="5EC450EE"/>
    <w:rsid w:val="5EDC3E96"/>
    <w:rsid w:val="5F7A78BE"/>
    <w:rsid w:val="5F9F3F01"/>
    <w:rsid w:val="62413E1E"/>
    <w:rsid w:val="62B153DB"/>
    <w:rsid w:val="62BA2A1B"/>
    <w:rsid w:val="639A160B"/>
    <w:rsid w:val="63E7049C"/>
    <w:rsid w:val="64202DC6"/>
    <w:rsid w:val="648A3CC9"/>
    <w:rsid w:val="648D579B"/>
    <w:rsid w:val="64D67929"/>
    <w:rsid w:val="64E2007C"/>
    <w:rsid w:val="65240694"/>
    <w:rsid w:val="6588144D"/>
    <w:rsid w:val="66355034"/>
    <w:rsid w:val="664F5EC9"/>
    <w:rsid w:val="66905D0B"/>
    <w:rsid w:val="68211DF9"/>
    <w:rsid w:val="69043265"/>
    <w:rsid w:val="6A060481"/>
    <w:rsid w:val="6A386990"/>
    <w:rsid w:val="6A410BA0"/>
    <w:rsid w:val="6ACA72C6"/>
    <w:rsid w:val="6B3F1D36"/>
    <w:rsid w:val="6B8359E9"/>
    <w:rsid w:val="6BDB75D3"/>
    <w:rsid w:val="6DB620A5"/>
    <w:rsid w:val="6DBB3B69"/>
    <w:rsid w:val="6E0E3C8F"/>
    <w:rsid w:val="6E214FCA"/>
    <w:rsid w:val="6EE80766"/>
    <w:rsid w:val="6F977BF3"/>
    <w:rsid w:val="6FC767EC"/>
    <w:rsid w:val="70672249"/>
    <w:rsid w:val="7076604D"/>
    <w:rsid w:val="70B054D2"/>
    <w:rsid w:val="70CF14AB"/>
    <w:rsid w:val="71700CEC"/>
    <w:rsid w:val="7173156B"/>
    <w:rsid w:val="7175666D"/>
    <w:rsid w:val="721557E2"/>
    <w:rsid w:val="72315905"/>
    <w:rsid w:val="72693FFF"/>
    <w:rsid w:val="7299057D"/>
    <w:rsid w:val="729927E6"/>
    <w:rsid w:val="731915F3"/>
    <w:rsid w:val="733D1412"/>
    <w:rsid w:val="73447D63"/>
    <w:rsid w:val="74687728"/>
    <w:rsid w:val="74AE3AD6"/>
    <w:rsid w:val="750B0F29"/>
    <w:rsid w:val="752409A2"/>
    <w:rsid w:val="76595BB7"/>
    <w:rsid w:val="7677439C"/>
    <w:rsid w:val="76B146D9"/>
    <w:rsid w:val="773A7224"/>
    <w:rsid w:val="77CA11BC"/>
    <w:rsid w:val="78506C45"/>
    <w:rsid w:val="78622ABB"/>
    <w:rsid w:val="78755945"/>
    <w:rsid w:val="78EB577F"/>
    <w:rsid w:val="790F21BE"/>
    <w:rsid w:val="7919798C"/>
    <w:rsid w:val="795943F6"/>
    <w:rsid w:val="79677284"/>
    <w:rsid w:val="7A364768"/>
    <w:rsid w:val="7BC119A5"/>
    <w:rsid w:val="7BD131CB"/>
    <w:rsid w:val="7BFD5343"/>
    <w:rsid w:val="7BFF29C3"/>
    <w:rsid w:val="7D0B1F36"/>
    <w:rsid w:val="7DE5100B"/>
    <w:rsid w:val="7E0914BC"/>
    <w:rsid w:val="7E6077BC"/>
    <w:rsid w:val="7E957C7B"/>
    <w:rsid w:val="7F25645F"/>
    <w:rsid w:val="7F4266B6"/>
    <w:rsid w:val="7F7069AE"/>
    <w:rsid w:val="7FA63C4B"/>
    <w:rsid w:val="7FA8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360"/>
      <w:jc w:val="center"/>
    </w:pPr>
    <w:rPr>
      <w:b/>
      <w:spacing w:val="68"/>
    </w:rPr>
  </w:style>
  <w:style w:type="paragraph" w:customStyle="1" w:styleId="3">
    <w:name w:val="正文首行缩进1"/>
    <w:basedOn w:val="1"/>
    <w:qFormat/>
    <w:uiPriority w:val="0"/>
    <w:pPr>
      <w:spacing w:after="120"/>
      <w:ind w:firstLine="420" w:firstLineChars="100"/>
    </w:pPr>
  </w:style>
  <w:style w:type="paragraph" w:styleId="4">
    <w:name w:val="annotation text"/>
    <w:basedOn w:val="1"/>
    <w:qFormat/>
    <w:uiPriority w:val="0"/>
    <w:pPr>
      <w:jc w:val="left"/>
    </w:pPr>
  </w:style>
  <w:style w:type="paragraph" w:styleId="5">
    <w:name w:val="toc 5"/>
    <w:next w:val="1"/>
    <w:semiHidden/>
    <w:qFormat/>
    <w:uiPriority w:val="0"/>
    <w:pPr>
      <w:widowControl w:val="0"/>
      <w:ind w:left="1680" w:leftChars="800"/>
      <w:jc w:val="both"/>
    </w:pPr>
    <w:rPr>
      <w:rFonts w:ascii="Times New Roman" w:hAnsi="Times New Roman" w:eastAsia="宋体" w:cs="Times New Roman"/>
      <w:kern w:val="2"/>
      <w:sz w:val="21"/>
      <w:szCs w:val="24"/>
      <w:lang w:val="en-US" w:eastAsia="zh-CN" w:bidi="ar-SA"/>
    </w:rPr>
  </w:style>
  <w:style w:type="paragraph" w:styleId="6">
    <w:name w:val="toc 3"/>
    <w:basedOn w:val="1"/>
    <w:next w:val="1"/>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4">
    <w:name w:val="annotation reference"/>
    <w:basedOn w:val="13"/>
    <w:qFormat/>
    <w:uiPriority w:val="0"/>
    <w:rPr>
      <w:sz w:val="21"/>
      <w:szCs w:val="21"/>
    </w:rPr>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7685</Words>
  <Characters>8400</Characters>
  <Lines>75</Lines>
  <Paragraphs>21</Paragraphs>
  <TotalTime>0</TotalTime>
  <ScaleCrop>false</ScaleCrop>
  <LinksUpToDate>false</LinksUpToDate>
  <CharactersWithSpaces>8668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2020-08-20T09:11:00Z</dcterms:created>
  <dc:creator>Administrator</dc:creator>
  <cp:lastModifiedBy>双双</cp:lastModifiedBy>
  <dcterms:modified xsi:type="dcterms:W3CDTF">2023-10-17T07:06:12Z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B92A6479E7434430B61CA72E37AE2BA0_13</vt:lpwstr>
  </property>
</Properties>
</file>