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862A9A">
      <w:pPr>
        <w:jc w:val="center"/>
        <w:rPr>
          <w:rFonts w:ascii="黑体" w:eastAsia="黑体"/>
          <w:sz w:val="44"/>
          <w:szCs w:val="44"/>
        </w:rPr>
      </w:pPr>
      <w:bookmarkStart w:id="0" w:name="_GoBack"/>
      <w:bookmarkEnd w:id="0"/>
      <w:r>
        <w:rPr>
          <w:rFonts w:hint="eastAsia" w:ascii="黑体" w:eastAsia="黑体"/>
          <w:sz w:val="44"/>
          <w:szCs w:val="44"/>
        </w:rPr>
        <w:t>项目绩效自评报告表</w:t>
      </w:r>
    </w:p>
    <w:p w14:paraId="47E8FBF8"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 w14:paraId="20E41E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填报单位：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邵阳花鼓戏保护传承中心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>填报日期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：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2021</w:t>
      </w:r>
      <w:r>
        <w:rPr>
          <w:rFonts w:hint="eastAsia" w:ascii="楷体" w:hAnsi="楷体" w:eastAsia="楷体" w:cs="楷体"/>
          <w:sz w:val="28"/>
          <w:szCs w:val="28"/>
        </w:rPr>
        <w:t>年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楷体"/>
          <w:sz w:val="28"/>
          <w:szCs w:val="28"/>
        </w:rPr>
        <w:t>月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16</w:t>
      </w:r>
      <w:r>
        <w:rPr>
          <w:rFonts w:hint="eastAsia" w:ascii="楷体" w:hAnsi="楷体" w:eastAsia="楷体" w:cs="楷体"/>
          <w:sz w:val="28"/>
          <w:szCs w:val="28"/>
        </w:rPr>
        <w:t xml:space="preserve">日   </w:t>
      </w:r>
    </w:p>
    <w:tbl>
      <w:tblPr>
        <w:tblStyle w:val="2"/>
        <w:tblW w:w="90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050"/>
        <w:gridCol w:w="1796"/>
        <w:gridCol w:w="600"/>
        <w:gridCol w:w="1305"/>
        <w:gridCol w:w="765"/>
        <w:gridCol w:w="660"/>
        <w:gridCol w:w="1380"/>
      </w:tblGrid>
      <w:tr w14:paraId="3B723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540" w:type="dxa"/>
            <w:vMerge w:val="restart"/>
            <w:vAlign w:val="center"/>
          </w:tcPr>
          <w:p w14:paraId="5D35AC09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 w14:paraId="3B0A6C3B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 w14:paraId="10962305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基本情况</w:t>
            </w:r>
          </w:p>
          <w:p w14:paraId="50B38AB5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557F9C83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11F9B552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1BB5C0B4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7951DD69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4642B76C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4C51DD66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1CA214CE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3668972C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2D534B6F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660CB8AE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7BE341D8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2B6F4BE3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</w:tcPr>
          <w:p w14:paraId="349FBA8A"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创排经费</w:t>
            </w:r>
          </w:p>
        </w:tc>
      </w:tr>
      <w:tr w14:paraId="7E420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exact"/>
        </w:trPr>
        <w:tc>
          <w:tcPr>
            <w:tcW w:w="540" w:type="dxa"/>
            <w:vMerge w:val="continue"/>
            <w:vAlign w:val="center"/>
          </w:tcPr>
          <w:p w14:paraId="5FCE12B9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004284D5">
            <w:pPr>
              <w:jc w:val="both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</w:tcPr>
          <w:p w14:paraId="123BB33C">
            <w:pPr>
              <w:spacing w:line="540" w:lineRule="exact"/>
              <w:ind w:firstLine="140" w:firstLineChars="5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用于花鼓小戏《蜜桔红了》的创作排练</w:t>
            </w:r>
          </w:p>
        </w:tc>
      </w:tr>
      <w:tr w14:paraId="36DD3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6" w:hRule="exact"/>
        </w:trPr>
        <w:tc>
          <w:tcPr>
            <w:tcW w:w="540" w:type="dxa"/>
            <w:vMerge w:val="continue"/>
            <w:vAlign w:val="center"/>
          </w:tcPr>
          <w:p w14:paraId="51E39439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37189D20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</w:tcPr>
          <w:p w14:paraId="5A369641"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邵阳市花鼓戏保护传承中心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　　　　</w:t>
            </w:r>
          </w:p>
        </w:tc>
        <w:tc>
          <w:tcPr>
            <w:tcW w:w="2070" w:type="dxa"/>
            <w:gridSpan w:val="2"/>
            <w:vAlign w:val="center"/>
          </w:tcPr>
          <w:p w14:paraId="6B887169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主管部门</w:t>
            </w:r>
          </w:p>
        </w:tc>
        <w:tc>
          <w:tcPr>
            <w:tcW w:w="2040" w:type="dxa"/>
            <w:gridSpan w:val="2"/>
          </w:tcPr>
          <w:p w14:paraId="43721C1B"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邵阳市文化旅游</w:t>
            </w: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广电体育局</w:t>
            </w:r>
          </w:p>
        </w:tc>
      </w:tr>
      <w:tr w14:paraId="56C65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540" w:type="dxa"/>
            <w:vMerge w:val="continue"/>
            <w:vAlign w:val="center"/>
          </w:tcPr>
          <w:p w14:paraId="060E7C53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2AE61AB1"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</w:tcPr>
          <w:p w14:paraId="2F1490A9"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张求荣</w:t>
            </w:r>
          </w:p>
        </w:tc>
        <w:tc>
          <w:tcPr>
            <w:tcW w:w="2070" w:type="dxa"/>
            <w:gridSpan w:val="2"/>
            <w:vAlign w:val="center"/>
          </w:tcPr>
          <w:p w14:paraId="057DF94A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项目负责人</w:t>
            </w:r>
          </w:p>
        </w:tc>
        <w:tc>
          <w:tcPr>
            <w:tcW w:w="2040" w:type="dxa"/>
            <w:gridSpan w:val="2"/>
          </w:tcPr>
          <w:p w14:paraId="3572D0E3"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张佳媛</w:t>
            </w:r>
          </w:p>
        </w:tc>
      </w:tr>
      <w:tr w14:paraId="330E0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</w:trPr>
        <w:tc>
          <w:tcPr>
            <w:tcW w:w="540" w:type="dxa"/>
            <w:vMerge w:val="continue"/>
            <w:vAlign w:val="center"/>
          </w:tcPr>
          <w:p w14:paraId="74CA772D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12BE0552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</w:tcPr>
          <w:p w14:paraId="056D8338"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A3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经常性　　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一次性　　□新增　　□延续</w:t>
            </w:r>
          </w:p>
        </w:tc>
      </w:tr>
      <w:tr w14:paraId="66BF5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exact"/>
        </w:trPr>
        <w:tc>
          <w:tcPr>
            <w:tcW w:w="540" w:type="dxa"/>
            <w:vMerge w:val="continue"/>
            <w:vAlign w:val="center"/>
          </w:tcPr>
          <w:p w14:paraId="63BC9D12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2FFEB4D7"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</w:tcPr>
          <w:p w14:paraId="13090E61">
            <w:pPr>
              <w:spacing w:line="0" w:lineRule="atLeas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总额：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15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万元，其中：省级财政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15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万元；市级财政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 万元；其他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。</w:t>
            </w:r>
          </w:p>
          <w:p w14:paraId="5CA42B64"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 w14:paraId="696A4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540" w:type="dxa"/>
            <w:vMerge w:val="continue"/>
            <w:vAlign w:val="center"/>
          </w:tcPr>
          <w:p w14:paraId="6DCFD256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6DC794A2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</w:tcPr>
          <w:p w14:paraId="31A20D51">
            <w:pPr>
              <w:spacing w:line="560" w:lineRule="exact"/>
              <w:ind w:firstLine="280" w:firstLineChars="1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年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月起至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年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月止</w:t>
            </w:r>
          </w:p>
        </w:tc>
      </w:tr>
      <w:tr w14:paraId="5F01B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12" w:hRule="exact"/>
        </w:trPr>
        <w:tc>
          <w:tcPr>
            <w:tcW w:w="540" w:type="dxa"/>
            <w:vMerge w:val="restart"/>
            <w:vAlign w:val="center"/>
          </w:tcPr>
          <w:p w14:paraId="6B695A4C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实施情况</w:t>
            </w:r>
          </w:p>
        </w:tc>
        <w:tc>
          <w:tcPr>
            <w:tcW w:w="2050" w:type="dxa"/>
            <w:vAlign w:val="center"/>
          </w:tcPr>
          <w:p w14:paraId="33C3E5B1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</w:tcPr>
          <w:p w14:paraId="0193D6E6"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花鼓小戏《蜜桔红了》的艺术创作生产，传承发展邵阳花鼓戏。</w:t>
            </w:r>
          </w:p>
        </w:tc>
      </w:tr>
      <w:tr w14:paraId="0DF31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exact"/>
        </w:trPr>
        <w:tc>
          <w:tcPr>
            <w:tcW w:w="540" w:type="dxa"/>
            <w:vMerge w:val="continue"/>
            <w:vAlign w:val="center"/>
          </w:tcPr>
          <w:p w14:paraId="75E7698D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0D03EDFC"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</w:tcPr>
          <w:p w14:paraId="6A3267C7"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华文楷体" w:hAnsi="华文楷体" w:eastAsia="华文楷体" w:cs="华文楷体"/>
                <w:sz w:val="24"/>
                <w:szCs w:val="24"/>
              </w:rPr>
              <w:t>注明该</w:t>
            </w:r>
            <w:r>
              <w:rPr>
                <w:rFonts w:hint="eastAsia" w:ascii="华文楷体" w:hAnsi="华文楷体" w:eastAsia="华文楷体" w:cs="华文楷体"/>
                <w:sz w:val="24"/>
                <w:szCs w:val="24"/>
                <w:lang w:eastAsia="zh-CN"/>
              </w:rPr>
              <w:t>项目</w:t>
            </w:r>
            <w:r>
              <w:rPr>
                <w:rFonts w:hint="eastAsia" w:ascii="华文楷体" w:hAnsi="华文楷体" w:eastAsia="华文楷体" w:cs="华文楷体"/>
                <w:sz w:val="24"/>
                <w:szCs w:val="24"/>
              </w:rPr>
              <w:t>是否有可行性研究报告。</w:t>
            </w:r>
          </w:p>
        </w:tc>
      </w:tr>
      <w:tr w14:paraId="62F0F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exact"/>
        </w:trPr>
        <w:tc>
          <w:tcPr>
            <w:tcW w:w="540" w:type="dxa"/>
            <w:vMerge w:val="continue"/>
            <w:vAlign w:val="center"/>
          </w:tcPr>
          <w:p w14:paraId="5F34A619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1B244515"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 结论</w:t>
            </w:r>
          </w:p>
        </w:tc>
        <w:tc>
          <w:tcPr>
            <w:tcW w:w="6506" w:type="dxa"/>
            <w:gridSpan w:val="6"/>
          </w:tcPr>
          <w:p w14:paraId="1DF22C8A"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注明是否有专家评审论证结论及其内容。</w:t>
            </w:r>
          </w:p>
        </w:tc>
      </w:tr>
      <w:tr w14:paraId="6855A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540" w:type="dxa"/>
            <w:vMerge w:val="continue"/>
            <w:vAlign w:val="center"/>
          </w:tcPr>
          <w:p w14:paraId="69E3E04F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1918D3B6"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是否实施政府采购及金额</w:t>
            </w:r>
          </w:p>
          <w:p w14:paraId="000B1FB3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0C2B524B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2279A5EA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203EE08F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</w:tcPr>
          <w:p w14:paraId="45AB6030"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  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否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应采购金额   万元        实际采购金额   万元</w:t>
            </w:r>
          </w:p>
        </w:tc>
      </w:tr>
      <w:tr w14:paraId="4158E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540" w:type="dxa"/>
            <w:vMerge w:val="continue"/>
            <w:vAlign w:val="center"/>
          </w:tcPr>
          <w:p w14:paraId="35FE48C8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5629A737"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</w:tcPr>
          <w:p w14:paraId="015377A6"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 w14:paraId="42547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</w:trPr>
        <w:tc>
          <w:tcPr>
            <w:tcW w:w="540" w:type="dxa"/>
            <w:vMerge w:val="continue"/>
            <w:vAlign w:val="center"/>
          </w:tcPr>
          <w:p w14:paraId="6B47A1D4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1D85E43A"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</w:tcPr>
          <w:p w14:paraId="3C0D958A"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                  　□否</w:t>
            </w:r>
          </w:p>
        </w:tc>
      </w:tr>
      <w:tr w14:paraId="1953C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exact"/>
        </w:trPr>
        <w:tc>
          <w:tcPr>
            <w:tcW w:w="540" w:type="dxa"/>
            <w:vMerge w:val="continue"/>
            <w:vAlign w:val="center"/>
          </w:tcPr>
          <w:p w14:paraId="615C524B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244DF4BE"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</w:tcPr>
          <w:p w14:paraId="52EB5841"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 w14:paraId="10746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</w:trPr>
        <w:tc>
          <w:tcPr>
            <w:tcW w:w="540" w:type="dxa"/>
            <w:vMerge w:val="continue"/>
            <w:vAlign w:val="center"/>
          </w:tcPr>
          <w:p w14:paraId="500AAF36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70A05885"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</w:tcPr>
          <w:p w14:paraId="3E7729D9"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  <w:p w14:paraId="51563DB7"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 w14:paraId="1CDDA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540" w:type="dxa"/>
            <w:vMerge w:val="continue"/>
            <w:vAlign w:val="center"/>
          </w:tcPr>
          <w:p w14:paraId="62F746FD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4AD8A7B0"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是否实行财政双控账户管理</w:t>
            </w:r>
          </w:p>
          <w:p w14:paraId="3DA18FE8"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</w:tcPr>
          <w:p w14:paraId="36A3393A"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 w14:paraId="45729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540" w:type="dxa"/>
            <w:vMerge w:val="continue"/>
            <w:vAlign w:val="center"/>
          </w:tcPr>
          <w:p w14:paraId="75AF90C2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41BF415B"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</w:tcPr>
          <w:p w14:paraId="15FD616B"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</w:tc>
      </w:tr>
      <w:tr w14:paraId="4D5BA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exact"/>
        </w:trPr>
        <w:tc>
          <w:tcPr>
            <w:tcW w:w="540" w:type="dxa"/>
            <w:vMerge w:val="restart"/>
            <w:vAlign w:val="center"/>
          </w:tcPr>
          <w:p w14:paraId="76A667D1">
            <w:pPr>
              <w:spacing w:line="4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vAlign w:val="center"/>
          </w:tcPr>
          <w:p w14:paraId="692F5291"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</w:tcPr>
          <w:p w14:paraId="6AD4085E"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注明实施该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管理所依据的管理制度和办法的具体名称。</w:t>
            </w:r>
          </w:p>
        </w:tc>
      </w:tr>
      <w:tr w14:paraId="58E8D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16" w:hRule="exact"/>
        </w:trPr>
        <w:tc>
          <w:tcPr>
            <w:tcW w:w="540" w:type="dxa"/>
            <w:vMerge w:val="continue"/>
            <w:vAlign w:val="center"/>
          </w:tcPr>
          <w:p w14:paraId="68BB1798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38C43C7F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</w:tcPr>
          <w:p w14:paraId="0D170BDB"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项目实行项目法人责任制，项目法人对建设项目的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活动流程、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生产安全等负责，并严格监督。对该项目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活动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资金，一定做到严格管理、合理使用。</w:t>
            </w:r>
          </w:p>
        </w:tc>
      </w:tr>
      <w:tr w14:paraId="79D1B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" w:hRule="exact"/>
        </w:trPr>
        <w:tc>
          <w:tcPr>
            <w:tcW w:w="540" w:type="dxa"/>
            <w:vMerge w:val="continue"/>
            <w:vAlign w:val="center"/>
          </w:tcPr>
          <w:p w14:paraId="08978F9F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2EB9BDB4"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 w14:paraId="2D47158A">
            <w:pPr>
              <w:spacing w:line="32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经费未做其他用途</w:t>
            </w:r>
          </w:p>
        </w:tc>
      </w:tr>
      <w:tr w14:paraId="11227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exact"/>
        </w:trPr>
        <w:tc>
          <w:tcPr>
            <w:tcW w:w="540" w:type="dxa"/>
            <w:vMerge w:val="continue"/>
            <w:vAlign w:val="center"/>
          </w:tcPr>
          <w:p w14:paraId="63AD85D7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15356F57"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 w14:paraId="3C65B869">
            <w:pP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已完成创排，并进行演出。</w:t>
            </w:r>
          </w:p>
        </w:tc>
      </w:tr>
      <w:tr w14:paraId="7EBDA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5" w:hRule="exact"/>
        </w:trPr>
        <w:tc>
          <w:tcPr>
            <w:tcW w:w="540" w:type="dxa"/>
            <w:vMerge w:val="restart"/>
          </w:tcPr>
          <w:p w14:paraId="6ADA0080">
            <w:pPr>
              <w:spacing w:line="0" w:lineRule="atLeas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vAlign w:val="center"/>
          </w:tcPr>
          <w:p w14:paraId="3C7DB758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 w14:paraId="4893B7D3"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无虚列支出、截留挤占挪用、超标准开支、无超预算等情况。</w:t>
            </w:r>
          </w:p>
        </w:tc>
      </w:tr>
      <w:tr w14:paraId="264CE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85" w:hRule="exact"/>
        </w:trPr>
        <w:tc>
          <w:tcPr>
            <w:tcW w:w="540" w:type="dxa"/>
            <w:vMerge w:val="continue"/>
            <w:vAlign w:val="center"/>
          </w:tcPr>
          <w:p w14:paraId="55B4641B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09295EAD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 w14:paraId="6ECFBB76">
            <w:pPr>
              <w:ind w:firstLine="560" w:firstLineChars="200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严格按照国家投资项目资金运行管理办法的规定执行，实行专人管理、专户储存、专帐核算、严格财政纪律、加强对项目资金的监督力度，按照项目计划和施工进度，投放资金，确保资金的专款专用。</w:t>
            </w:r>
          </w:p>
          <w:p w14:paraId="1955C825">
            <w:pPr>
              <w:spacing w:line="560" w:lineRule="exac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 w14:paraId="0814A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540" w:type="dxa"/>
            <w:vMerge w:val="restart"/>
            <w:textDirection w:val="tbRlV"/>
            <w:vAlign w:val="center"/>
          </w:tcPr>
          <w:p w14:paraId="52C9FA79">
            <w:pPr>
              <w:spacing w:line="500" w:lineRule="exact"/>
              <w:ind w:left="113" w:right="113" w:firstLine="560" w:firstLineChars="200"/>
              <w:jc w:val="both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到位使用情况</w:t>
            </w:r>
          </w:p>
        </w:tc>
        <w:tc>
          <w:tcPr>
            <w:tcW w:w="2050" w:type="dxa"/>
            <w:vAlign w:val="center"/>
          </w:tcPr>
          <w:p w14:paraId="254075C0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vAlign w:val="center"/>
          </w:tcPr>
          <w:p w14:paraId="53A1CD9D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vAlign w:val="center"/>
          </w:tcPr>
          <w:p w14:paraId="0AE64E61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vAlign w:val="center"/>
          </w:tcPr>
          <w:p w14:paraId="399249D5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vAlign w:val="center"/>
          </w:tcPr>
          <w:p w14:paraId="489AE336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结余资金（万元）</w:t>
            </w:r>
          </w:p>
        </w:tc>
      </w:tr>
      <w:tr w14:paraId="4A919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exact"/>
        </w:trPr>
        <w:tc>
          <w:tcPr>
            <w:tcW w:w="540" w:type="dxa"/>
            <w:vMerge w:val="continue"/>
            <w:vAlign w:val="center"/>
          </w:tcPr>
          <w:p w14:paraId="6162F39D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576A96F0"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vAlign w:val="center"/>
          </w:tcPr>
          <w:p w14:paraId="7C194E60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      </w:t>
            </w:r>
          </w:p>
        </w:tc>
        <w:tc>
          <w:tcPr>
            <w:tcW w:w="1905" w:type="dxa"/>
            <w:gridSpan w:val="2"/>
            <w:vAlign w:val="center"/>
          </w:tcPr>
          <w:p w14:paraId="4DCC13DA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 w14:paraId="59AA4F69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 w14:paraId="72DC954D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 w14:paraId="7CB4A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</w:trPr>
        <w:tc>
          <w:tcPr>
            <w:tcW w:w="540" w:type="dxa"/>
            <w:vMerge w:val="continue"/>
            <w:vAlign w:val="center"/>
          </w:tcPr>
          <w:p w14:paraId="7239403E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71FB6A10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vAlign w:val="center"/>
          </w:tcPr>
          <w:p w14:paraId="2C7D5FB7"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1905" w:type="dxa"/>
            <w:gridSpan w:val="2"/>
            <w:vAlign w:val="center"/>
          </w:tcPr>
          <w:p w14:paraId="119DD324"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1425" w:type="dxa"/>
            <w:gridSpan w:val="2"/>
            <w:vAlign w:val="center"/>
          </w:tcPr>
          <w:p w14:paraId="7A79FB75"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1380" w:type="dxa"/>
            <w:vAlign w:val="center"/>
          </w:tcPr>
          <w:p w14:paraId="57B258BF"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</w:p>
        </w:tc>
      </w:tr>
      <w:tr w14:paraId="33B7B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</w:trPr>
        <w:tc>
          <w:tcPr>
            <w:tcW w:w="540" w:type="dxa"/>
            <w:vMerge w:val="continue"/>
            <w:vAlign w:val="center"/>
          </w:tcPr>
          <w:p w14:paraId="3630AC04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6172486D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vAlign w:val="center"/>
          </w:tcPr>
          <w:p w14:paraId="0FCD4158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 w14:paraId="46A56BA4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 w14:paraId="13F5AD51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 w14:paraId="7AB0F223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 w14:paraId="56E97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exact"/>
        </w:trPr>
        <w:tc>
          <w:tcPr>
            <w:tcW w:w="540" w:type="dxa"/>
            <w:vMerge w:val="continue"/>
            <w:vAlign w:val="center"/>
          </w:tcPr>
          <w:p w14:paraId="152EC23A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420A0746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vAlign w:val="center"/>
          </w:tcPr>
          <w:p w14:paraId="2801CBAC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 w14:paraId="7FE868A6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 w14:paraId="4223EA42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 w14:paraId="473AB81A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 w14:paraId="776CD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</w:trPr>
        <w:tc>
          <w:tcPr>
            <w:tcW w:w="540" w:type="dxa"/>
            <w:vMerge w:val="continue"/>
            <w:vAlign w:val="center"/>
          </w:tcPr>
          <w:p w14:paraId="34D8A053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59A57289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合　　计</w:t>
            </w:r>
          </w:p>
        </w:tc>
        <w:tc>
          <w:tcPr>
            <w:tcW w:w="1796" w:type="dxa"/>
            <w:vAlign w:val="center"/>
          </w:tcPr>
          <w:p w14:paraId="4815B05A"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1905" w:type="dxa"/>
            <w:gridSpan w:val="2"/>
            <w:vAlign w:val="center"/>
          </w:tcPr>
          <w:p w14:paraId="3721CE76"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1425" w:type="dxa"/>
            <w:gridSpan w:val="2"/>
            <w:vAlign w:val="center"/>
          </w:tcPr>
          <w:p w14:paraId="69BD2D0C"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1380" w:type="dxa"/>
            <w:vAlign w:val="center"/>
          </w:tcPr>
          <w:p w14:paraId="6D8CE0AA"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</w:p>
        </w:tc>
      </w:tr>
      <w:tr w14:paraId="49793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060B5"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1632D">
            <w:pPr>
              <w:numPr>
                <w:ilvl w:val="0"/>
                <w:numId w:val="1"/>
              </w:numPr>
              <w:tabs>
                <w:tab w:val="left" w:pos="622"/>
              </w:tabs>
              <w:ind w:left="0" w:leftChars="0" w:firstLine="560" w:firstLineChars="200"/>
              <w:rPr>
                <w:rFonts w:hint="eastAsia" w:ascii="华文楷体" w:hAnsi="华文楷体" w:eastAsia="华文楷体" w:cs="华文楷体"/>
                <w:sz w:val="28"/>
                <w:szCs w:val="28"/>
                <w:lang w:eastAsia="zh-CN"/>
              </w:rPr>
            </w:pPr>
            <w:r>
              <w:rPr>
                <w:rFonts w:hint="eastAsia" w:ascii="华文楷体" w:hAnsi="华文楷体" w:eastAsia="华文楷体" w:cs="华文楷体"/>
                <w:sz w:val="28"/>
                <w:szCs w:val="28"/>
                <w:lang w:val="en-US" w:eastAsia="zh-CN"/>
              </w:rPr>
              <w:t>经济效益：</w:t>
            </w:r>
          </w:p>
          <w:p w14:paraId="11F71F6C">
            <w:pPr>
              <w:numPr>
                <w:ilvl w:val="0"/>
                <w:numId w:val="0"/>
              </w:numPr>
              <w:tabs>
                <w:tab w:val="left" w:pos="622"/>
              </w:tabs>
              <w:ind w:left="0" w:leftChars="0" w:firstLine="420" w:firstLineChars="150"/>
              <w:rPr>
                <w:rFonts w:hint="eastAsia" w:ascii="华文楷体" w:hAnsi="华文楷体" w:eastAsia="华文楷体" w:cs="华文楷体"/>
                <w:sz w:val="28"/>
                <w:szCs w:val="28"/>
                <w:lang w:eastAsia="zh-CN"/>
              </w:rPr>
            </w:pPr>
            <w:r>
              <w:rPr>
                <w:rFonts w:hint="eastAsia" w:ascii="华文楷体" w:hAnsi="华文楷体" w:eastAsia="华文楷体" w:cs="华文楷体"/>
                <w:sz w:val="28"/>
                <w:szCs w:val="28"/>
              </w:rPr>
              <w:t>此项目为公益性投资，产生的效益主要为社会效益。</w:t>
            </w:r>
            <w:r>
              <w:rPr>
                <w:rFonts w:hint="eastAsia" w:ascii="华文楷体" w:hAnsi="华文楷体" w:eastAsia="华文楷体" w:cs="华文楷体"/>
                <w:sz w:val="28"/>
                <w:szCs w:val="28"/>
                <w:lang w:eastAsia="zh-CN"/>
              </w:rPr>
              <w:t>项目完成后</w:t>
            </w:r>
            <w:r>
              <w:rPr>
                <w:rFonts w:hint="eastAsia" w:ascii="华文楷体" w:hAnsi="华文楷体" w:eastAsia="华文楷体" w:cs="华文楷体"/>
                <w:sz w:val="28"/>
                <w:szCs w:val="28"/>
              </w:rPr>
              <w:t>，</w:t>
            </w:r>
            <w:r>
              <w:rPr>
                <w:rFonts w:hint="eastAsia" w:ascii="华文楷体" w:hAnsi="华文楷体" w:eastAsia="华文楷体" w:cs="华文楷体"/>
                <w:sz w:val="28"/>
                <w:szCs w:val="28"/>
                <w:lang w:eastAsia="zh-CN"/>
              </w:rPr>
              <w:t>能</w:t>
            </w:r>
            <w:r>
              <w:rPr>
                <w:rFonts w:hint="eastAsia" w:ascii="华文楷体" w:hAnsi="华文楷体" w:eastAsia="华文楷体" w:cs="华文楷体"/>
                <w:sz w:val="28"/>
                <w:szCs w:val="28"/>
              </w:rPr>
              <w:t>弘扬本土文化，丰富广大人民群众的文化生活，打造邵阳文化活动品牌，让老百姓共享文化改革发展成果，推动我市文化艺术事业不断繁荣发展</w:t>
            </w:r>
            <w:r>
              <w:rPr>
                <w:rFonts w:hint="eastAsia" w:ascii="华文楷体" w:hAnsi="华文楷体" w:eastAsia="华文楷体" w:cs="华文楷体"/>
                <w:sz w:val="28"/>
                <w:szCs w:val="28"/>
                <w:lang w:eastAsia="zh-CN"/>
              </w:rPr>
              <w:t>。</w:t>
            </w:r>
          </w:p>
          <w:p w14:paraId="458E5EB4">
            <w:pPr>
              <w:numPr>
                <w:ilvl w:val="0"/>
                <w:numId w:val="1"/>
              </w:numPr>
              <w:ind w:left="0" w:leftChars="0" w:firstLine="560" w:firstLineChars="200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社会效益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：</w:t>
            </w:r>
          </w:p>
          <w:p w14:paraId="02E7679E"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项目实施保障了中心艺术生产的顺利开展，为邵阳花鼓戏的传承与发展创造良好的生存环境和艺术发展空间，为促进文化繁荣和文化强省、文化强市做出突出的贡献。更为重要的是弘扬了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中华优秀传统文化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，保护和传承了“邵阳花鼓戏”这一国家级非物质文化遗产。</w:t>
            </w:r>
          </w:p>
        </w:tc>
      </w:tr>
      <w:tr w14:paraId="006E61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BD4C9"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234706CF"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7EFCDA98"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38309">
            <w:pPr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项目实施为建设文化强市夯实了基础，给邵阳文化事业的发展注入了新的活力。 项目还有利于增强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中心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职工的向心力和凝聚力，有利于提高职工的积极性，有利于邵阳花鼓戏的保护、传承和发展，有利于把邵阳市花鼓戏保护传承中心工作推上更高的台阶。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演出</w:t>
            </w:r>
            <w:r>
              <w:rPr>
                <w:rFonts w:hint="eastAsia" w:ascii="楷体" w:hAnsi="楷体" w:eastAsia="楷体" w:cs="楷体"/>
                <w:color w:val="333333"/>
                <w:sz w:val="28"/>
                <w:szCs w:val="28"/>
                <w:shd w:val="clear" w:color="auto" w:fill="FFFFFF"/>
                <w:lang w:eastAsia="zh-CN"/>
              </w:rPr>
              <w:t>获得了</w:t>
            </w:r>
            <w:r>
              <w:rPr>
                <w:rFonts w:hint="eastAsia" w:ascii="楷体" w:hAnsi="楷体" w:eastAsia="楷体" w:cs="楷体"/>
                <w:color w:val="333333"/>
                <w:sz w:val="28"/>
                <w:szCs w:val="28"/>
                <w:shd w:val="clear" w:color="auto" w:fill="FFFFFF"/>
              </w:rPr>
              <w:t>领导、专家</w:t>
            </w:r>
            <w:r>
              <w:rPr>
                <w:rFonts w:hint="eastAsia" w:ascii="楷体" w:hAnsi="楷体" w:eastAsia="楷体" w:cs="楷体"/>
                <w:color w:val="333333"/>
                <w:sz w:val="28"/>
                <w:szCs w:val="28"/>
                <w:shd w:val="clear" w:color="auto" w:fill="FFFFFF"/>
                <w:lang w:eastAsia="zh-CN"/>
              </w:rPr>
              <w:t>、观众们</w:t>
            </w:r>
            <w:r>
              <w:rPr>
                <w:rFonts w:hint="eastAsia" w:ascii="楷体" w:hAnsi="楷体" w:eastAsia="楷体" w:cs="楷体"/>
                <w:color w:val="333333"/>
                <w:sz w:val="28"/>
                <w:szCs w:val="28"/>
                <w:shd w:val="clear" w:color="auto" w:fill="FFFFFF"/>
              </w:rPr>
              <w:t>的一致好评</w:t>
            </w:r>
            <w:r>
              <w:rPr>
                <w:rFonts w:hint="eastAsia" w:ascii="楷体" w:hAnsi="楷体" w:eastAsia="楷体" w:cs="楷体"/>
                <w:color w:val="333333"/>
                <w:sz w:val="28"/>
                <w:szCs w:val="28"/>
                <w:shd w:val="clear" w:color="auto" w:fill="FFFFFF"/>
                <w:lang w:eastAsia="zh-CN"/>
              </w:rPr>
              <w:t>，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提高政府公信力和执行力。</w:t>
            </w:r>
          </w:p>
        </w:tc>
      </w:tr>
      <w:tr w14:paraId="63367E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49DBF9"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C3B84"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 xml:space="preserve"> </w:t>
            </w: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综合分析评论结果：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有效</w:t>
            </w:r>
          </w:p>
        </w:tc>
      </w:tr>
      <w:tr w14:paraId="2B54D6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4BE5F"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C3374">
            <w:pPr>
              <w:ind w:firstLine="560" w:firstLineChars="200"/>
              <w:rPr>
                <w:rFonts w:hint="eastAsia" w:ascii="华文楷体" w:hAnsi="华文楷体" w:eastAsia="华文楷体" w:cs="华文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华文楷体" w:hAnsi="华文楷体" w:eastAsia="华文楷体" w:cs="华文楷体"/>
                <w:sz w:val="28"/>
                <w:szCs w:val="28"/>
              </w:rPr>
              <w:t>专项资金资助额太少，</w:t>
            </w:r>
            <w:r>
              <w:rPr>
                <w:rFonts w:hint="eastAsia" w:ascii="华文楷体" w:hAnsi="华文楷体" w:eastAsia="华文楷体" w:cs="华文楷体"/>
                <w:sz w:val="28"/>
                <w:szCs w:val="28"/>
                <w:lang w:eastAsia="zh-CN"/>
              </w:rPr>
              <w:t>建议加大对本土文化创排创作的支持力度，增加每场演出的经费。</w:t>
            </w:r>
            <w:r>
              <w:rPr>
                <w:rFonts w:hint="eastAsia" w:ascii="华文楷体" w:hAnsi="华文楷体" w:eastAsia="华文楷体" w:cs="华文楷体"/>
                <w:sz w:val="28"/>
                <w:szCs w:val="28"/>
              </w:rPr>
              <w:t>以更好地为广大邵阳人民群众服务。</w:t>
            </w:r>
          </w:p>
          <w:p w14:paraId="78054AB4">
            <w:pPr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 w14:paraId="699DCE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1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DEE95"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A73AA6"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说明：主管部门对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单位填报内容的客观真实性进行审核，并对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单位的自评结论签具是否认定的意见。</w:t>
            </w:r>
          </w:p>
          <w:p w14:paraId="227B1452">
            <w:pPr>
              <w:ind w:firstLine="140" w:firstLineChars="50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16677C05"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772FFFEF"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70A429B8"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5199C284"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主管部门（盖章）：</w:t>
            </w:r>
          </w:p>
        </w:tc>
      </w:tr>
    </w:tbl>
    <w:p w14:paraId="64D73EBC"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　　　</w:t>
      </w:r>
    </w:p>
    <w:p w14:paraId="5466B184"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项目</w:t>
      </w:r>
      <w:r>
        <w:rPr>
          <w:rFonts w:hint="eastAsia" w:ascii="楷体" w:hAnsi="楷体" w:eastAsia="楷体" w:cs="楷体"/>
          <w:sz w:val="32"/>
          <w:szCs w:val="32"/>
        </w:rPr>
        <w:t>负责人：　　　</w:t>
      </w:r>
    </w:p>
    <w:p w14:paraId="7195C91A"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</w:p>
    <w:p w14:paraId="2F961C5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1FEA9E8"/>
    <w:multiLevelType w:val="singleLevel"/>
    <w:tmpl w:val="61FEA9E8"/>
    <w:lvl w:ilvl="0" w:tentative="0">
      <w:start w:val="1"/>
      <w:numFmt w:val="decimal"/>
      <w:suff w:val="nothing"/>
      <w:lvlText w:val="%1、"/>
      <w:lvlJc w:val="left"/>
      <w:pPr>
        <w:ind w:left="56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172415"/>
    <w:rsid w:val="02246F8C"/>
    <w:rsid w:val="04172415"/>
    <w:rsid w:val="274968AD"/>
    <w:rsid w:val="3CAD0140"/>
    <w:rsid w:val="3D735D7C"/>
    <w:rsid w:val="44AA7F8D"/>
    <w:rsid w:val="5A956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1295</Words>
  <Characters>1314</Characters>
  <Lines>0</Lines>
  <Paragraphs>0</Paragraphs>
  <TotalTime>4</TotalTime>
  <ScaleCrop>false</ScaleCrop>
  <LinksUpToDate>false</LinksUpToDate>
  <CharactersWithSpaces>1537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2021-06-16T02:52:00Z</dcterms:created>
  <dc:creator>朔風聽魂。</dc:creator>
  <cp:lastModifiedBy>随风而起</cp:lastModifiedBy>
  <dcterms:modified xsi:type="dcterms:W3CDTF">2025-06-23T07:59:27Z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C55485BD1EBE4AA0BAF08126F3BA7F8C</vt:lpwstr>
  </property>
  <property fmtid="{D5CDD505-2E9C-101B-9397-08002B2CF9AE}" pid="4" name="KSOTemplateDocerSaveRecord">
    <vt:lpwstr>eyJoZGlkIjoiMzUyMGJjZGJkYTMxNmM2MGVkODM5NTNmZjk2YzllNDIiLCJ1c2VySWQiOiIyNzg1MzQ3NzgifQ==</vt:lpwstr>
  </property>
</Properties>
</file>