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475B7F">
      <w:pPr>
        <w:rPr>
          <w:rFonts w:ascii="黑体" w:eastAsia="黑体"/>
          <w:sz w:val="44"/>
          <w:szCs w:val="44"/>
        </w:rPr>
      </w:pPr>
      <w:bookmarkStart w:id="0" w:name="_GoBack"/>
      <w:bookmarkEnd w:id="0"/>
    </w:p>
    <w:p w14:paraId="043E1693">
      <w:pPr>
        <w:jc w:val="center"/>
        <w:rPr>
          <w:rFonts w:ascii="黑体" w:eastAsia="黑体"/>
          <w:sz w:val="44"/>
          <w:szCs w:val="44"/>
        </w:rPr>
      </w:pPr>
      <w:r>
        <w:rPr>
          <w:rFonts w:hint="eastAsia" w:ascii="黑体" w:eastAsia="黑体"/>
          <w:sz w:val="44"/>
          <w:szCs w:val="44"/>
        </w:rPr>
        <w:t>项目绩效自评报告表</w:t>
      </w:r>
    </w:p>
    <w:p w14:paraId="572FF407">
      <w:pPr>
        <w:jc w:val="center"/>
        <w:rPr>
          <w:rFonts w:ascii="楷体" w:hAnsi="楷体" w:eastAsia="楷体" w:cs="楷体"/>
          <w:sz w:val="30"/>
          <w:szCs w:val="30"/>
        </w:rPr>
      </w:pPr>
    </w:p>
    <w:p w14:paraId="06403FF9">
      <w:pPr>
        <w:jc w:val="center"/>
        <w:rPr>
          <w:rFonts w:ascii="楷体" w:hAnsi="楷体" w:eastAsia="楷体" w:cs="楷体"/>
          <w:sz w:val="32"/>
          <w:szCs w:val="32"/>
        </w:rPr>
      </w:pPr>
      <w:r>
        <w:rPr>
          <w:rFonts w:hint="eastAsia" w:ascii="楷体" w:hAnsi="楷体" w:eastAsia="楷体" w:cs="楷体"/>
          <w:sz w:val="30"/>
          <w:szCs w:val="30"/>
        </w:rPr>
        <w:t xml:space="preserve">填报单位：邵阳市卫生计生综合监督执法局  填报日期：2021年6月17日   </w:t>
      </w:r>
    </w:p>
    <w:tbl>
      <w:tblPr>
        <w:tblStyle w:val="5"/>
        <w:tblW w:w="978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2023"/>
        <w:gridCol w:w="1796"/>
        <w:gridCol w:w="600"/>
        <w:gridCol w:w="1305"/>
        <w:gridCol w:w="765"/>
        <w:gridCol w:w="660"/>
        <w:gridCol w:w="2065"/>
      </w:tblGrid>
      <w:tr w14:paraId="7539B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7" w:hRule="exact"/>
        </w:trPr>
        <w:tc>
          <w:tcPr>
            <w:tcW w:w="567" w:type="dxa"/>
            <w:vMerge w:val="restart"/>
            <w:vAlign w:val="center"/>
          </w:tcPr>
          <w:p w14:paraId="033F69FD">
            <w:pPr>
              <w:spacing w:line="560" w:lineRule="exact"/>
              <w:jc w:val="center"/>
              <w:rPr>
                <w:rFonts w:ascii="楷体" w:hAnsi="楷体" w:eastAsia="楷体" w:cs="楷体"/>
                <w:sz w:val="28"/>
                <w:szCs w:val="28"/>
              </w:rPr>
            </w:pPr>
            <w:r>
              <w:rPr>
                <w:rFonts w:hint="eastAsia" w:ascii="楷体" w:hAnsi="楷体" w:eastAsia="楷体" w:cs="楷体"/>
                <w:sz w:val="28"/>
                <w:szCs w:val="28"/>
              </w:rPr>
              <w:t xml:space="preserve"> </w:t>
            </w:r>
          </w:p>
          <w:p w14:paraId="7E750A1D">
            <w:pPr>
              <w:spacing w:line="560" w:lineRule="exact"/>
              <w:jc w:val="center"/>
              <w:rPr>
                <w:rFonts w:ascii="楷体" w:hAnsi="楷体" w:eastAsia="楷体" w:cs="楷体"/>
                <w:sz w:val="28"/>
                <w:szCs w:val="28"/>
              </w:rPr>
            </w:pPr>
            <w:r>
              <w:rPr>
                <w:rFonts w:hint="eastAsia" w:ascii="楷体" w:hAnsi="楷体" w:eastAsia="楷体" w:cs="楷体"/>
                <w:sz w:val="28"/>
                <w:szCs w:val="28"/>
              </w:rPr>
              <w:t xml:space="preserve"> </w:t>
            </w:r>
          </w:p>
          <w:p w14:paraId="168F132E">
            <w:pPr>
              <w:spacing w:line="560" w:lineRule="exact"/>
              <w:jc w:val="center"/>
              <w:rPr>
                <w:rFonts w:ascii="楷体" w:hAnsi="楷体" w:eastAsia="楷体" w:cs="楷体"/>
                <w:sz w:val="28"/>
                <w:szCs w:val="28"/>
              </w:rPr>
            </w:pPr>
            <w:r>
              <w:rPr>
                <w:rFonts w:hint="eastAsia" w:ascii="楷体" w:hAnsi="楷体" w:eastAsia="楷体" w:cs="楷体"/>
                <w:sz w:val="28"/>
                <w:szCs w:val="28"/>
              </w:rPr>
              <w:t xml:space="preserve"> 基本情况</w:t>
            </w:r>
          </w:p>
          <w:p w14:paraId="335BA9A3">
            <w:pPr>
              <w:spacing w:line="560" w:lineRule="exact"/>
              <w:jc w:val="center"/>
              <w:rPr>
                <w:rFonts w:ascii="楷体" w:hAnsi="楷体" w:eastAsia="楷体" w:cs="楷体"/>
                <w:sz w:val="28"/>
                <w:szCs w:val="28"/>
              </w:rPr>
            </w:pPr>
          </w:p>
          <w:p w14:paraId="23C71ABB">
            <w:pPr>
              <w:spacing w:line="560" w:lineRule="exact"/>
              <w:jc w:val="center"/>
              <w:rPr>
                <w:rFonts w:ascii="楷体" w:hAnsi="楷体" w:eastAsia="楷体" w:cs="楷体"/>
                <w:sz w:val="28"/>
                <w:szCs w:val="28"/>
              </w:rPr>
            </w:pPr>
          </w:p>
          <w:p w14:paraId="75DB507D">
            <w:pPr>
              <w:spacing w:line="560" w:lineRule="exact"/>
              <w:jc w:val="center"/>
              <w:rPr>
                <w:rFonts w:ascii="楷体" w:hAnsi="楷体" w:eastAsia="楷体" w:cs="楷体"/>
                <w:sz w:val="28"/>
                <w:szCs w:val="28"/>
              </w:rPr>
            </w:pPr>
          </w:p>
          <w:p w14:paraId="59D0A2F4">
            <w:pPr>
              <w:spacing w:line="560" w:lineRule="exact"/>
              <w:jc w:val="center"/>
              <w:rPr>
                <w:rFonts w:ascii="楷体" w:hAnsi="楷体" w:eastAsia="楷体" w:cs="楷体"/>
                <w:sz w:val="28"/>
                <w:szCs w:val="28"/>
              </w:rPr>
            </w:pPr>
          </w:p>
          <w:p w14:paraId="0486A5C3">
            <w:pPr>
              <w:spacing w:line="560" w:lineRule="exact"/>
              <w:jc w:val="center"/>
              <w:rPr>
                <w:rFonts w:ascii="楷体" w:hAnsi="楷体" w:eastAsia="楷体" w:cs="楷体"/>
                <w:sz w:val="28"/>
                <w:szCs w:val="28"/>
              </w:rPr>
            </w:pPr>
          </w:p>
          <w:p w14:paraId="596B991F">
            <w:pPr>
              <w:spacing w:line="560" w:lineRule="exact"/>
              <w:jc w:val="center"/>
              <w:rPr>
                <w:rFonts w:ascii="楷体" w:hAnsi="楷体" w:eastAsia="楷体" w:cs="楷体"/>
                <w:sz w:val="28"/>
                <w:szCs w:val="28"/>
              </w:rPr>
            </w:pPr>
          </w:p>
          <w:p w14:paraId="1AB93A46">
            <w:pPr>
              <w:spacing w:line="560" w:lineRule="exact"/>
              <w:jc w:val="center"/>
              <w:rPr>
                <w:rFonts w:ascii="楷体" w:hAnsi="楷体" w:eastAsia="楷体" w:cs="楷体"/>
                <w:sz w:val="28"/>
                <w:szCs w:val="28"/>
              </w:rPr>
            </w:pPr>
          </w:p>
          <w:p w14:paraId="5578610B">
            <w:pPr>
              <w:spacing w:line="560" w:lineRule="exact"/>
              <w:jc w:val="center"/>
              <w:rPr>
                <w:rFonts w:ascii="楷体" w:hAnsi="楷体" w:eastAsia="楷体" w:cs="楷体"/>
                <w:sz w:val="28"/>
                <w:szCs w:val="28"/>
              </w:rPr>
            </w:pPr>
          </w:p>
          <w:p w14:paraId="26BE2ADF">
            <w:pPr>
              <w:spacing w:line="560" w:lineRule="exact"/>
              <w:jc w:val="center"/>
              <w:rPr>
                <w:rFonts w:ascii="楷体" w:hAnsi="楷体" w:eastAsia="楷体" w:cs="楷体"/>
                <w:sz w:val="28"/>
                <w:szCs w:val="28"/>
              </w:rPr>
            </w:pPr>
          </w:p>
          <w:p w14:paraId="29384919">
            <w:pPr>
              <w:spacing w:line="560" w:lineRule="exact"/>
              <w:jc w:val="center"/>
              <w:rPr>
                <w:rFonts w:ascii="楷体" w:hAnsi="楷体" w:eastAsia="楷体" w:cs="楷体"/>
                <w:sz w:val="28"/>
                <w:szCs w:val="28"/>
              </w:rPr>
            </w:pPr>
          </w:p>
          <w:p w14:paraId="6EFF76ED">
            <w:pPr>
              <w:spacing w:line="560" w:lineRule="exact"/>
              <w:jc w:val="center"/>
              <w:rPr>
                <w:rFonts w:ascii="楷体" w:hAnsi="楷体" w:eastAsia="楷体" w:cs="楷体"/>
                <w:sz w:val="28"/>
                <w:szCs w:val="28"/>
              </w:rPr>
            </w:pPr>
          </w:p>
          <w:p w14:paraId="076783F6">
            <w:pPr>
              <w:spacing w:line="560" w:lineRule="exact"/>
              <w:jc w:val="center"/>
              <w:rPr>
                <w:rFonts w:ascii="楷体" w:hAnsi="楷体" w:eastAsia="楷体" w:cs="楷体"/>
                <w:sz w:val="28"/>
                <w:szCs w:val="28"/>
              </w:rPr>
            </w:pPr>
          </w:p>
        </w:tc>
        <w:tc>
          <w:tcPr>
            <w:tcW w:w="2023" w:type="dxa"/>
            <w:vAlign w:val="center"/>
          </w:tcPr>
          <w:p w14:paraId="1FFD4ED5">
            <w:pPr>
              <w:jc w:val="center"/>
              <w:rPr>
                <w:rFonts w:ascii="楷体" w:hAnsi="楷体" w:eastAsia="楷体" w:cs="楷体"/>
                <w:sz w:val="28"/>
                <w:szCs w:val="28"/>
              </w:rPr>
            </w:pPr>
            <w:r>
              <w:rPr>
                <w:rFonts w:hint="eastAsia" w:ascii="楷体" w:hAnsi="楷体" w:eastAsia="楷体" w:cs="楷体"/>
                <w:sz w:val="28"/>
                <w:szCs w:val="28"/>
              </w:rPr>
              <w:t>项目名称</w:t>
            </w:r>
          </w:p>
        </w:tc>
        <w:tc>
          <w:tcPr>
            <w:tcW w:w="7191" w:type="dxa"/>
            <w:gridSpan w:val="6"/>
            <w:vAlign w:val="top"/>
          </w:tcPr>
          <w:p w14:paraId="406F78BA">
            <w:pPr>
              <w:spacing w:line="540" w:lineRule="exact"/>
              <w:jc w:val="left"/>
              <w:rPr>
                <w:rFonts w:ascii="楷体" w:hAnsi="楷体" w:eastAsia="楷体" w:cs="楷体"/>
                <w:sz w:val="28"/>
                <w:szCs w:val="28"/>
              </w:rPr>
            </w:pPr>
            <w:r>
              <w:rPr>
                <w:rFonts w:hint="eastAsia" w:ascii="楷体" w:hAnsi="楷体" w:eastAsia="楷体" w:cs="楷体"/>
                <w:sz w:val="24"/>
              </w:rPr>
              <w:t>卫生监管，快速检测、试剂及产品抽检经费。</w:t>
            </w:r>
          </w:p>
        </w:tc>
      </w:tr>
      <w:tr w14:paraId="3BCA5EFB">
        <w:tblPrEx>
          <w:tblCellMar>
            <w:top w:w="0" w:type="dxa"/>
            <w:left w:w="108" w:type="dxa"/>
            <w:bottom w:w="0" w:type="dxa"/>
            <w:right w:w="108" w:type="dxa"/>
          </w:tblCellMar>
        </w:tblPrEx>
        <w:trPr>
          <w:cantSplit/>
          <w:trHeight w:val="1853" w:hRule="exact"/>
        </w:trPr>
        <w:tc>
          <w:tcPr>
            <w:tcW w:w="567" w:type="dxa"/>
            <w:vMerge w:val="continue"/>
            <w:vAlign w:val="center"/>
          </w:tcPr>
          <w:p w14:paraId="3A536ED5">
            <w:pPr>
              <w:spacing w:line="560" w:lineRule="exact"/>
              <w:jc w:val="center"/>
              <w:rPr>
                <w:rFonts w:ascii="楷体" w:hAnsi="楷体" w:eastAsia="楷体" w:cs="楷体"/>
                <w:sz w:val="28"/>
                <w:szCs w:val="28"/>
              </w:rPr>
            </w:pPr>
          </w:p>
        </w:tc>
        <w:tc>
          <w:tcPr>
            <w:tcW w:w="2023" w:type="dxa"/>
            <w:vAlign w:val="center"/>
          </w:tcPr>
          <w:p w14:paraId="7064A741">
            <w:pPr>
              <w:rPr>
                <w:rFonts w:ascii="楷体" w:hAnsi="楷体" w:eastAsia="楷体" w:cs="楷体"/>
                <w:sz w:val="28"/>
                <w:szCs w:val="28"/>
              </w:rPr>
            </w:pPr>
            <w:r>
              <w:rPr>
                <w:rFonts w:hint="eastAsia" w:ascii="楷体" w:hAnsi="楷体" w:eastAsia="楷体" w:cs="楷体"/>
                <w:sz w:val="28"/>
                <w:szCs w:val="28"/>
              </w:rPr>
              <w:t>项目主要内容</w:t>
            </w:r>
          </w:p>
        </w:tc>
        <w:tc>
          <w:tcPr>
            <w:tcW w:w="7191" w:type="dxa"/>
            <w:gridSpan w:val="6"/>
            <w:vAlign w:val="top"/>
          </w:tcPr>
          <w:p w14:paraId="5BDF1E29">
            <w:pPr>
              <w:spacing w:line="360" w:lineRule="exact"/>
              <w:jc w:val="left"/>
              <w:rPr>
                <w:rFonts w:ascii="楷体" w:hAnsi="楷体" w:eastAsia="楷体" w:cs="楷体"/>
                <w:sz w:val="28"/>
                <w:szCs w:val="28"/>
              </w:rPr>
            </w:pPr>
            <w:r>
              <w:rPr>
                <w:rFonts w:hint="eastAsia" w:ascii="楷体" w:hAnsi="楷体" w:eastAsia="楷体" w:cs="楷体"/>
                <w:sz w:val="28"/>
                <w:szCs w:val="28"/>
              </w:rPr>
              <w:t>1、国家、省、市卫生监督“双随机”抽检；</w:t>
            </w:r>
          </w:p>
          <w:p w14:paraId="3FE67E13">
            <w:pPr>
              <w:spacing w:line="360" w:lineRule="exact"/>
              <w:jc w:val="left"/>
              <w:rPr>
                <w:rFonts w:hint="eastAsia" w:ascii="楷体" w:hAnsi="楷体" w:eastAsia="楷体" w:cs="楷体"/>
                <w:sz w:val="28"/>
                <w:szCs w:val="28"/>
              </w:rPr>
            </w:pPr>
            <w:r>
              <w:rPr>
                <w:rFonts w:hint="eastAsia" w:ascii="楷体" w:hAnsi="楷体" w:eastAsia="楷体" w:cs="楷体"/>
                <w:sz w:val="28"/>
                <w:szCs w:val="28"/>
              </w:rPr>
              <w:t>2、职业卫生、放射卫生、公共场所卫生、生活饮用水卫生、学校卫生、医疗卫生、传染病防治监督等各项卫生监督执法工作及专项整治活动。</w:t>
            </w:r>
          </w:p>
          <w:p w14:paraId="43E9D16E">
            <w:pPr>
              <w:spacing w:line="360" w:lineRule="exact"/>
              <w:jc w:val="left"/>
              <w:rPr>
                <w:rFonts w:ascii="楷体" w:hAnsi="楷体" w:eastAsia="楷体" w:cs="楷体"/>
                <w:sz w:val="24"/>
              </w:rPr>
            </w:pPr>
            <w:r>
              <w:rPr>
                <w:rFonts w:hint="eastAsia" w:ascii="楷体" w:hAnsi="楷体" w:eastAsia="楷体" w:cs="楷体"/>
                <w:sz w:val="28"/>
                <w:szCs w:val="28"/>
              </w:rPr>
              <w:t>3、食品安全风险评估</w:t>
            </w:r>
          </w:p>
        </w:tc>
      </w:tr>
      <w:tr w14:paraId="55AA1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5" w:hRule="exact"/>
        </w:trPr>
        <w:tc>
          <w:tcPr>
            <w:tcW w:w="567" w:type="dxa"/>
            <w:vMerge w:val="continue"/>
            <w:vAlign w:val="center"/>
          </w:tcPr>
          <w:p w14:paraId="1EED75E8">
            <w:pPr>
              <w:spacing w:line="560" w:lineRule="exact"/>
              <w:jc w:val="center"/>
              <w:rPr>
                <w:rFonts w:ascii="楷体" w:hAnsi="楷体" w:eastAsia="楷体" w:cs="楷体"/>
                <w:sz w:val="28"/>
                <w:szCs w:val="28"/>
              </w:rPr>
            </w:pPr>
          </w:p>
        </w:tc>
        <w:tc>
          <w:tcPr>
            <w:tcW w:w="2023" w:type="dxa"/>
            <w:vAlign w:val="center"/>
          </w:tcPr>
          <w:p w14:paraId="3A5686BE">
            <w:pPr>
              <w:jc w:val="center"/>
              <w:rPr>
                <w:rFonts w:ascii="楷体" w:hAnsi="楷体" w:eastAsia="楷体" w:cs="楷体"/>
                <w:sz w:val="28"/>
                <w:szCs w:val="28"/>
              </w:rPr>
            </w:pPr>
            <w:r>
              <w:rPr>
                <w:rFonts w:hint="eastAsia" w:ascii="楷体" w:hAnsi="楷体" w:eastAsia="楷体" w:cs="楷体"/>
                <w:sz w:val="28"/>
                <w:szCs w:val="28"/>
              </w:rPr>
              <w:t>项目单位</w:t>
            </w:r>
          </w:p>
        </w:tc>
        <w:tc>
          <w:tcPr>
            <w:tcW w:w="2396" w:type="dxa"/>
            <w:gridSpan w:val="2"/>
            <w:vAlign w:val="top"/>
          </w:tcPr>
          <w:p w14:paraId="140185DE">
            <w:pPr>
              <w:spacing w:line="360" w:lineRule="exact"/>
              <w:jc w:val="left"/>
              <w:rPr>
                <w:rFonts w:ascii="楷体" w:hAnsi="楷体" w:eastAsia="楷体" w:cs="楷体"/>
                <w:sz w:val="28"/>
                <w:szCs w:val="28"/>
              </w:rPr>
            </w:pPr>
            <w:r>
              <w:rPr>
                <w:rFonts w:hint="eastAsia" w:ascii="楷体" w:hAnsi="楷体" w:eastAsia="楷体" w:cs="楷体"/>
                <w:sz w:val="28"/>
                <w:szCs w:val="28"/>
              </w:rPr>
              <w:t>邵阳市卫生计生综合监督执法局　　　　　　　　　</w:t>
            </w:r>
          </w:p>
        </w:tc>
        <w:tc>
          <w:tcPr>
            <w:tcW w:w="2070" w:type="dxa"/>
            <w:gridSpan w:val="2"/>
            <w:vAlign w:val="center"/>
          </w:tcPr>
          <w:p w14:paraId="702CE288">
            <w:pPr>
              <w:jc w:val="center"/>
              <w:rPr>
                <w:rFonts w:ascii="楷体" w:hAnsi="楷体" w:eastAsia="楷体" w:cs="楷体"/>
                <w:sz w:val="28"/>
                <w:szCs w:val="28"/>
              </w:rPr>
            </w:pPr>
            <w:r>
              <w:rPr>
                <w:rFonts w:hint="eastAsia" w:ascii="楷体" w:hAnsi="楷体" w:eastAsia="楷体" w:cs="楷体"/>
                <w:sz w:val="28"/>
                <w:szCs w:val="28"/>
              </w:rPr>
              <w:t xml:space="preserve"> 主管部门</w:t>
            </w:r>
          </w:p>
        </w:tc>
        <w:tc>
          <w:tcPr>
            <w:tcW w:w="2725" w:type="dxa"/>
            <w:gridSpan w:val="2"/>
            <w:vAlign w:val="center"/>
          </w:tcPr>
          <w:p w14:paraId="463CE865">
            <w:pPr>
              <w:spacing w:line="360" w:lineRule="exact"/>
              <w:rPr>
                <w:rFonts w:ascii="楷体" w:hAnsi="楷体" w:eastAsia="楷体" w:cs="楷体"/>
                <w:sz w:val="28"/>
                <w:szCs w:val="28"/>
              </w:rPr>
            </w:pPr>
            <w:r>
              <w:rPr>
                <w:rFonts w:ascii="楷体" w:hAnsi="楷体" w:eastAsia="楷体" w:cs="楷体"/>
                <w:sz w:val="28"/>
                <w:szCs w:val="28"/>
              </w:rPr>
              <w:t>邵阳市</w:t>
            </w:r>
            <w:r>
              <w:rPr>
                <w:rFonts w:hint="eastAsia" w:ascii="楷体" w:hAnsi="楷体" w:eastAsia="楷体" w:cs="楷体"/>
                <w:sz w:val="28"/>
                <w:szCs w:val="28"/>
              </w:rPr>
              <w:t>卫生健康委员会</w:t>
            </w:r>
          </w:p>
        </w:tc>
      </w:tr>
      <w:tr w14:paraId="037B9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3" w:hRule="exact"/>
        </w:trPr>
        <w:tc>
          <w:tcPr>
            <w:tcW w:w="567" w:type="dxa"/>
            <w:vMerge w:val="continue"/>
            <w:vAlign w:val="center"/>
          </w:tcPr>
          <w:p w14:paraId="7733074F">
            <w:pPr>
              <w:spacing w:line="560" w:lineRule="exact"/>
              <w:jc w:val="center"/>
              <w:rPr>
                <w:rFonts w:ascii="楷体" w:hAnsi="楷体" w:eastAsia="楷体" w:cs="楷体"/>
                <w:sz w:val="28"/>
                <w:szCs w:val="28"/>
              </w:rPr>
            </w:pPr>
          </w:p>
        </w:tc>
        <w:tc>
          <w:tcPr>
            <w:tcW w:w="2023" w:type="dxa"/>
            <w:vAlign w:val="center"/>
          </w:tcPr>
          <w:p w14:paraId="2D8829BD">
            <w:pPr>
              <w:spacing w:line="540" w:lineRule="exact"/>
              <w:jc w:val="center"/>
              <w:rPr>
                <w:rFonts w:ascii="楷体" w:hAnsi="楷体" w:eastAsia="楷体" w:cs="楷体"/>
                <w:sz w:val="28"/>
                <w:szCs w:val="28"/>
              </w:rPr>
            </w:pPr>
            <w:r>
              <w:rPr>
                <w:rFonts w:hint="eastAsia" w:ascii="楷体" w:hAnsi="楷体" w:eastAsia="楷体" w:cs="楷体"/>
                <w:sz w:val="28"/>
                <w:szCs w:val="28"/>
              </w:rPr>
              <w:t>单位负责人</w:t>
            </w:r>
          </w:p>
        </w:tc>
        <w:tc>
          <w:tcPr>
            <w:tcW w:w="2396" w:type="dxa"/>
            <w:gridSpan w:val="2"/>
            <w:vAlign w:val="top"/>
          </w:tcPr>
          <w:p w14:paraId="4F920287">
            <w:pPr>
              <w:spacing w:line="540" w:lineRule="exact"/>
              <w:jc w:val="center"/>
              <w:rPr>
                <w:rFonts w:ascii="楷体" w:hAnsi="楷体" w:eastAsia="楷体" w:cs="楷体"/>
                <w:sz w:val="28"/>
                <w:szCs w:val="28"/>
              </w:rPr>
            </w:pPr>
            <w:r>
              <w:rPr>
                <w:rFonts w:ascii="楷体" w:hAnsi="楷体" w:eastAsia="楷体" w:cs="楷体"/>
                <w:sz w:val="28"/>
                <w:szCs w:val="28"/>
              </w:rPr>
              <w:t>贺</w:t>
            </w:r>
            <w:r>
              <w:rPr>
                <w:rFonts w:hint="eastAsia" w:ascii="楷体" w:hAnsi="楷体" w:eastAsia="楷体" w:cs="楷体"/>
                <w:sz w:val="28"/>
                <w:szCs w:val="28"/>
              </w:rPr>
              <w:t>昌</w:t>
            </w:r>
            <w:r>
              <w:rPr>
                <w:rFonts w:ascii="楷体" w:hAnsi="楷体" w:eastAsia="楷体" w:cs="楷体"/>
                <w:sz w:val="28"/>
                <w:szCs w:val="28"/>
              </w:rPr>
              <w:t>炳</w:t>
            </w:r>
          </w:p>
        </w:tc>
        <w:tc>
          <w:tcPr>
            <w:tcW w:w="2070" w:type="dxa"/>
            <w:gridSpan w:val="2"/>
            <w:vAlign w:val="center"/>
          </w:tcPr>
          <w:p w14:paraId="516AE811">
            <w:pPr>
              <w:jc w:val="center"/>
              <w:rPr>
                <w:rFonts w:ascii="楷体" w:hAnsi="楷体" w:eastAsia="楷体" w:cs="楷体"/>
                <w:sz w:val="28"/>
                <w:szCs w:val="28"/>
              </w:rPr>
            </w:pPr>
            <w:r>
              <w:rPr>
                <w:rFonts w:hint="eastAsia" w:ascii="楷体" w:hAnsi="楷体" w:eastAsia="楷体" w:cs="楷体"/>
                <w:sz w:val="28"/>
                <w:szCs w:val="28"/>
              </w:rPr>
              <w:t>项目负责人</w:t>
            </w:r>
          </w:p>
        </w:tc>
        <w:tc>
          <w:tcPr>
            <w:tcW w:w="2725" w:type="dxa"/>
            <w:gridSpan w:val="2"/>
            <w:vAlign w:val="top"/>
          </w:tcPr>
          <w:p w14:paraId="28F20204">
            <w:pPr>
              <w:spacing w:line="540" w:lineRule="exact"/>
              <w:jc w:val="center"/>
              <w:rPr>
                <w:rFonts w:ascii="楷体" w:hAnsi="楷体" w:eastAsia="楷体" w:cs="楷体"/>
                <w:sz w:val="28"/>
                <w:szCs w:val="28"/>
              </w:rPr>
            </w:pPr>
            <w:r>
              <w:rPr>
                <w:rFonts w:ascii="楷体" w:hAnsi="楷体" w:eastAsia="楷体" w:cs="楷体"/>
                <w:sz w:val="28"/>
                <w:szCs w:val="28"/>
              </w:rPr>
              <w:t>彭</w:t>
            </w:r>
            <w:r>
              <w:rPr>
                <w:rFonts w:hint="eastAsia" w:ascii="楷体" w:hAnsi="楷体" w:eastAsia="楷体" w:cs="楷体"/>
                <w:sz w:val="28"/>
                <w:szCs w:val="28"/>
              </w:rPr>
              <w:t>振鹏</w:t>
            </w:r>
          </w:p>
        </w:tc>
      </w:tr>
      <w:tr w14:paraId="726EF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exact"/>
        </w:trPr>
        <w:tc>
          <w:tcPr>
            <w:tcW w:w="567" w:type="dxa"/>
            <w:vMerge w:val="continue"/>
            <w:vAlign w:val="center"/>
          </w:tcPr>
          <w:p w14:paraId="02320184">
            <w:pPr>
              <w:spacing w:line="560" w:lineRule="exact"/>
              <w:jc w:val="center"/>
              <w:rPr>
                <w:rFonts w:ascii="楷体" w:hAnsi="楷体" w:eastAsia="楷体" w:cs="楷体"/>
                <w:sz w:val="28"/>
                <w:szCs w:val="28"/>
              </w:rPr>
            </w:pPr>
          </w:p>
        </w:tc>
        <w:tc>
          <w:tcPr>
            <w:tcW w:w="2023" w:type="dxa"/>
            <w:vAlign w:val="center"/>
          </w:tcPr>
          <w:p w14:paraId="2566CA6F">
            <w:pPr>
              <w:jc w:val="center"/>
              <w:rPr>
                <w:rFonts w:ascii="楷体" w:hAnsi="楷体" w:eastAsia="楷体" w:cs="楷体"/>
                <w:sz w:val="28"/>
                <w:szCs w:val="28"/>
              </w:rPr>
            </w:pPr>
            <w:r>
              <w:rPr>
                <w:rFonts w:hint="eastAsia" w:ascii="楷体" w:hAnsi="楷体" w:eastAsia="楷体" w:cs="楷体"/>
                <w:sz w:val="28"/>
                <w:szCs w:val="28"/>
              </w:rPr>
              <w:t>项目属性</w:t>
            </w:r>
          </w:p>
        </w:tc>
        <w:tc>
          <w:tcPr>
            <w:tcW w:w="7191" w:type="dxa"/>
            <w:gridSpan w:val="6"/>
            <w:vAlign w:val="top"/>
          </w:tcPr>
          <w:p w14:paraId="1FE9274C">
            <w:pPr>
              <w:spacing w:line="540" w:lineRule="exact"/>
              <w:jc w:val="left"/>
              <w:rPr>
                <w:rFonts w:ascii="楷体" w:hAnsi="楷体" w:eastAsia="楷体" w:cs="楷体"/>
                <w:sz w:val="28"/>
                <w:szCs w:val="28"/>
              </w:rPr>
            </w:pPr>
            <w:r>
              <w:rPr>
                <w:rFonts w:hint="eastAsia" w:ascii="楷体" w:hAnsi="楷体" w:eastAsia="楷体" w:cs="楷体"/>
                <w:sz w:val="28"/>
                <w:szCs w:val="28"/>
              </w:rPr>
              <w:t>　√□经常性　　□一次性　　□新增　　□延续</w:t>
            </w:r>
          </w:p>
        </w:tc>
      </w:tr>
      <w:tr w14:paraId="45B72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48" w:hRule="exact"/>
        </w:trPr>
        <w:tc>
          <w:tcPr>
            <w:tcW w:w="567" w:type="dxa"/>
            <w:vMerge w:val="continue"/>
            <w:vAlign w:val="center"/>
          </w:tcPr>
          <w:p w14:paraId="1AB41745">
            <w:pPr>
              <w:spacing w:line="560" w:lineRule="exact"/>
              <w:jc w:val="center"/>
              <w:rPr>
                <w:rFonts w:ascii="楷体" w:hAnsi="楷体" w:eastAsia="楷体" w:cs="楷体"/>
                <w:sz w:val="28"/>
                <w:szCs w:val="28"/>
              </w:rPr>
            </w:pPr>
          </w:p>
        </w:tc>
        <w:tc>
          <w:tcPr>
            <w:tcW w:w="2023" w:type="dxa"/>
            <w:vAlign w:val="center"/>
          </w:tcPr>
          <w:p w14:paraId="6BA6C873">
            <w:pPr>
              <w:spacing w:line="0" w:lineRule="atLeast"/>
              <w:jc w:val="center"/>
              <w:rPr>
                <w:rFonts w:ascii="楷体" w:hAnsi="楷体" w:eastAsia="楷体" w:cs="楷体"/>
                <w:sz w:val="28"/>
                <w:szCs w:val="28"/>
              </w:rPr>
            </w:pPr>
            <w:r>
              <w:rPr>
                <w:rFonts w:hint="eastAsia" w:ascii="楷体" w:hAnsi="楷体" w:eastAsia="楷体" w:cs="楷体"/>
                <w:sz w:val="28"/>
                <w:szCs w:val="28"/>
              </w:rPr>
              <w:t>资金总额    及构成</w:t>
            </w:r>
          </w:p>
        </w:tc>
        <w:tc>
          <w:tcPr>
            <w:tcW w:w="7191" w:type="dxa"/>
            <w:gridSpan w:val="6"/>
            <w:vAlign w:val="center"/>
          </w:tcPr>
          <w:p w14:paraId="44D1178D">
            <w:pPr>
              <w:spacing w:line="0" w:lineRule="atLeast"/>
              <w:rPr>
                <w:rFonts w:ascii="楷体" w:hAnsi="楷体" w:eastAsia="楷体" w:cs="楷体"/>
                <w:sz w:val="28"/>
                <w:szCs w:val="28"/>
              </w:rPr>
            </w:pPr>
            <w:r>
              <w:rPr>
                <w:rFonts w:hint="eastAsia" w:ascii="楷体" w:hAnsi="楷体" w:eastAsia="楷体" w:cs="楷体"/>
                <w:sz w:val="28"/>
                <w:szCs w:val="28"/>
              </w:rPr>
              <w:t>总额：90.55万元，其中：中央财政 35.55 万元，省级财政 20 万元；市级财政　35 万元；其他　0　万元。</w:t>
            </w:r>
          </w:p>
        </w:tc>
      </w:tr>
      <w:tr w14:paraId="7A339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exact"/>
        </w:trPr>
        <w:tc>
          <w:tcPr>
            <w:tcW w:w="567" w:type="dxa"/>
            <w:vMerge w:val="continue"/>
            <w:vAlign w:val="center"/>
          </w:tcPr>
          <w:p w14:paraId="59E35758">
            <w:pPr>
              <w:spacing w:line="560" w:lineRule="exact"/>
              <w:jc w:val="center"/>
              <w:rPr>
                <w:rFonts w:ascii="楷体" w:hAnsi="楷体" w:eastAsia="楷体" w:cs="楷体"/>
                <w:sz w:val="28"/>
                <w:szCs w:val="28"/>
              </w:rPr>
            </w:pPr>
          </w:p>
        </w:tc>
        <w:tc>
          <w:tcPr>
            <w:tcW w:w="2023" w:type="dxa"/>
            <w:vAlign w:val="center"/>
          </w:tcPr>
          <w:p w14:paraId="41CEDCE5">
            <w:pPr>
              <w:jc w:val="center"/>
              <w:rPr>
                <w:rFonts w:ascii="楷体" w:hAnsi="楷体" w:eastAsia="楷体" w:cs="楷体"/>
                <w:sz w:val="28"/>
                <w:szCs w:val="28"/>
              </w:rPr>
            </w:pPr>
            <w:r>
              <w:rPr>
                <w:rFonts w:hint="eastAsia" w:ascii="楷体" w:hAnsi="楷体" w:eastAsia="楷体" w:cs="楷体"/>
                <w:sz w:val="28"/>
                <w:szCs w:val="28"/>
              </w:rPr>
              <w:t>项目起止时间</w:t>
            </w:r>
          </w:p>
        </w:tc>
        <w:tc>
          <w:tcPr>
            <w:tcW w:w="7191" w:type="dxa"/>
            <w:gridSpan w:val="6"/>
            <w:vAlign w:val="top"/>
          </w:tcPr>
          <w:p w14:paraId="63E58C8C">
            <w:pPr>
              <w:spacing w:line="560" w:lineRule="exact"/>
              <w:ind w:firstLine="280" w:firstLineChars="100"/>
              <w:jc w:val="left"/>
              <w:rPr>
                <w:rFonts w:ascii="楷体" w:hAnsi="楷体" w:eastAsia="楷体" w:cs="楷体"/>
                <w:sz w:val="28"/>
                <w:szCs w:val="28"/>
              </w:rPr>
            </w:pPr>
            <w:r>
              <w:rPr>
                <w:rFonts w:hint="eastAsia" w:ascii="楷体" w:hAnsi="楷体" w:eastAsia="楷体" w:cs="楷体"/>
                <w:sz w:val="28"/>
                <w:szCs w:val="28"/>
              </w:rPr>
              <w:t>2020年　1月起至　2021年　12月止</w:t>
            </w:r>
          </w:p>
        </w:tc>
      </w:tr>
      <w:tr w14:paraId="0806C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61" w:hRule="exact"/>
        </w:trPr>
        <w:tc>
          <w:tcPr>
            <w:tcW w:w="567" w:type="dxa"/>
            <w:vMerge w:val="restart"/>
            <w:vAlign w:val="center"/>
          </w:tcPr>
          <w:p w14:paraId="2F829DFB">
            <w:pPr>
              <w:spacing w:line="560" w:lineRule="exact"/>
              <w:jc w:val="center"/>
              <w:rPr>
                <w:rFonts w:ascii="楷体" w:hAnsi="楷体" w:eastAsia="楷体" w:cs="楷体"/>
                <w:sz w:val="28"/>
                <w:szCs w:val="28"/>
              </w:rPr>
            </w:pPr>
            <w:r>
              <w:rPr>
                <w:rFonts w:hint="eastAsia" w:ascii="楷体" w:hAnsi="楷体" w:eastAsia="楷体" w:cs="楷体"/>
                <w:sz w:val="28"/>
                <w:szCs w:val="28"/>
              </w:rPr>
              <w:t>实施情况</w:t>
            </w:r>
          </w:p>
        </w:tc>
        <w:tc>
          <w:tcPr>
            <w:tcW w:w="2023" w:type="dxa"/>
            <w:vAlign w:val="center"/>
          </w:tcPr>
          <w:p w14:paraId="2A01CE95">
            <w:pPr>
              <w:jc w:val="center"/>
              <w:rPr>
                <w:rFonts w:ascii="楷体" w:hAnsi="楷体" w:eastAsia="楷体" w:cs="楷体"/>
                <w:sz w:val="28"/>
                <w:szCs w:val="28"/>
              </w:rPr>
            </w:pPr>
            <w:r>
              <w:rPr>
                <w:rFonts w:hint="eastAsia" w:ascii="楷体" w:hAnsi="楷体" w:eastAsia="楷体" w:cs="楷体"/>
                <w:sz w:val="28"/>
                <w:szCs w:val="28"/>
              </w:rPr>
              <w:t>项目立项依据</w:t>
            </w:r>
          </w:p>
        </w:tc>
        <w:tc>
          <w:tcPr>
            <w:tcW w:w="7191" w:type="dxa"/>
            <w:gridSpan w:val="6"/>
            <w:vAlign w:val="top"/>
          </w:tcPr>
          <w:p w14:paraId="696091FF">
            <w:pPr>
              <w:spacing w:line="360" w:lineRule="exact"/>
              <w:jc w:val="left"/>
              <w:rPr>
                <w:rFonts w:ascii="楷体" w:hAnsi="楷体" w:eastAsia="楷体" w:cs="楷体"/>
                <w:sz w:val="28"/>
                <w:szCs w:val="28"/>
              </w:rPr>
            </w:pPr>
            <w:r>
              <w:rPr>
                <w:rFonts w:hint="eastAsia" w:ascii="楷体" w:hAnsi="楷体" w:eastAsia="楷体" w:cs="宋体"/>
                <w:bCs/>
                <w:kern w:val="0"/>
                <w:sz w:val="28"/>
                <w:szCs w:val="28"/>
              </w:rPr>
              <w:t>《中华人民共和国传染病防治法》、《消毒管理办法》、《生活饮用水卫生监督管理办法》、《国务院关于在市场监管领域全面推行部门联合“双随机、一公开”监管的意见》（国发[2019]5号、《健康相关产品国家卫生监督抽检规定》（卫监督发[2005]515号）及《关于印发2019年国家随机监督抽查计划的通知》国卫办监督函[2019]110号。</w:t>
            </w:r>
          </w:p>
        </w:tc>
      </w:tr>
      <w:tr w14:paraId="30292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50" w:hRule="exact"/>
        </w:trPr>
        <w:tc>
          <w:tcPr>
            <w:tcW w:w="567" w:type="dxa"/>
            <w:vMerge w:val="continue"/>
            <w:vAlign w:val="center"/>
          </w:tcPr>
          <w:p w14:paraId="194235FB">
            <w:pPr>
              <w:spacing w:line="560" w:lineRule="exact"/>
              <w:jc w:val="center"/>
              <w:rPr>
                <w:rFonts w:ascii="楷体" w:hAnsi="楷体" w:eastAsia="楷体" w:cs="楷体"/>
                <w:sz w:val="28"/>
                <w:szCs w:val="28"/>
              </w:rPr>
            </w:pPr>
          </w:p>
        </w:tc>
        <w:tc>
          <w:tcPr>
            <w:tcW w:w="2023" w:type="dxa"/>
            <w:vAlign w:val="center"/>
          </w:tcPr>
          <w:p w14:paraId="3BF8AF71">
            <w:pPr>
              <w:spacing w:line="0" w:lineRule="atLeast"/>
              <w:jc w:val="center"/>
              <w:rPr>
                <w:rFonts w:ascii="楷体" w:hAnsi="楷体" w:eastAsia="楷体" w:cs="楷体"/>
                <w:sz w:val="28"/>
                <w:szCs w:val="28"/>
              </w:rPr>
            </w:pPr>
            <w:r>
              <w:rPr>
                <w:rFonts w:hint="eastAsia" w:ascii="楷体" w:hAnsi="楷体" w:eastAsia="楷体" w:cs="楷体"/>
                <w:sz w:val="28"/>
                <w:szCs w:val="28"/>
              </w:rPr>
              <w:t>可行性研究报告结论</w:t>
            </w:r>
          </w:p>
        </w:tc>
        <w:tc>
          <w:tcPr>
            <w:tcW w:w="7191" w:type="dxa"/>
            <w:gridSpan w:val="6"/>
            <w:vAlign w:val="top"/>
          </w:tcPr>
          <w:p w14:paraId="14692574">
            <w:pPr>
              <w:spacing w:line="360" w:lineRule="exact"/>
              <w:jc w:val="left"/>
              <w:rPr>
                <w:rFonts w:ascii="楷体" w:hAnsi="楷体" w:eastAsia="楷体" w:cs="楷体"/>
                <w:sz w:val="28"/>
                <w:szCs w:val="28"/>
              </w:rPr>
            </w:pPr>
            <w:r>
              <w:rPr>
                <w:rFonts w:hint="eastAsia" w:ascii="楷体" w:hAnsi="楷体" w:eastAsia="楷体" w:cs="宋体"/>
                <w:color w:val="000000"/>
                <w:kern w:val="0"/>
                <w:sz w:val="28"/>
                <w:szCs w:val="28"/>
              </w:rPr>
              <w:t>依据《传染病防治法》、《消毒管理办法》、《公共场所卫生管理条例》、《生活饮用水卫生监督管理办法》等法律法规规定，维护社会公共卫生秩序，保障人民群众健康权益。</w:t>
            </w:r>
          </w:p>
        </w:tc>
      </w:tr>
      <w:tr w14:paraId="7894F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5" w:hRule="exact"/>
        </w:trPr>
        <w:tc>
          <w:tcPr>
            <w:tcW w:w="567" w:type="dxa"/>
            <w:vMerge w:val="continue"/>
            <w:vAlign w:val="center"/>
          </w:tcPr>
          <w:p w14:paraId="103FAFA8">
            <w:pPr>
              <w:spacing w:line="560" w:lineRule="exact"/>
              <w:jc w:val="center"/>
              <w:rPr>
                <w:rFonts w:ascii="楷体" w:hAnsi="楷体" w:eastAsia="楷体" w:cs="楷体"/>
                <w:sz w:val="28"/>
                <w:szCs w:val="28"/>
              </w:rPr>
            </w:pPr>
          </w:p>
        </w:tc>
        <w:tc>
          <w:tcPr>
            <w:tcW w:w="2023" w:type="dxa"/>
            <w:vAlign w:val="center"/>
          </w:tcPr>
          <w:p w14:paraId="4941BFA3">
            <w:pPr>
              <w:spacing w:line="0" w:lineRule="atLeast"/>
              <w:jc w:val="center"/>
              <w:rPr>
                <w:rFonts w:ascii="楷体" w:hAnsi="楷体" w:eastAsia="楷体" w:cs="楷体"/>
                <w:sz w:val="28"/>
                <w:szCs w:val="28"/>
              </w:rPr>
            </w:pPr>
            <w:r>
              <w:rPr>
                <w:rFonts w:hint="eastAsia" w:ascii="楷体" w:hAnsi="楷体" w:eastAsia="楷体" w:cs="楷体"/>
                <w:sz w:val="28"/>
                <w:szCs w:val="28"/>
              </w:rPr>
              <w:t>专家评审论证 结论</w:t>
            </w:r>
          </w:p>
        </w:tc>
        <w:tc>
          <w:tcPr>
            <w:tcW w:w="7191" w:type="dxa"/>
            <w:gridSpan w:val="6"/>
            <w:vAlign w:val="center"/>
          </w:tcPr>
          <w:p w14:paraId="2D25D984">
            <w:pPr>
              <w:spacing w:line="360" w:lineRule="exact"/>
              <w:jc w:val="center"/>
              <w:rPr>
                <w:rFonts w:ascii="楷体" w:hAnsi="楷体" w:eastAsia="楷体" w:cs="楷体"/>
                <w:sz w:val="28"/>
                <w:szCs w:val="28"/>
              </w:rPr>
            </w:pPr>
            <w:r>
              <w:rPr>
                <w:rFonts w:hint="eastAsia" w:ascii="楷体" w:hAnsi="楷体" w:eastAsia="楷体" w:cs="楷体"/>
                <w:sz w:val="28"/>
                <w:szCs w:val="28"/>
              </w:rPr>
              <w:t>无</w:t>
            </w:r>
          </w:p>
        </w:tc>
      </w:tr>
      <w:tr w14:paraId="3FF8A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exact"/>
        </w:trPr>
        <w:tc>
          <w:tcPr>
            <w:tcW w:w="567" w:type="dxa"/>
            <w:vMerge w:val="continue"/>
            <w:vAlign w:val="center"/>
          </w:tcPr>
          <w:p w14:paraId="72184A38">
            <w:pPr>
              <w:spacing w:line="560" w:lineRule="exact"/>
              <w:jc w:val="center"/>
              <w:rPr>
                <w:rFonts w:ascii="楷体" w:hAnsi="楷体" w:eastAsia="楷体" w:cs="楷体"/>
                <w:sz w:val="28"/>
                <w:szCs w:val="28"/>
              </w:rPr>
            </w:pPr>
          </w:p>
        </w:tc>
        <w:tc>
          <w:tcPr>
            <w:tcW w:w="2023" w:type="dxa"/>
            <w:vAlign w:val="center"/>
          </w:tcPr>
          <w:p w14:paraId="2D5976EC">
            <w:pPr>
              <w:spacing w:line="360" w:lineRule="exact"/>
              <w:jc w:val="center"/>
              <w:rPr>
                <w:rFonts w:ascii="楷体" w:hAnsi="楷体" w:eastAsia="楷体" w:cs="楷体"/>
                <w:sz w:val="28"/>
                <w:szCs w:val="28"/>
              </w:rPr>
            </w:pPr>
            <w:r>
              <w:rPr>
                <w:rFonts w:hint="eastAsia" w:ascii="楷体" w:hAnsi="楷体" w:eastAsia="楷体" w:cs="楷体"/>
                <w:sz w:val="28"/>
                <w:szCs w:val="28"/>
              </w:rPr>
              <w:t>是否实施政府采购及金额</w:t>
            </w:r>
          </w:p>
          <w:p w14:paraId="513EDE63">
            <w:pPr>
              <w:spacing w:line="560" w:lineRule="exact"/>
              <w:jc w:val="center"/>
              <w:rPr>
                <w:rFonts w:ascii="楷体" w:hAnsi="楷体" w:eastAsia="楷体" w:cs="楷体"/>
                <w:sz w:val="28"/>
                <w:szCs w:val="28"/>
              </w:rPr>
            </w:pPr>
          </w:p>
          <w:p w14:paraId="54D7D84B">
            <w:pPr>
              <w:spacing w:line="560" w:lineRule="exact"/>
              <w:jc w:val="center"/>
              <w:rPr>
                <w:rFonts w:ascii="楷体" w:hAnsi="楷体" w:eastAsia="楷体" w:cs="楷体"/>
                <w:sz w:val="28"/>
                <w:szCs w:val="28"/>
              </w:rPr>
            </w:pPr>
          </w:p>
          <w:p w14:paraId="48A985FF">
            <w:pPr>
              <w:spacing w:line="560" w:lineRule="exact"/>
              <w:jc w:val="center"/>
              <w:rPr>
                <w:rFonts w:ascii="楷体" w:hAnsi="楷体" w:eastAsia="楷体" w:cs="楷体"/>
                <w:sz w:val="28"/>
                <w:szCs w:val="28"/>
              </w:rPr>
            </w:pPr>
          </w:p>
          <w:p w14:paraId="278AA440">
            <w:pPr>
              <w:spacing w:line="560" w:lineRule="exact"/>
              <w:jc w:val="center"/>
              <w:rPr>
                <w:rFonts w:ascii="楷体" w:hAnsi="楷体" w:eastAsia="楷体" w:cs="楷体"/>
                <w:sz w:val="28"/>
                <w:szCs w:val="28"/>
              </w:rPr>
            </w:pPr>
          </w:p>
        </w:tc>
        <w:tc>
          <w:tcPr>
            <w:tcW w:w="7191" w:type="dxa"/>
            <w:gridSpan w:val="6"/>
            <w:vAlign w:val="top"/>
          </w:tcPr>
          <w:p w14:paraId="08EFDD5E">
            <w:pPr>
              <w:spacing w:line="360" w:lineRule="exact"/>
              <w:rPr>
                <w:rFonts w:ascii="楷体" w:hAnsi="楷体" w:eastAsia="楷体" w:cs="楷体"/>
                <w:sz w:val="28"/>
                <w:szCs w:val="28"/>
              </w:rPr>
            </w:pPr>
            <w:r>
              <w:rPr>
                <w:rFonts w:hint="eastAsia" w:ascii="楷体" w:hAnsi="楷体" w:eastAsia="楷体" w:cs="楷体"/>
                <w:sz w:val="28"/>
                <w:szCs w:val="28"/>
              </w:rPr>
              <w:t xml:space="preserve">√□是　                    □否   </w:t>
            </w:r>
            <w:r>
              <w:rPr>
                <w:rFonts w:hint="eastAsia" w:ascii="楷体" w:hAnsi="楷体" w:eastAsia="楷体" w:cs="楷体"/>
                <w:sz w:val="28"/>
                <w:szCs w:val="28"/>
              </w:rPr>
              <w:br w:type="textWrapping"/>
            </w:r>
            <w:r>
              <w:rPr>
                <w:rFonts w:hint="eastAsia" w:ascii="楷体" w:hAnsi="楷体" w:eastAsia="楷体" w:cs="楷体"/>
                <w:sz w:val="28"/>
                <w:szCs w:val="28"/>
              </w:rPr>
              <w:t>应采购金额 65.76 万元      实际采购金额 65.76万元</w:t>
            </w:r>
          </w:p>
        </w:tc>
      </w:tr>
      <w:tr w14:paraId="39A16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4" w:hRule="exact"/>
        </w:trPr>
        <w:tc>
          <w:tcPr>
            <w:tcW w:w="567" w:type="dxa"/>
            <w:vMerge w:val="continue"/>
            <w:vAlign w:val="center"/>
          </w:tcPr>
          <w:p w14:paraId="289E7EE8">
            <w:pPr>
              <w:spacing w:line="560" w:lineRule="exact"/>
              <w:jc w:val="center"/>
              <w:rPr>
                <w:rFonts w:ascii="楷体" w:hAnsi="楷体" w:eastAsia="楷体" w:cs="楷体"/>
                <w:sz w:val="28"/>
                <w:szCs w:val="28"/>
              </w:rPr>
            </w:pPr>
          </w:p>
        </w:tc>
        <w:tc>
          <w:tcPr>
            <w:tcW w:w="2023" w:type="dxa"/>
            <w:vAlign w:val="center"/>
          </w:tcPr>
          <w:p w14:paraId="68F3FE14">
            <w:pPr>
              <w:spacing w:line="0" w:lineRule="atLeast"/>
              <w:jc w:val="center"/>
              <w:rPr>
                <w:rFonts w:ascii="楷体" w:hAnsi="楷体" w:eastAsia="楷体" w:cs="楷体"/>
                <w:sz w:val="28"/>
                <w:szCs w:val="28"/>
              </w:rPr>
            </w:pPr>
            <w:r>
              <w:rPr>
                <w:rFonts w:hint="eastAsia" w:ascii="楷体" w:hAnsi="楷体" w:eastAsia="楷体" w:cs="楷体"/>
                <w:sz w:val="28"/>
                <w:szCs w:val="28"/>
              </w:rPr>
              <w:t>是否实行    招投标</w:t>
            </w:r>
          </w:p>
        </w:tc>
        <w:tc>
          <w:tcPr>
            <w:tcW w:w="7191" w:type="dxa"/>
            <w:gridSpan w:val="6"/>
            <w:vAlign w:val="top"/>
          </w:tcPr>
          <w:p w14:paraId="632CED04">
            <w:pPr>
              <w:spacing w:line="560" w:lineRule="exact"/>
              <w:jc w:val="left"/>
              <w:rPr>
                <w:rFonts w:ascii="楷体" w:hAnsi="楷体" w:eastAsia="楷体" w:cs="楷体"/>
                <w:sz w:val="28"/>
                <w:szCs w:val="28"/>
              </w:rPr>
            </w:pPr>
            <w:r>
              <w:rPr>
                <w:rFonts w:hint="eastAsia" w:ascii="楷体" w:hAnsi="楷体" w:eastAsia="楷体" w:cs="楷体"/>
                <w:sz w:val="28"/>
                <w:szCs w:val="28"/>
              </w:rPr>
              <w:t>□是　　                  □否</w:t>
            </w:r>
          </w:p>
        </w:tc>
      </w:tr>
      <w:tr w14:paraId="4531F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6" w:hRule="exact"/>
        </w:trPr>
        <w:tc>
          <w:tcPr>
            <w:tcW w:w="567" w:type="dxa"/>
            <w:vMerge w:val="continue"/>
            <w:vAlign w:val="center"/>
          </w:tcPr>
          <w:p w14:paraId="1E34B49F">
            <w:pPr>
              <w:spacing w:line="560" w:lineRule="exact"/>
              <w:jc w:val="center"/>
              <w:rPr>
                <w:rFonts w:ascii="楷体" w:hAnsi="楷体" w:eastAsia="楷体" w:cs="楷体"/>
                <w:sz w:val="28"/>
                <w:szCs w:val="28"/>
              </w:rPr>
            </w:pPr>
          </w:p>
        </w:tc>
        <w:tc>
          <w:tcPr>
            <w:tcW w:w="2023" w:type="dxa"/>
            <w:vAlign w:val="center"/>
          </w:tcPr>
          <w:p w14:paraId="5FE21A09">
            <w:pPr>
              <w:spacing w:line="360" w:lineRule="exact"/>
              <w:jc w:val="center"/>
              <w:rPr>
                <w:rFonts w:ascii="楷体" w:hAnsi="楷体" w:eastAsia="楷体" w:cs="楷体"/>
                <w:sz w:val="28"/>
                <w:szCs w:val="28"/>
              </w:rPr>
            </w:pPr>
            <w:r>
              <w:rPr>
                <w:rFonts w:hint="eastAsia" w:ascii="楷体" w:hAnsi="楷体" w:eastAsia="楷体" w:cs="楷体"/>
                <w:sz w:val="28"/>
                <w:szCs w:val="28"/>
              </w:rPr>
              <w:t>是否实行国库     集中支付</w:t>
            </w:r>
          </w:p>
        </w:tc>
        <w:tc>
          <w:tcPr>
            <w:tcW w:w="7191" w:type="dxa"/>
            <w:gridSpan w:val="6"/>
            <w:vAlign w:val="top"/>
          </w:tcPr>
          <w:p w14:paraId="7848DCFB">
            <w:pPr>
              <w:spacing w:line="560" w:lineRule="exact"/>
              <w:jc w:val="left"/>
              <w:rPr>
                <w:rFonts w:ascii="楷体" w:hAnsi="楷体" w:eastAsia="楷体" w:cs="楷体"/>
                <w:sz w:val="28"/>
                <w:szCs w:val="28"/>
              </w:rPr>
            </w:pPr>
            <w:r>
              <w:rPr>
                <w:rFonts w:hint="eastAsia" w:ascii="楷体" w:hAnsi="楷体" w:eastAsia="楷体" w:cs="楷体"/>
                <w:sz w:val="28"/>
                <w:szCs w:val="28"/>
              </w:rPr>
              <w:t>√□是　                  □否</w:t>
            </w:r>
          </w:p>
        </w:tc>
      </w:tr>
      <w:tr w14:paraId="64373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2" w:hRule="exact"/>
        </w:trPr>
        <w:tc>
          <w:tcPr>
            <w:tcW w:w="567" w:type="dxa"/>
            <w:vMerge w:val="continue"/>
            <w:vAlign w:val="center"/>
          </w:tcPr>
          <w:p w14:paraId="3144CD2A">
            <w:pPr>
              <w:spacing w:line="560" w:lineRule="exact"/>
              <w:jc w:val="center"/>
              <w:rPr>
                <w:rFonts w:ascii="楷体" w:hAnsi="楷体" w:eastAsia="楷体" w:cs="楷体"/>
                <w:sz w:val="28"/>
                <w:szCs w:val="28"/>
              </w:rPr>
            </w:pPr>
          </w:p>
        </w:tc>
        <w:tc>
          <w:tcPr>
            <w:tcW w:w="2023" w:type="dxa"/>
            <w:vAlign w:val="center"/>
          </w:tcPr>
          <w:p w14:paraId="1DADFDA7">
            <w:pPr>
              <w:spacing w:line="400" w:lineRule="exact"/>
              <w:jc w:val="center"/>
              <w:rPr>
                <w:rFonts w:ascii="楷体" w:hAnsi="楷体" w:eastAsia="楷体" w:cs="楷体"/>
                <w:sz w:val="28"/>
                <w:szCs w:val="28"/>
              </w:rPr>
            </w:pPr>
            <w:r>
              <w:rPr>
                <w:rFonts w:hint="eastAsia" w:ascii="楷体" w:hAnsi="楷体" w:eastAsia="楷体" w:cs="楷体"/>
                <w:sz w:val="28"/>
                <w:szCs w:val="28"/>
              </w:rPr>
              <w:t>是否实行工程代理和投资评审制</w:t>
            </w:r>
          </w:p>
        </w:tc>
        <w:tc>
          <w:tcPr>
            <w:tcW w:w="7191" w:type="dxa"/>
            <w:gridSpan w:val="6"/>
            <w:vAlign w:val="top"/>
          </w:tcPr>
          <w:p w14:paraId="705EDF1E">
            <w:pPr>
              <w:spacing w:line="560" w:lineRule="exact"/>
              <w:jc w:val="left"/>
              <w:rPr>
                <w:rFonts w:ascii="楷体" w:hAnsi="楷体" w:eastAsia="楷体" w:cs="楷体"/>
                <w:sz w:val="28"/>
                <w:szCs w:val="28"/>
              </w:rPr>
            </w:pPr>
            <w:r>
              <w:rPr>
                <w:rFonts w:hint="eastAsia" w:ascii="楷体" w:hAnsi="楷体" w:eastAsia="楷体" w:cs="楷体"/>
                <w:sz w:val="28"/>
                <w:szCs w:val="28"/>
              </w:rPr>
              <w:t>□是　　                √□否</w:t>
            </w:r>
          </w:p>
        </w:tc>
      </w:tr>
      <w:tr w14:paraId="4FCAA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0" w:hRule="exact"/>
        </w:trPr>
        <w:tc>
          <w:tcPr>
            <w:tcW w:w="567" w:type="dxa"/>
            <w:vMerge w:val="continue"/>
            <w:vAlign w:val="center"/>
          </w:tcPr>
          <w:p w14:paraId="4645354E">
            <w:pPr>
              <w:spacing w:line="560" w:lineRule="exact"/>
              <w:jc w:val="center"/>
              <w:rPr>
                <w:rFonts w:ascii="楷体" w:hAnsi="楷体" w:eastAsia="楷体" w:cs="楷体"/>
                <w:sz w:val="28"/>
                <w:szCs w:val="28"/>
              </w:rPr>
            </w:pPr>
          </w:p>
        </w:tc>
        <w:tc>
          <w:tcPr>
            <w:tcW w:w="2023" w:type="dxa"/>
            <w:vAlign w:val="center"/>
          </w:tcPr>
          <w:p w14:paraId="0D3C7415">
            <w:pPr>
              <w:spacing w:line="0" w:lineRule="atLeast"/>
              <w:jc w:val="center"/>
              <w:rPr>
                <w:rFonts w:ascii="楷体" w:hAnsi="楷体" w:eastAsia="楷体" w:cs="楷体"/>
                <w:sz w:val="28"/>
                <w:szCs w:val="28"/>
              </w:rPr>
            </w:pPr>
            <w:r>
              <w:rPr>
                <w:rFonts w:hint="eastAsia" w:ascii="楷体" w:hAnsi="楷体" w:eastAsia="楷体" w:cs="楷体"/>
                <w:sz w:val="28"/>
                <w:szCs w:val="28"/>
              </w:rPr>
              <w:t>是否实行合同管理制</w:t>
            </w:r>
          </w:p>
        </w:tc>
        <w:tc>
          <w:tcPr>
            <w:tcW w:w="7191" w:type="dxa"/>
            <w:gridSpan w:val="6"/>
            <w:vAlign w:val="top"/>
          </w:tcPr>
          <w:p w14:paraId="0E413965">
            <w:pPr>
              <w:spacing w:line="560" w:lineRule="exact"/>
              <w:jc w:val="left"/>
              <w:rPr>
                <w:rFonts w:ascii="楷体" w:hAnsi="楷体" w:eastAsia="楷体" w:cs="楷体"/>
                <w:sz w:val="28"/>
                <w:szCs w:val="28"/>
              </w:rPr>
            </w:pPr>
            <w:r>
              <w:rPr>
                <w:rFonts w:hint="eastAsia" w:ascii="楷体" w:hAnsi="楷体" w:eastAsia="楷体" w:cs="楷体"/>
                <w:sz w:val="28"/>
                <w:szCs w:val="28"/>
              </w:rPr>
              <w:t>√□是　　                □否</w:t>
            </w:r>
          </w:p>
          <w:p w14:paraId="48FFCE17">
            <w:pPr>
              <w:spacing w:line="560" w:lineRule="exact"/>
              <w:jc w:val="left"/>
              <w:rPr>
                <w:rFonts w:ascii="楷体" w:hAnsi="楷体" w:eastAsia="楷体" w:cs="楷体"/>
                <w:sz w:val="28"/>
                <w:szCs w:val="28"/>
              </w:rPr>
            </w:pPr>
          </w:p>
        </w:tc>
      </w:tr>
      <w:tr w14:paraId="0203C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5" w:hRule="exact"/>
        </w:trPr>
        <w:tc>
          <w:tcPr>
            <w:tcW w:w="567" w:type="dxa"/>
            <w:vMerge w:val="continue"/>
            <w:vAlign w:val="center"/>
          </w:tcPr>
          <w:p w14:paraId="31F61D93">
            <w:pPr>
              <w:spacing w:line="560" w:lineRule="exact"/>
              <w:jc w:val="center"/>
              <w:rPr>
                <w:rFonts w:ascii="楷体" w:hAnsi="楷体" w:eastAsia="楷体" w:cs="楷体"/>
                <w:sz w:val="28"/>
                <w:szCs w:val="28"/>
              </w:rPr>
            </w:pPr>
          </w:p>
        </w:tc>
        <w:tc>
          <w:tcPr>
            <w:tcW w:w="2023" w:type="dxa"/>
            <w:vAlign w:val="center"/>
          </w:tcPr>
          <w:p w14:paraId="7B33834B">
            <w:pPr>
              <w:spacing w:line="360" w:lineRule="exact"/>
              <w:jc w:val="center"/>
              <w:rPr>
                <w:rFonts w:ascii="楷体" w:hAnsi="楷体" w:eastAsia="楷体" w:cs="楷体"/>
                <w:sz w:val="28"/>
                <w:szCs w:val="28"/>
              </w:rPr>
            </w:pPr>
            <w:r>
              <w:rPr>
                <w:rFonts w:hint="eastAsia" w:ascii="楷体" w:hAnsi="楷体" w:eastAsia="楷体" w:cs="楷体"/>
                <w:sz w:val="28"/>
                <w:szCs w:val="28"/>
              </w:rPr>
              <w:t>是否实行财政双控账户管理</w:t>
            </w:r>
          </w:p>
          <w:p w14:paraId="44380A2A">
            <w:pPr>
              <w:spacing w:line="360" w:lineRule="exact"/>
              <w:jc w:val="center"/>
              <w:rPr>
                <w:rFonts w:ascii="楷体" w:hAnsi="楷体" w:eastAsia="楷体" w:cs="楷体"/>
                <w:sz w:val="28"/>
                <w:szCs w:val="28"/>
              </w:rPr>
            </w:pPr>
            <w:r>
              <w:rPr>
                <w:rFonts w:hint="eastAsia" w:ascii="楷体" w:hAnsi="楷体" w:eastAsia="楷体" w:cs="楷体"/>
                <w:sz w:val="28"/>
                <w:szCs w:val="28"/>
              </w:rPr>
              <w:t>管理</w:t>
            </w:r>
          </w:p>
        </w:tc>
        <w:tc>
          <w:tcPr>
            <w:tcW w:w="7191" w:type="dxa"/>
            <w:gridSpan w:val="6"/>
            <w:vAlign w:val="top"/>
          </w:tcPr>
          <w:p w14:paraId="03ADED0A">
            <w:pPr>
              <w:spacing w:line="560" w:lineRule="exact"/>
              <w:jc w:val="left"/>
              <w:rPr>
                <w:rFonts w:ascii="楷体" w:hAnsi="楷体" w:eastAsia="楷体" w:cs="楷体"/>
                <w:sz w:val="28"/>
                <w:szCs w:val="28"/>
              </w:rPr>
            </w:pPr>
            <w:r>
              <w:rPr>
                <w:rFonts w:hint="eastAsia" w:ascii="楷体" w:hAnsi="楷体" w:eastAsia="楷体" w:cs="楷体"/>
                <w:sz w:val="28"/>
                <w:szCs w:val="28"/>
              </w:rPr>
              <w:t>□是　　                √□否</w:t>
            </w:r>
          </w:p>
        </w:tc>
      </w:tr>
      <w:tr w14:paraId="0B810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0" w:hRule="exact"/>
        </w:trPr>
        <w:tc>
          <w:tcPr>
            <w:tcW w:w="567" w:type="dxa"/>
            <w:vMerge w:val="continue"/>
            <w:vAlign w:val="center"/>
          </w:tcPr>
          <w:p w14:paraId="260171B9">
            <w:pPr>
              <w:spacing w:line="560" w:lineRule="exact"/>
              <w:jc w:val="center"/>
              <w:rPr>
                <w:rFonts w:ascii="楷体" w:hAnsi="楷体" w:eastAsia="楷体" w:cs="楷体"/>
                <w:sz w:val="28"/>
                <w:szCs w:val="28"/>
              </w:rPr>
            </w:pPr>
          </w:p>
        </w:tc>
        <w:tc>
          <w:tcPr>
            <w:tcW w:w="2023" w:type="dxa"/>
            <w:vAlign w:val="center"/>
          </w:tcPr>
          <w:p w14:paraId="236FACEA">
            <w:pPr>
              <w:spacing w:line="360" w:lineRule="exact"/>
              <w:jc w:val="center"/>
              <w:rPr>
                <w:rFonts w:ascii="楷体" w:hAnsi="楷体" w:eastAsia="楷体" w:cs="楷体"/>
                <w:sz w:val="28"/>
                <w:szCs w:val="28"/>
              </w:rPr>
            </w:pPr>
            <w:r>
              <w:rPr>
                <w:rFonts w:hint="eastAsia" w:ascii="楷体" w:hAnsi="楷体" w:eastAsia="楷体" w:cs="楷体"/>
                <w:sz w:val="28"/>
                <w:szCs w:val="28"/>
              </w:rPr>
              <w:t>是否实行财政专户管理</w:t>
            </w:r>
          </w:p>
        </w:tc>
        <w:tc>
          <w:tcPr>
            <w:tcW w:w="7191" w:type="dxa"/>
            <w:gridSpan w:val="6"/>
            <w:vAlign w:val="top"/>
          </w:tcPr>
          <w:p w14:paraId="05D1C618">
            <w:pPr>
              <w:spacing w:line="560" w:lineRule="exact"/>
              <w:jc w:val="left"/>
              <w:rPr>
                <w:rFonts w:ascii="楷体" w:hAnsi="楷体" w:eastAsia="楷体" w:cs="楷体"/>
                <w:sz w:val="28"/>
                <w:szCs w:val="28"/>
              </w:rPr>
            </w:pPr>
            <w:r>
              <w:rPr>
                <w:rFonts w:hint="eastAsia" w:ascii="楷体" w:hAnsi="楷体" w:eastAsia="楷体" w:cs="楷体"/>
                <w:sz w:val="28"/>
                <w:szCs w:val="28"/>
              </w:rPr>
              <w:t>□是　　                √□否</w:t>
            </w:r>
          </w:p>
        </w:tc>
      </w:tr>
      <w:tr w14:paraId="629AD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4" w:hRule="exact"/>
        </w:trPr>
        <w:tc>
          <w:tcPr>
            <w:tcW w:w="567" w:type="dxa"/>
            <w:vMerge w:val="restart"/>
            <w:vAlign w:val="center"/>
          </w:tcPr>
          <w:p w14:paraId="7062680F">
            <w:pPr>
              <w:spacing w:line="440" w:lineRule="exact"/>
              <w:jc w:val="center"/>
              <w:rPr>
                <w:rFonts w:ascii="楷体" w:hAnsi="楷体" w:eastAsia="楷体" w:cs="楷体"/>
                <w:sz w:val="28"/>
                <w:szCs w:val="28"/>
              </w:rPr>
            </w:pPr>
            <w:r>
              <w:rPr>
                <w:rFonts w:hint="eastAsia" w:ascii="楷体" w:hAnsi="楷体" w:eastAsia="楷体" w:cs="楷体"/>
                <w:sz w:val="28"/>
                <w:szCs w:val="28"/>
              </w:rPr>
              <w:t>管理情况</w:t>
            </w:r>
          </w:p>
        </w:tc>
        <w:tc>
          <w:tcPr>
            <w:tcW w:w="2023" w:type="dxa"/>
            <w:vAlign w:val="center"/>
          </w:tcPr>
          <w:p w14:paraId="0B252200">
            <w:pPr>
              <w:spacing w:line="0" w:lineRule="atLeast"/>
              <w:jc w:val="center"/>
              <w:rPr>
                <w:rFonts w:ascii="楷体" w:hAnsi="楷体" w:eastAsia="楷体" w:cs="楷体"/>
                <w:sz w:val="28"/>
                <w:szCs w:val="28"/>
              </w:rPr>
            </w:pPr>
            <w:r>
              <w:rPr>
                <w:rFonts w:hint="eastAsia" w:ascii="楷体" w:hAnsi="楷体" w:eastAsia="楷体" w:cs="楷体"/>
                <w:sz w:val="28"/>
                <w:szCs w:val="28"/>
              </w:rPr>
              <w:t>管理制度    和办法名称</w:t>
            </w:r>
          </w:p>
        </w:tc>
        <w:tc>
          <w:tcPr>
            <w:tcW w:w="7191" w:type="dxa"/>
            <w:gridSpan w:val="6"/>
            <w:vAlign w:val="top"/>
          </w:tcPr>
          <w:p w14:paraId="0BB3C07D">
            <w:pPr>
              <w:spacing w:line="360" w:lineRule="exact"/>
              <w:rPr>
                <w:rFonts w:ascii="楷体" w:hAnsi="楷体" w:eastAsia="楷体" w:cs="楷体"/>
                <w:sz w:val="28"/>
                <w:szCs w:val="28"/>
              </w:rPr>
            </w:pPr>
            <w:r>
              <w:rPr>
                <w:rFonts w:hint="eastAsia" w:ascii="楷体" w:hAnsi="楷体" w:eastAsia="楷体" w:cs="楷体"/>
                <w:sz w:val="28"/>
                <w:szCs w:val="28"/>
              </w:rPr>
              <w:t>《邵阳市卫生计生综合监督执法局财务管理制度》</w:t>
            </w:r>
          </w:p>
          <w:p w14:paraId="030376F2">
            <w:pPr>
              <w:spacing w:line="360" w:lineRule="exact"/>
              <w:jc w:val="left"/>
              <w:rPr>
                <w:rFonts w:ascii="楷体" w:hAnsi="楷体" w:eastAsia="楷体" w:cs="楷体"/>
                <w:sz w:val="28"/>
                <w:szCs w:val="28"/>
              </w:rPr>
            </w:pPr>
            <w:r>
              <w:rPr>
                <w:rFonts w:hint="eastAsia" w:ascii="楷体" w:hAnsi="楷体" w:eastAsia="楷体" w:cs="楷体"/>
                <w:sz w:val="28"/>
                <w:szCs w:val="28"/>
              </w:rPr>
              <w:t>《邵阳市卫生计生综合监督执法局内部控制规程》</w:t>
            </w:r>
          </w:p>
        </w:tc>
      </w:tr>
      <w:tr w14:paraId="73185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4" w:hRule="exact"/>
        </w:trPr>
        <w:tc>
          <w:tcPr>
            <w:tcW w:w="567" w:type="dxa"/>
            <w:vMerge w:val="continue"/>
            <w:vAlign w:val="center"/>
          </w:tcPr>
          <w:p w14:paraId="4DBEF53D">
            <w:pPr>
              <w:spacing w:line="560" w:lineRule="exact"/>
              <w:jc w:val="center"/>
              <w:rPr>
                <w:rFonts w:ascii="楷体" w:hAnsi="楷体" w:eastAsia="楷体" w:cs="楷体"/>
                <w:sz w:val="28"/>
                <w:szCs w:val="28"/>
              </w:rPr>
            </w:pPr>
          </w:p>
        </w:tc>
        <w:tc>
          <w:tcPr>
            <w:tcW w:w="2023" w:type="dxa"/>
            <w:vAlign w:val="center"/>
          </w:tcPr>
          <w:p w14:paraId="2AE2A619">
            <w:pPr>
              <w:spacing w:line="560" w:lineRule="exact"/>
              <w:jc w:val="center"/>
              <w:rPr>
                <w:rFonts w:ascii="楷体" w:hAnsi="楷体" w:eastAsia="楷体" w:cs="楷体"/>
                <w:sz w:val="28"/>
                <w:szCs w:val="28"/>
              </w:rPr>
            </w:pPr>
            <w:r>
              <w:rPr>
                <w:rFonts w:hint="eastAsia" w:ascii="楷体" w:hAnsi="楷体" w:eastAsia="楷体" w:cs="楷体"/>
                <w:sz w:val="28"/>
                <w:szCs w:val="28"/>
              </w:rPr>
              <w:t>具体工作措施</w:t>
            </w:r>
          </w:p>
        </w:tc>
        <w:tc>
          <w:tcPr>
            <w:tcW w:w="7191" w:type="dxa"/>
            <w:gridSpan w:val="6"/>
            <w:vAlign w:val="top"/>
          </w:tcPr>
          <w:p w14:paraId="422BD67E">
            <w:pPr>
              <w:spacing w:line="360" w:lineRule="exact"/>
              <w:jc w:val="left"/>
              <w:rPr>
                <w:rFonts w:ascii="楷体" w:hAnsi="楷体" w:eastAsia="楷体" w:cs="楷体"/>
                <w:sz w:val="28"/>
                <w:szCs w:val="28"/>
              </w:rPr>
            </w:pPr>
            <w:r>
              <w:rPr>
                <w:rFonts w:hint="eastAsia" w:ascii="楷体" w:hAnsi="楷体" w:eastAsia="楷体" w:cs="楷体"/>
                <w:sz w:val="28"/>
                <w:szCs w:val="28"/>
              </w:rPr>
              <w:t>严格执行市财政局部门预算，统一管理，按照项目计划安排，根据实际工作情况开支，做到专款专用。大宗商品采购严格按政府采购有关规定执行，重大经费支出均由局务会集体讨论决定。</w:t>
            </w:r>
          </w:p>
          <w:p w14:paraId="70DCFBDB">
            <w:pPr>
              <w:jc w:val="left"/>
              <w:rPr>
                <w:rFonts w:ascii="楷体" w:hAnsi="楷体" w:eastAsia="楷体" w:cs="楷体"/>
                <w:sz w:val="28"/>
                <w:szCs w:val="28"/>
              </w:rPr>
            </w:pPr>
          </w:p>
        </w:tc>
      </w:tr>
      <w:tr w14:paraId="0A242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0" w:hRule="exact"/>
        </w:trPr>
        <w:tc>
          <w:tcPr>
            <w:tcW w:w="567" w:type="dxa"/>
            <w:vMerge w:val="continue"/>
            <w:vAlign w:val="center"/>
          </w:tcPr>
          <w:p w14:paraId="50C5758C">
            <w:pPr>
              <w:spacing w:line="560" w:lineRule="exact"/>
              <w:jc w:val="center"/>
              <w:rPr>
                <w:rFonts w:ascii="楷体" w:hAnsi="楷体" w:eastAsia="楷体" w:cs="楷体"/>
                <w:sz w:val="28"/>
                <w:szCs w:val="28"/>
              </w:rPr>
            </w:pPr>
          </w:p>
        </w:tc>
        <w:tc>
          <w:tcPr>
            <w:tcW w:w="2023" w:type="dxa"/>
            <w:vAlign w:val="center"/>
          </w:tcPr>
          <w:p w14:paraId="0A923610">
            <w:pPr>
              <w:spacing w:line="360" w:lineRule="exact"/>
              <w:jc w:val="center"/>
              <w:rPr>
                <w:rFonts w:ascii="楷体" w:hAnsi="楷体" w:eastAsia="楷体" w:cs="楷体"/>
                <w:sz w:val="28"/>
                <w:szCs w:val="28"/>
              </w:rPr>
            </w:pPr>
            <w:r>
              <w:rPr>
                <w:rFonts w:hint="eastAsia" w:ascii="楷体" w:hAnsi="楷体" w:eastAsia="楷体" w:cs="楷体"/>
                <w:sz w:val="28"/>
                <w:szCs w:val="28"/>
              </w:rPr>
              <w:t>项目调整内容及报批程序和手续</w:t>
            </w:r>
          </w:p>
        </w:tc>
        <w:tc>
          <w:tcPr>
            <w:tcW w:w="7191" w:type="dxa"/>
            <w:gridSpan w:val="6"/>
            <w:vAlign w:val="center"/>
          </w:tcPr>
          <w:p w14:paraId="6F8528F7">
            <w:pPr>
              <w:spacing w:line="320" w:lineRule="exact"/>
              <w:jc w:val="left"/>
              <w:rPr>
                <w:rFonts w:ascii="楷体" w:hAnsi="楷体" w:eastAsia="楷体" w:cs="楷体"/>
                <w:sz w:val="28"/>
                <w:szCs w:val="28"/>
              </w:rPr>
            </w:pPr>
            <w:r>
              <w:rPr>
                <w:rFonts w:hint="eastAsia" w:ascii="楷体" w:hAnsi="楷体" w:eastAsia="楷体" w:cs="楷体"/>
                <w:sz w:val="28"/>
                <w:szCs w:val="28"/>
              </w:rPr>
              <w:t>项目无调整，资金均按预算规定用途使用。</w:t>
            </w:r>
          </w:p>
        </w:tc>
      </w:tr>
      <w:tr w14:paraId="5C7B7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4" w:hRule="exact"/>
        </w:trPr>
        <w:tc>
          <w:tcPr>
            <w:tcW w:w="567" w:type="dxa"/>
            <w:vMerge w:val="continue"/>
            <w:vAlign w:val="center"/>
          </w:tcPr>
          <w:p w14:paraId="193419D6">
            <w:pPr>
              <w:spacing w:line="560" w:lineRule="exact"/>
              <w:jc w:val="center"/>
              <w:rPr>
                <w:rFonts w:ascii="楷体" w:hAnsi="楷体" w:eastAsia="楷体" w:cs="楷体"/>
                <w:sz w:val="28"/>
                <w:szCs w:val="28"/>
              </w:rPr>
            </w:pPr>
          </w:p>
        </w:tc>
        <w:tc>
          <w:tcPr>
            <w:tcW w:w="2023" w:type="dxa"/>
            <w:vAlign w:val="center"/>
          </w:tcPr>
          <w:p w14:paraId="52ED9B72">
            <w:pPr>
              <w:spacing w:line="0" w:lineRule="atLeast"/>
              <w:jc w:val="center"/>
              <w:rPr>
                <w:rFonts w:ascii="楷体" w:hAnsi="楷体" w:eastAsia="楷体" w:cs="楷体"/>
                <w:sz w:val="28"/>
                <w:szCs w:val="28"/>
              </w:rPr>
            </w:pPr>
            <w:r>
              <w:rPr>
                <w:rFonts w:hint="eastAsia" w:ascii="楷体" w:hAnsi="楷体" w:eastAsia="楷体" w:cs="楷体"/>
                <w:sz w:val="28"/>
                <w:szCs w:val="28"/>
              </w:rPr>
              <w:t>项目完工验收情况</w:t>
            </w:r>
          </w:p>
        </w:tc>
        <w:tc>
          <w:tcPr>
            <w:tcW w:w="7191" w:type="dxa"/>
            <w:gridSpan w:val="6"/>
            <w:vAlign w:val="center"/>
          </w:tcPr>
          <w:p w14:paraId="6F545E90">
            <w:pPr>
              <w:spacing w:line="340" w:lineRule="exact"/>
              <w:rPr>
                <w:rFonts w:ascii="楷体" w:hAnsi="楷体" w:eastAsia="楷体" w:cs="楷体"/>
                <w:sz w:val="28"/>
                <w:szCs w:val="28"/>
              </w:rPr>
            </w:pPr>
            <w:r>
              <w:rPr>
                <w:rFonts w:hint="eastAsia" w:ascii="楷体" w:hAnsi="楷体" w:eastAsia="楷体" w:cs="楷体"/>
                <w:sz w:val="28"/>
                <w:szCs w:val="28"/>
              </w:rPr>
              <w:t>圆满完成国家、省厅卫生监督“双随机”监督抽检任务及上级交付的各项工作任务</w:t>
            </w:r>
          </w:p>
        </w:tc>
      </w:tr>
      <w:tr w14:paraId="169BF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2" w:hRule="exact"/>
        </w:trPr>
        <w:tc>
          <w:tcPr>
            <w:tcW w:w="567" w:type="dxa"/>
            <w:vMerge w:val="restart"/>
            <w:vAlign w:val="top"/>
          </w:tcPr>
          <w:p w14:paraId="69E53931">
            <w:pPr>
              <w:spacing w:line="0" w:lineRule="atLeast"/>
              <w:rPr>
                <w:rFonts w:ascii="楷体" w:hAnsi="楷体" w:eastAsia="楷体" w:cs="楷体"/>
                <w:sz w:val="28"/>
                <w:szCs w:val="28"/>
              </w:rPr>
            </w:pPr>
            <w:r>
              <w:rPr>
                <w:rFonts w:hint="eastAsia" w:ascii="楷体" w:hAnsi="楷体" w:eastAsia="楷体" w:cs="楷体"/>
                <w:sz w:val="28"/>
                <w:szCs w:val="28"/>
              </w:rPr>
              <w:t>资金管理情况</w:t>
            </w:r>
          </w:p>
        </w:tc>
        <w:tc>
          <w:tcPr>
            <w:tcW w:w="2023" w:type="dxa"/>
            <w:vAlign w:val="center"/>
          </w:tcPr>
          <w:p w14:paraId="1A71ED94">
            <w:pPr>
              <w:spacing w:line="560" w:lineRule="exact"/>
              <w:jc w:val="center"/>
              <w:rPr>
                <w:rFonts w:ascii="楷体" w:hAnsi="楷体" w:eastAsia="楷体" w:cs="楷体"/>
                <w:sz w:val="28"/>
                <w:szCs w:val="28"/>
              </w:rPr>
            </w:pPr>
            <w:r>
              <w:rPr>
                <w:rFonts w:hint="eastAsia" w:ascii="楷体" w:hAnsi="楷体" w:eastAsia="楷体" w:cs="楷体"/>
                <w:sz w:val="28"/>
                <w:szCs w:val="28"/>
              </w:rPr>
              <w:t>资金使用管理</w:t>
            </w:r>
          </w:p>
        </w:tc>
        <w:tc>
          <w:tcPr>
            <w:tcW w:w="7191" w:type="dxa"/>
            <w:gridSpan w:val="6"/>
            <w:vAlign w:val="center"/>
          </w:tcPr>
          <w:p w14:paraId="1B30D56B">
            <w:pPr>
              <w:jc w:val="left"/>
              <w:rPr>
                <w:rFonts w:ascii="楷体" w:hAnsi="楷体" w:eastAsia="楷体" w:cs="楷体"/>
                <w:sz w:val="28"/>
                <w:szCs w:val="28"/>
              </w:rPr>
            </w:pPr>
            <w:r>
              <w:rPr>
                <w:rFonts w:hint="eastAsia" w:ascii="楷体" w:hAnsi="楷体" w:eastAsia="楷体" w:cs="楷体"/>
                <w:sz w:val="28"/>
                <w:szCs w:val="28"/>
              </w:rPr>
              <w:t>资金使用管理良好，无虚列支出、截留挤占挪用、超标准开支、超预算等情况。</w:t>
            </w:r>
          </w:p>
        </w:tc>
      </w:tr>
      <w:tr w14:paraId="3D33CC1B">
        <w:tblPrEx>
          <w:tblCellMar>
            <w:top w:w="0" w:type="dxa"/>
            <w:left w:w="108" w:type="dxa"/>
            <w:bottom w:w="0" w:type="dxa"/>
            <w:right w:w="108" w:type="dxa"/>
          </w:tblCellMar>
        </w:tblPrEx>
        <w:trPr>
          <w:cantSplit/>
          <w:trHeight w:val="1231" w:hRule="exact"/>
        </w:trPr>
        <w:tc>
          <w:tcPr>
            <w:tcW w:w="567" w:type="dxa"/>
            <w:vMerge w:val="continue"/>
            <w:vAlign w:val="center"/>
          </w:tcPr>
          <w:p w14:paraId="7688CDBB">
            <w:pPr>
              <w:spacing w:line="560" w:lineRule="exact"/>
              <w:jc w:val="center"/>
              <w:rPr>
                <w:rFonts w:ascii="楷体" w:hAnsi="楷体" w:eastAsia="楷体" w:cs="楷体"/>
                <w:sz w:val="28"/>
                <w:szCs w:val="28"/>
              </w:rPr>
            </w:pPr>
          </w:p>
        </w:tc>
        <w:tc>
          <w:tcPr>
            <w:tcW w:w="2023" w:type="dxa"/>
            <w:vAlign w:val="center"/>
          </w:tcPr>
          <w:p w14:paraId="3903544F">
            <w:pPr>
              <w:spacing w:line="560" w:lineRule="exact"/>
              <w:jc w:val="center"/>
              <w:rPr>
                <w:rFonts w:ascii="楷体" w:hAnsi="楷体" w:eastAsia="楷体" w:cs="楷体"/>
                <w:sz w:val="28"/>
                <w:szCs w:val="28"/>
              </w:rPr>
            </w:pPr>
            <w:r>
              <w:rPr>
                <w:rFonts w:hint="eastAsia" w:ascii="楷体" w:hAnsi="楷体" w:eastAsia="楷体" w:cs="楷体"/>
                <w:sz w:val="28"/>
                <w:szCs w:val="28"/>
              </w:rPr>
              <w:t>财务管理制度</w:t>
            </w:r>
          </w:p>
        </w:tc>
        <w:tc>
          <w:tcPr>
            <w:tcW w:w="7191" w:type="dxa"/>
            <w:gridSpan w:val="6"/>
            <w:vAlign w:val="center"/>
          </w:tcPr>
          <w:p w14:paraId="52554479">
            <w:pPr>
              <w:spacing w:line="560" w:lineRule="exact"/>
              <w:rPr>
                <w:rFonts w:ascii="楷体" w:hAnsi="楷体" w:eastAsia="楷体" w:cs="楷体"/>
                <w:sz w:val="28"/>
                <w:szCs w:val="28"/>
              </w:rPr>
            </w:pPr>
            <w:r>
              <w:rPr>
                <w:rFonts w:hint="eastAsia" w:ascii="楷体" w:hAnsi="楷体" w:eastAsia="楷体" w:cs="楷体"/>
                <w:sz w:val="28"/>
                <w:szCs w:val="28"/>
              </w:rPr>
              <w:t>单位内部财务管理制度及内部控制手册</w:t>
            </w:r>
          </w:p>
        </w:tc>
      </w:tr>
      <w:tr w14:paraId="75126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0" w:hRule="exact"/>
        </w:trPr>
        <w:tc>
          <w:tcPr>
            <w:tcW w:w="567" w:type="dxa"/>
            <w:vMerge w:val="restart"/>
            <w:textDirection w:val="tbRlV"/>
            <w:vAlign w:val="center"/>
          </w:tcPr>
          <w:p w14:paraId="41C686E7">
            <w:pPr>
              <w:spacing w:line="500" w:lineRule="exact"/>
              <w:ind w:left="113" w:right="113" w:firstLine="560" w:firstLineChars="200"/>
              <w:rPr>
                <w:rFonts w:ascii="楷体" w:hAnsi="楷体" w:eastAsia="楷体" w:cs="楷体"/>
                <w:sz w:val="28"/>
                <w:szCs w:val="28"/>
              </w:rPr>
            </w:pPr>
            <w:r>
              <w:rPr>
                <w:rFonts w:hint="eastAsia" w:ascii="楷体" w:hAnsi="楷体" w:eastAsia="楷体" w:cs="楷体"/>
                <w:sz w:val="28"/>
                <w:szCs w:val="28"/>
              </w:rPr>
              <w:t>资金到位使用情况</w:t>
            </w:r>
          </w:p>
        </w:tc>
        <w:tc>
          <w:tcPr>
            <w:tcW w:w="2023" w:type="dxa"/>
            <w:vAlign w:val="center"/>
          </w:tcPr>
          <w:p w14:paraId="505AA043">
            <w:pPr>
              <w:spacing w:line="560" w:lineRule="exact"/>
              <w:jc w:val="center"/>
              <w:rPr>
                <w:rFonts w:ascii="楷体" w:hAnsi="楷体" w:eastAsia="楷体" w:cs="楷体"/>
                <w:sz w:val="28"/>
                <w:szCs w:val="28"/>
              </w:rPr>
            </w:pPr>
            <w:r>
              <w:rPr>
                <w:rFonts w:hint="eastAsia" w:ascii="楷体" w:hAnsi="楷体" w:eastAsia="楷体" w:cs="楷体"/>
                <w:sz w:val="28"/>
                <w:szCs w:val="28"/>
              </w:rPr>
              <w:t>内容</w:t>
            </w:r>
          </w:p>
        </w:tc>
        <w:tc>
          <w:tcPr>
            <w:tcW w:w="1796" w:type="dxa"/>
            <w:vAlign w:val="center"/>
          </w:tcPr>
          <w:p w14:paraId="6155D73D">
            <w:pPr>
              <w:jc w:val="center"/>
              <w:rPr>
                <w:rFonts w:ascii="楷体" w:hAnsi="楷体" w:eastAsia="楷体" w:cs="楷体"/>
                <w:sz w:val="28"/>
                <w:szCs w:val="28"/>
              </w:rPr>
            </w:pPr>
            <w:r>
              <w:rPr>
                <w:rFonts w:hint="eastAsia" w:ascii="楷体" w:hAnsi="楷体" w:eastAsia="楷体" w:cs="楷体"/>
                <w:sz w:val="28"/>
                <w:szCs w:val="28"/>
              </w:rPr>
              <w:t>应到位资金（万元）</w:t>
            </w:r>
          </w:p>
        </w:tc>
        <w:tc>
          <w:tcPr>
            <w:tcW w:w="1905" w:type="dxa"/>
            <w:gridSpan w:val="2"/>
            <w:vAlign w:val="center"/>
          </w:tcPr>
          <w:p w14:paraId="474220B9">
            <w:pPr>
              <w:jc w:val="center"/>
              <w:rPr>
                <w:rFonts w:ascii="楷体" w:hAnsi="楷体" w:eastAsia="楷体" w:cs="楷体"/>
                <w:sz w:val="28"/>
                <w:szCs w:val="28"/>
              </w:rPr>
            </w:pPr>
            <w:r>
              <w:rPr>
                <w:rFonts w:hint="eastAsia" w:ascii="楷体" w:hAnsi="楷体" w:eastAsia="楷体" w:cs="楷体"/>
                <w:sz w:val="28"/>
                <w:szCs w:val="28"/>
              </w:rPr>
              <w:t>实际到位资金（万元）</w:t>
            </w:r>
          </w:p>
        </w:tc>
        <w:tc>
          <w:tcPr>
            <w:tcW w:w="1425" w:type="dxa"/>
            <w:gridSpan w:val="2"/>
            <w:vAlign w:val="center"/>
          </w:tcPr>
          <w:p w14:paraId="2D1DA8EC">
            <w:pPr>
              <w:jc w:val="center"/>
              <w:rPr>
                <w:rFonts w:ascii="楷体" w:hAnsi="楷体" w:eastAsia="楷体" w:cs="楷体"/>
                <w:sz w:val="28"/>
                <w:szCs w:val="28"/>
              </w:rPr>
            </w:pPr>
            <w:r>
              <w:rPr>
                <w:rFonts w:hint="eastAsia" w:ascii="楷体" w:hAnsi="楷体" w:eastAsia="楷体" w:cs="楷体"/>
                <w:sz w:val="28"/>
                <w:szCs w:val="28"/>
              </w:rPr>
              <w:t>实际支出（万元）</w:t>
            </w:r>
          </w:p>
        </w:tc>
        <w:tc>
          <w:tcPr>
            <w:tcW w:w="2065" w:type="dxa"/>
            <w:vAlign w:val="center"/>
          </w:tcPr>
          <w:p w14:paraId="3F9205D3">
            <w:pPr>
              <w:jc w:val="center"/>
              <w:rPr>
                <w:rFonts w:ascii="楷体" w:hAnsi="楷体" w:eastAsia="楷体" w:cs="楷体"/>
                <w:sz w:val="28"/>
                <w:szCs w:val="28"/>
              </w:rPr>
            </w:pPr>
            <w:r>
              <w:rPr>
                <w:rFonts w:hint="eastAsia" w:ascii="楷体" w:hAnsi="楷体" w:eastAsia="楷体" w:cs="楷体"/>
                <w:sz w:val="28"/>
                <w:szCs w:val="28"/>
              </w:rPr>
              <w:t>结转结余资金（万元）</w:t>
            </w:r>
          </w:p>
        </w:tc>
      </w:tr>
      <w:tr w14:paraId="06D82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exact"/>
        </w:trPr>
        <w:tc>
          <w:tcPr>
            <w:tcW w:w="567" w:type="dxa"/>
            <w:vMerge w:val="continue"/>
            <w:vAlign w:val="center"/>
          </w:tcPr>
          <w:p w14:paraId="2A63496F">
            <w:pPr>
              <w:spacing w:line="560" w:lineRule="exact"/>
              <w:jc w:val="center"/>
              <w:rPr>
                <w:rFonts w:ascii="楷体" w:hAnsi="楷体" w:eastAsia="楷体" w:cs="楷体"/>
                <w:sz w:val="28"/>
                <w:szCs w:val="28"/>
              </w:rPr>
            </w:pPr>
          </w:p>
        </w:tc>
        <w:tc>
          <w:tcPr>
            <w:tcW w:w="2023" w:type="dxa"/>
            <w:vAlign w:val="center"/>
          </w:tcPr>
          <w:p w14:paraId="7C4C6653">
            <w:pPr>
              <w:ind w:firstLine="280" w:firstLineChars="100"/>
              <w:rPr>
                <w:rFonts w:ascii="楷体" w:hAnsi="楷体" w:eastAsia="楷体" w:cs="楷体"/>
                <w:sz w:val="28"/>
                <w:szCs w:val="28"/>
              </w:rPr>
            </w:pPr>
            <w:r>
              <w:rPr>
                <w:rFonts w:hint="eastAsia" w:ascii="楷体" w:hAnsi="楷体" w:eastAsia="楷体" w:cs="楷体"/>
                <w:sz w:val="28"/>
                <w:szCs w:val="28"/>
              </w:rPr>
              <w:t>中央财政</w:t>
            </w:r>
          </w:p>
        </w:tc>
        <w:tc>
          <w:tcPr>
            <w:tcW w:w="1796" w:type="dxa"/>
            <w:vAlign w:val="center"/>
          </w:tcPr>
          <w:p w14:paraId="38A033E5">
            <w:pPr>
              <w:jc w:val="center"/>
              <w:rPr>
                <w:rFonts w:ascii="楷体" w:hAnsi="楷体" w:eastAsia="楷体" w:cs="楷体"/>
                <w:sz w:val="28"/>
                <w:szCs w:val="28"/>
              </w:rPr>
            </w:pPr>
            <w:r>
              <w:rPr>
                <w:rFonts w:hint="eastAsia" w:ascii="楷体" w:hAnsi="楷体" w:eastAsia="楷体" w:cs="楷体"/>
                <w:sz w:val="28"/>
                <w:szCs w:val="28"/>
              </w:rPr>
              <w:t xml:space="preserve">35.55       </w:t>
            </w:r>
          </w:p>
        </w:tc>
        <w:tc>
          <w:tcPr>
            <w:tcW w:w="1905" w:type="dxa"/>
            <w:gridSpan w:val="2"/>
            <w:vAlign w:val="center"/>
          </w:tcPr>
          <w:p w14:paraId="0B7756D9">
            <w:pPr>
              <w:jc w:val="center"/>
              <w:rPr>
                <w:rFonts w:ascii="楷体" w:hAnsi="楷体" w:eastAsia="楷体" w:cs="楷体"/>
                <w:sz w:val="28"/>
                <w:szCs w:val="28"/>
              </w:rPr>
            </w:pPr>
            <w:r>
              <w:rPr>
                <w:rFonts w:hint="eastAsia" w:ascii="楷体" w:hAnsi="楷体" w:eastAsia="楷体" w:cs="楷体"/>
                <w:sz w:val="28"/>
                <w:szCs w:val="28"/>
              </w:rPr>
              <w:t>35.55</w:t>
            </w:r>
          </w:p>
        </w:tc>
        <w:tc>
          <w:tcPr>
            <w:tcW w:w="1425" w:type="dxa"/>
            <w:gridSpan w:val="2"/>
            <w:vAlign w:val="center"/>
          </w:tcPr>
          <w:p w14:paraId="0DAE9E8A">
            <w:pPr>
              <w:jc w:val="center"/>
              <w:rPr>
                <w:rFonts w:ascii="楷体" w:hAnsi="楷体" w:eastAsia="楷体" w:cs="楷体"/>
                <w:sz w:val="28"/>
                <w:szCs w:val="28"/>
              </w:rPr>
            </w:pPr>
            <w:r>
              <w:rPr>
                <w:rFonts w:hint="eastAsia" w:ascii="楷体" w:hAnsi="楷体" w:eastAsia="楷体" w:cs="楷体"/>
                <w:sz w:val="28"/>
                <w:szCs w:val="28"/>
              </w:rPr>
              <w:t>32.01</w:t>
            </w:r>
          </w:p>
        </w:tc>
        <w:tc>
          <w:tcPr>
            <w:tcW w:w="2065" w:type="dxa"/>
            <w:vAlign w:val="center"/>
          </w:tcPr>
          <w:p w14:paraId="6EA03150">
            <w:pPr>
              <w:jc w:val="center"/>
              <w:rPr>
                <w:rFonts w:ascii="楷体" w:hAnsi="楷体" w:eastAsia="楷体" w:cs="楷体"/>
                <w:sz w:val="28"/>
                <w:szCs w:val="28"/>
              </w:rPr>
            </w:pPr>
            <w:r>
              <w:rPr>
                <w:rFonts w:hint="eastAsia" w:ascii="楷体" w:hAnsi="楷体" w:eastAsia="楷体" w:cs="楷体"/>
                <w:sz w:val="28"/>
                <w:szCs w:val="28"/>
              </w:rPr>
              <w:t>3.54</w:t>
            </w:r>
          </w:p>
        </w:tc>
      </w:tr>
      <w:tr w14:paraId="72F7C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exact"/>
        </w:trPr>
        <w:tc>
          <w:tcPr>
            <w:tcW w:w="567" w:type="dxa"/>
            <w:vMerge w:val="continue"/>
            <w:vAlign w:val="center"/>
          </w:tcPr>
          <w:p w14:paraId="70ACB19F">
            <w:pPr>
              <w:spacing w:line="560" w:lineRule="exact"/>
              <w:jc w:val="center"/>
              <w:rPr>
                <w:rFonts w:ascii="楷体" w:hAnsi="楷体" w:eastAsia="楷体" w:cs="楷体"/>
                <w:sz w:val="28"/>
                <w:szCs w:val="28"/>
              </w:rPr>
            </w:pPr>
          </w:p>
        </w:tc>
        <w:tc>
          <w:tcPr>
            <w:tcW w:w="2023" w:type="dxa"/>
            <w:vAlign w:val="center"/>
          </w:tcPr>
          <w:p w14:paraId="63ABD081">
            <w:pPr>
              <w:jc w:val="center"/>
              <w:rPr>
                <w:rFonts w:ascii="楷体" w:hAnsi="楷体" w:eastAsia="楷体" w:cs="楷体"/>
                <w:sz w:val="28"/>
                <w:szCs w:val="28"/>
              </w:rPr>
            </w:pPr>
            <w:r>
              <w:rPr>
                <w:rFonts w:hint="eastAsia" w:ascii="楷体" w:hAnsi="楷体" w:eastAsia="楷体" w:cs="楷体"/>
                <w:sz w:val="28"/>
                <w:szCs w:val="28"/>
              </w:rPr>
              <w:t>省级财政</w:t>
            </w:r>
          </w:p>
        </w:tc>
        <w:tc>
          <w:tcPr>
            <w:tcW w:w="1796" w:type="dxa"/>
            <w:vAlign w:val="center"/>
          </w:tcPr>
          <w:p w14:paraId="2C65BD4E">
            <w:pPr>
              <w:jc w:val="center"/>
              <w:rPr>
                <w:rFonts w:ascii="楷体" w:hAnsi="楷体" w:eastAsia="楷体" w:cs="楷体"/>
                <w:sz w:val="28"/>
                <w:szCs w:val="28"/>
              </w:rPr>
            </w:pPr>
            <w:r>
              <w:rPr>
                <w:rFonts w:hint="eastAsia" w:ascii="楷体" w:hAnsi="楷体" w:eastAsia="楷体" w:cs="楷体"/>
                <w:sz w:val="28"/>
                <w:szCs w:val="28"/>
              </w:rPr>
              <w:t>20</w:t>
            </w:r>
          </w:p>
        </w:tc>
        <w:tc>
          <w:tcPr>
            <w:tcW w:w="1905" w:type="dxa"/>
            <w:gridSpan w:val="2"/>
            <w:vAlign w:val="center"/>
          </w:tcPr>
          <w:p w14:paraId="4E9C0DC8">
            <w:pPr>
              <w:jc w:val="center"/>
              <w:rPr>
                <w:rFonts w:ascii="楷体" w:hAnsi="楷体" w:eastAsia="楷体" w:cs="楷体"/>
                <w:sz w:val="28"/>
                <w:szCs w:val="28"/>
              </w:rPr>
            </w:pPr>
            <w:r>
              <w:rPr>
                <w:rFonts w:hint="eastAsia" w:ascii="楷体" w:hAnsi="楷体" w:eastAsia="楷体" w:cs="楷体"/>
                <w:sz w:val="28"/>
                <w:szCs w:val="28"/>
              </w:rPr>
              <w:t>20</w:t>
            </w:r>
          </w:p>
        </w:tc>
        <w:tc>
          <w:tcPr>
            <w:tcW w:w="1425" w:type="dxa"/>
            <w:gridSpan w:val="2"/>
            <w:vAlign w:val="center"/>
          </w:tcPr>
          <w:p w14:paraId="273C1F15">
            <w:pPr>
              <w:jc w:val="center"/>
              <w:rPr>
                <w:rFonts w:ascii="楷体" w:hAnsi="楷体" w:eastAsia="楷体" w:cs="楷体"/>
                <w:sz w:val="28"/>
                <w:szCs w:val="28"/>
              </w:rPr>
            </w:pPr>
            <w:r>
              <w:rPr>
                <w:rFonts w:hint="eastAsia" w:ascii="楷体" w:hAnsi="楷体" w:eastAsia="楷体" w:cs="楷体"/>
                <w:sz w:val="28"/>
                <w:szCs w:val="28"/>
              </w:rPr>
              <w:t>17</w:t>
            </w:r>
          </w:p>
        </w:tc>
        <w:tc>
          <w:tcPr>
            <w:tcW w:w="2065" w:type="dxa"/>
            <w:vAlign w:val="center"/>
          </w:tcPr>
          <w:p w14:paraId="7878DE81">
            <w:pPr>
              <w:jc w:val="center"/>
              <w:rPr>
                <w:rFonts w:ascii="楷体" w:hAnsi="楷体" w:eastAsia="楷体" w:cs="楷体"/>
                <w:sz w:val="28"/>
                <w:szCs w:val="28"/>
              </w:rPr>
            </w:pPr>
            <w:r>
              <w:rPr>
                <w:rFonts w:hint="eastAsia" w:ascii="楷体" w:hAnsi="楷体" w:eastAsia="楷体" w:cs="楷体"/>
                <w:sz w:val="28"/>
                <w:szCs w:val="28"/>
              </w:rPr>
              <w:t>3.00</w:t>
            </w:r>
          </w:p>
        </w:tc>
      </w:tr>
      <w:tr w14:paraId="7122B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exact"/>
        </w:trPr>
        <w:tc>
          <w:tcPr>
            <w:tcW w:w="567" w:type="dxa"/>
            <w:vMerge w:val="continue"/>
            <w:vAlign w:val="center"/>
          </w:tcPr>
          <w:p w14:paraId="0B9A0A8E">
            <w:pPr>
              <w:spacing w:line="560" w:lineRule="exact"/>
              <w:jc w:val="center"/>
              <w:rPr>
                <w:rFonts w:ascii="楷体" w:hAnsi="楷体" w:eastAsia="楷体" w:cs="楷体"/>
                <w:sz w:val="28"/>
                <w:szCs w:val="28"/>
              </w:rPr>
            </w:pPr>
          </w:p>
        </w:tc>
        <w:tc>
          <w:tcPr>
            <w:tcW w:w="2023" w:type="dxa"/>
            <w:vAlign w:val="center"/>
          </w:tcPr>
          <w:p w14:paraId="2B18E12F">
            <w:pPr>
              <w:jc w:val="center"/>
              <w:rPr>
                <w:rFonts w:ascii="楷体" w:hAnsi="楷体" w:eastAsia="楷体" w:cs="楷体"/>
                <w:sz w:val="28"/>
                <w:szCs w:val="28"/>
              </w:rPr>
            </w:pPr>
            <w:r>
              <w:rPr>
                <w:rFonts w:hint="eastAsia" w:ascii="楷体" w:hAnsi="楷体" w:eastAsia="楷体" w:cs="楷体"/>
                <w:sz w:val="28"/>
                <w:szCs w:val="28"/>
              </w:rPr>
              <w:t>市级财政</w:t>
            </w:r>
          </w:p>
        </w:tc>
        <w:tc>
          <w:tcPr>
            <w:tcW w:w="1796" w:type="dxa"/>
            <w:vAlign w:val="center"/>
          </w:tcPr>
          <w:p w14:paraId="3359D72A">
            <w:pPr>
              <w:jc w:val="center"/>
              <w:rPr>
                <w:rFonts w:ascii="楷体" w:hAnsi="楷体" w:eastAsia="楷体" w:cs="楷体"/>
                <w:sz w:val="28"/>
                <w:szCs w:val="28"/>
              </w:rPr>
            </w:pPr>
            <w:r>
              <w:rPr>
                <w:rFonts w:hint="eastAsia" w:ascii="楷体" w:hAnsi="楷体" w:eastAsia="楷体" w:cs="楷体"/>
                <w:sz w:val="28"/>
                <w:szCs w:val="28"/>
              </w:rPr>
              <w:t>35</w:t>
            </w:r>
          </w:p>
        </w:tc>
        <w:tc>
          <w:tcPr>
            <w:tcW w:w="1905" w:type="dxa"/>
            <w:gridSpan w:val="2"/>
            <w:vAlign w:val="center"/>
          </w:tcPr>
          <w:p w14:paraId="77FB64E1">
            <w:pPr>
              <w:jc w:val="center"/>
              <w:rPr>
                <w:rFonts w:ascii="楷体" w:hAnsi="楷体" w:eastAsia="楷体" w:cs="楷体"/>
                <w:sz w:val="28"/>
                <w:szCs w:val="28"/>
              </w:rPr>
            </w:pPr>
            <w:r>
              <w:rPr>
                <w:rFonts w:hint="eastAsia" w:ascii="楷体" w:hAnsi="楷体" w:eastAsia="楷体" w:cs="楷体"/>
                <w:sz w:val="28"/>
                <w:szCs w:val="28"/>
              </w:rPr>
              <w:t>35</w:t>
            </w:r>
          </w:p>
        </w:tc>
        <w:tc>
          <w:tcPr>
            <w:tcW w:w="1425" w:type="dxa"/>
            <w:gridSpan w:val="2"/>
            <w:vAlign w:val="center"/>
          </w:tcPr>
          <w:p w14:paraId="18BB5D07">
            <w:pPr>
              <w:jc w:val="center"/>
              <w:rPr>
                <w:rFonts w:ascii="楷体" w:hAnsi="楷体" w:eastAsia="楷体" w:cs="楷体"/>
                <w:sz w:val="28"/>
                <w:szCs w:val="28"/>
              </w:rPr>
            </w:pPr>
            <w:r>
              <w:rPr>
                <w:rFonts w:hint="eastAsia" w:ascii="楷体" w:hAnsi="楷体" w:eastAsia="楷体" w:cs="楷体"/>
                <w:sz w:val="28"/>
                <w:szCs w:val="28"/>
              </w:rPr>
              <w:t>35</w:t>
            </w:r>
          </w:p>
        </w:tc>
        <w:tc>
          <w:tcPr>
            <w:tcW w:w="2065" w:type="dxa"/>
            <w:vAlign w:val="center"/>
          </w:tcPr>
          <w:p w14:paraId="08D6E6A2">
            <w:pPr>
              <w:jc w:val="center"/>
              <w:rPr>
                <w:rFonts w:ascii="楷体" w:hAnsi="楷体" w:eastAsia="楷体" w:cs="楷体"/>
                <w:sz w:val="28"/>
                <w:szCs w:val="28"/>
              </w:rPr>
            </w:pPr>
          </w:p>
        </w:tc>
      </w:tr>
      <w:tr w14:paraId="62A6C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exact"/>
        </w:trPr>
        <w:tc>
          <w:tcPr>
            <w:tcW w:w="567" w:type="dxa"/>
            <w:vMerge w:val="continue"/>
            <w:vAlign w:val="center"/>
          </w:tcPr>
          <w:p w14:paraId="31F50FD1">
            <w:pPr>
              <w:spacing w:line="560" w:lineRule="exact"/>
              <w:jc w:val="center"/>
              <w:rPr>
                <w:rFonts w:ascii="楷体" w:hAnsi="楷体" w:eastAsia="楷体" w:cs="楷体"/>
                <w:sz w:val="28"/>
                <w:szCs w:val="28"/>
              </w:rPr>
            </w:pPr>
          </w:p>
        </w:tc>
        <w:tc>
          <w:tcPr>
            <w:tcW w:w="2023" w:type="dxa"/>
            <w:vAlign w:val="center"/>
          </w:tcPr>
          <w:p w14:paraId="19DEAEDB">
            <w:pPr>
              <w:jc w:val="center"/>
              <w:rPr>
                <w:rFonts w:ascii="楷体" w:hAnsi="楷体" w:eastAsia="楷体" w:cs="楷体"/>
                <w:sz w:val="28"/>
                <w:szCs w:val="28"/>
              </w:rPr>
            </w:pPr>
            <w:r>
              <w:rPr>
                <w:rFonts w:hint="eastAsia" w:ascii="楷体" w:hAnsi="楷体" w:eastAsia="楷体" w:cs="楷体"/>
                <w:sz w:val="28"/>
                <w:szCs w:val="28"/>
              </w:rPr>
              <w:t>其它</w:t>
            </w:r>
          </w:p>
        </w:tc>
        <w:tc>
          <w:tcPr>
            <w:tcW w:w="1796" w:type="dxa"/>
            <w:vAlign w:val="center"/>
          </w:tcPr>
          <w:p w14:paraId="7857B7D5">
            <w:pPr>
              <w:jc w:val="center"/>
              <w:rPr>
                <w:rFonts w:ascii="楷体" w:hAnsi="楷体" w:eastAsia="楷体" w:cs="楷体"/>
                <w:sz w:val="28"/>
                <w:szCs w:val="28"/>
              </w:rPr>
            </w:pPr>
          </w:p>
        </w:tc>
        <w:tc>
          <w:tcPr>
            <w:tcW w:w="1905" w:type="dxa"/>
            <w:gridSpan w:val="2"/>
            <w:vAlign w:val="center"/>
          </w:tcPr>
          <w:p w14:paraId="081D0FCE">
            <w:pPr>
              <w:jc w:val="center"/>
              <w:rPr>
                <w:rFonts w:ascii="楷体" w:hAnsi="楷体" w:eastAsia="楷体" w:cs="楷体"/>
                <w:sz w:val="28"/>
                <w:szCs w:val="28"/>
              </w:rPr>
            </w:pPr>
          </w:p>
        </w:tc>
        <w:tc>
          <w:tcPr>
            <w:tcW w:w="1425" w:type="dxa"/>
            <w:gridSpan w:val="2"/>
            <w:vAlign w:val="center"/>
          </w:tcPr>
          <w:p w14:paraId="3B9C2FCB">
            <w:pPr>
              <w:jc w:val="center"/>
              <w:rPr>
                <w:rFonts w:ascii="楷体" w:hAnsi="楷体" w:eastAsia="楷体" w:cs="楷体"/>
                <w:sz w:val="28"/>
                <w:szCs w:val="28"/>
              </w:rPr>
            </w:pPr>
          </w:p>
        </w:tc>
        <w:tc>
          <w:tcPr>
            <w:tcW w:w="2065" w:type="dxa"/>
            <w:vAlign w:val="center"/>
          </w:tcPr>
          <w:p w14:paraId="09EF7624">
            <w:pPr>
              <w:jc w:val="center"/>
              <w:rPr>
                <w:rFonts w:ascii="楷体" w:hAnsi="楷体" w:eastAsia="楷体" w:cs="楷体"/>
                <w:sz w:val="28"/>
                <w:szCs w:val="28"/>
              </w:rPr>
            </w:pPr>
          </w:p>
        </w:tc>
      </w:tr>
      <w:tr w14:paraId="5DFDA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7" w:hRule="exact"/>
        </w:trPr>
        <w:tc>
          <w:tcPr>
            <w:tcW w:w="567" w:type="dxa"/>
            <w:vMerge w:val="continue"/>
            <w:vAlign w:val="center"/>
          </w:tcPr>
          <w:p w14:paraId="11D0EB26">
            <w:pPr>
              <w:spacing w:line="560" w:lineRule="exact"/>
              <w:jc w:val="center"/>
              <w:rPr>
                <w:rFonts w:ascii="楷体" w:hAnsi="楷体" w:eastAsia="楷体" w:cs="楷体"/>
                <w:sz w:val="28"/>
                <w:szCs w:val="28"/>
              </w:rPr>
            </w:pPr>
          </w:p>
        </w:tc>
        <w:tc>
          <w:tcPr>
            <w:tcW w:w="2023" w:type="dxa"/>
            <w:vAlign w:val="center"/>
          </w:tcPr>
          <w:p w14:paraId="0DDCC64C">
            <w:pPr>
              <w:jc w:val="center"/>
              <w:rPr>
                <w:rFonts w:ascii="楷体" w:hAnsi="楷体" w:eastAsia="楷体" w:cs="楷体"/>
                <w:sz w:val="28"/>
                <w:szCs w:val="28"/>
              </w:rPr>
            </w:pPr>
            <w:r>
              <w:rPr>
                <w:rFonts w:hint="eastAsia" w:ascii="楷体" w:hAnsi="楷体" w:eastAsia="楷体" w:cs="楷体"/>
                <w:sz w:val="28"/>
                <w:szCs w:val="28"/>
              </w:rPr>
              <w:t>合　　计</w:t>
            </w:r>
          </w:p>
        </w:tc>
        <w:tc>
          <w:tcPr>
            <w:tcW w:w="1796" w:type="dxa"/>
            <w:vAlign w:val="center"/>
          </w:tcPr>
          <w:p w14:paraId="1523B410">
            <w:pPr>
              <w:jc w:val="center"/>
              <w:rPr>
                <w:rFonts w:ascii="楷体" w:hAnsi="楷体" w:eastAsia="楷体" w:cs="楷体"/>
                <w:sz w:val="28"/>
                <w:szCs w:val="28"/>
              </w:rPr>
            </w:pPr>
            <w:r>
              <w:rPr>
                <w:rFonts w:hint="eastAsia" w:ascii="楷体" w:hAnsi="楷体" w:eastAsia="楷体" w:cs="楷体"/>
                <w:sz w:val="28"/>
                <w:szCs w:val="28"/>
              </w:rPr>
              <w:t>90.55</w:t>
            </w:r>
          </w:p>
        </w:tc>
        <w:tc>
          <w:tcPr>
            <w:tcW w:w="1905" w:type="dxa"/>
            <w:gridSpan w:val="2"/>
            <w:vAlign w:val="center"/>
          </w:tcPr>
          <w:p w14:paraId="10B7C43A">
            <w:pPr>
              <w:jc w:val="center"/>
              <w:rPr>
                <w:rFonts w:ascii="楷体" w:hAnsi="楷体" w:eastAsia="楷体" w:cs="楷体"/>
                <w:sz w:val="28"/>
                <w:szCs w:val="28"/>
              </w:rPr>
            </w:pPr>
            <w:r>
              <w:rPr>
                <w:rFonts w:hint="eastAsia" w:ascii="楷体" w:hAnsi="楷体" w:eastAsia="楷体" w:cs="楷体"/>
                <w:sz w:val="28"/>
                <w:szCs w:val="28"/>
              </w:rPr>
              <w:t>90.55</w:t>
            </w:r>
          </w:p>
        </w:tc>
        <w:tc>
          <w:tcPr>
            <w:tcW w:w="1425" w:type="dxa"/>
            <w:gridSpan w:val="2"/>
            <w:vAlign w:val="center"/>
          </w:tcPr>
          <w:p w14:paraId="5B09A0BF">
            <w:pPr>
              <w:jc w:val="center"/>
              <w:rPr>
                <w:rFonts w:ascii="楷体" w:hAnsi="楷体" w:eastAsia="楷体" w:cs="楷体"/>
                <w:sz w:val="28"/>
                <w:szCs w:val="28"/>
              </w:rPr>
            </w:pPr>
            <w:r>
              <w:rPr>
                <w:rFonts w:hint="eastAsia" w:ascii="楷体" w:hAnsi="楷体" w:eastAsia="楷体" w:cs="楷体"/>
                <w:sz w:val="28"/>
                <w:szCs w:val="28"/>
              </w:rPr>
              <w:t>84.01</w:t>
            </w:r>
          </w:p>
        </w:tc>
        <w:tc>
          <w:tcPr>
            <w:tcW w:w="2065" w:type="dxa"/>
            <w:vAlign w:val="center"/>
          </w:tcPr>
          <w:p w14:paraId="40E20BE3">
            <w:pPr>
              <w:jc w:val="center"/>
              <w:rPr>
                <w:rFonts w:ascii="楷体" w:hAnsi="楷体" w:eastAsia="楷体" w:cs="楷体"/>
                <w:sz w:val="28"/>
                <w:szCs w:val="28"/>
              </w:rPr>
            </w:pPr>
            <w:r>
              <w:rPr>
                <w:rFonts w:hint="eastAsia" w:ascii="楷体" w:hAnsi="楷体" w:eastAsia="楷体" w:cs="楷体"/>
                <w:sz w:val="28"/>
                <w:szCs w:val="28"/>
              </w:rPr>
              <w:t>6.54</w:t>
            </w:r>
          </w:p>
        </w:tc>
      </w:tr>
      <w:tr w14:paraId="68BFF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0" w:hRule="atLeast"/>
        </w:trPr>
        <w:tc>
          <w:tcPr>
            <w:tcW w:w="567" w:type="dxa"/>
            <w:tcBorders>
              <w:top w:val="single" w:color="auto" w:sz="4" w:space="0"/>
              <w:left w:val="single" w:color="auto" w:sz="4" w:space="0"/>
              <w:bottom w:val="single" w:color="auto" w:sz="4" w:space="0"/>
              <w:right w:val="single" w:color="auto" w:sz="4" w:space="0"/>
            </w:tcBorders>
            <w:vAlign w:val="center"/>
          </w:tcPr>
          <w:p w14:paraId="5C82AEAC">
            <w:pPr>
              <w:spacing w:line="320" w:lineRule="exact"/>
              <w:jc w:val="center"/>
              <w:rPr>
                <w:rFonts w:ascii="楷体" w:hAnsi="楷体" w:eastAsia="楷体" w:cs="楷体"/>
                <w:sz w:val="28"/>
                <w:szCs w:val="28"/>
              </w:rPr>
            </w:pPr>
            <w:r>
              <w:rPr>
                <w:rFonts w:hint="eastAsia" w:ascii="楷体" w:hAnsi="楷体" w:eastAsia="楷体" w:cs="楷体"/>
                <w:sz w:val="28"/>
                <w:szCs w:val="28"/>
              </w:rPr>
              <w:t>产出成果</w:t>
            </w:r>
          </w:p>
        </w:tc>
        <w:tc>
          <w:tcPr>
            <w:tcW w:w="9214" w:type="dxa"/>
            <w:gridSpan w:val="7"/>
            <w:tcBorders>
              <w:top w:val="single" w:color="auto" w:sz="4" w:space="0"/>
              <w:left w:val="single" w:color="auto" w:sz="4" w:space="0"/>
              <w:bottom w:val="single" w:color="auto" w:sz="4" w:space="0"/>
              <w:right w:val="single" w:color="auto" w:sz="4" w:space="0"/>
            </w:tcBorders>
            <w:vAlign w:val="top"/>
          </w:tcPr>
          <w:p w14:paraId="4074E99D">
            <w:pPr>
              <w:ind w:firstLine="560" w:firstLineChars="200"/>
              <w:jc w:val="left"/>
              <w:rPr>
                <w:rFonts w:ascii="楷体" w:hAnsi="楷体" w:eastAsia="楷体" w:cs="楷体"/>
                <w:sz w:val="28"/>
                <w:szCs w:val="28"/>
              </w:rPr>
            </w:pPr>
            <w:r>
              <w:rPr>
                <w:rFonts w:hint="eastAsia" w:ascii="楷体" w:hAnsi="楷体" w:eastAsia="楷体" w:cs="楷体"/>
                <w:sz w:val="28"/>
                <w:szCs w:val="28"/>
              </w:rPr>
              <w:t>1、认真开展新冠疫情防控工作</w:t>
            </w:r>
          </w:p>
          <w:p w14:paraId="59422F57">
            <w:pPr>
              <w:jc w:val="left"/>
              <w:rPr>
                <w:rFonts w:ascii="楷体" w:hAnsi="楷体" w:eastAsia="楷体" w:cs="楷体"/>
                <w:sz w:val="28"/>
                <w:szCs w:val="28"/>
              </w:rPr>
            </w:pPr>
            <w:r>
              <w:rPr>
                <w:rFonts w:hint="eastAsia" w:ascii="楷体" w:hAnsi="楷体" w:eastAsia="楷体" w:cs="楷体"/>
                <w:sz w:val="28"/>
                <w:szCs w:val="28"/>
              </w:rPr>
              <w:t>全市共开展疫情防控督导检查9820次，督导检查各类单位13153家次，出动监督执法人员33229人次，依法依规查处各类卫生行政处罚案件99件，罚款39.9498万元。市本级开展新冠肺炎疫情防控督导检查160次，检查单位415家，出动执法人员1090人次。</w:t>
            </w:r>
          </w:p>
          <w:p w14:paraId="27A8A198">
            <w:pPr>
              <w:ind w:firstLine="560" w:firstLineChars="200"/>
              <w:jc w:val="left"/>
              <w:rPr>
                <w:rFonts w:ascii="楷体" w:hAnsi="楷体" w:eastAsia="楷体" w:cs="楷体"/>
                <w:sz w:val="28"/>
                <w:szCs w:val="28"/>
              </w:rPr>
            </w:pPr>
            <w:r>
              <w:rPr>
                <w:rFonts w:hint="eastAsia" w:ascii="楷体" w:hAnsi="楷体" w:eastAsia="楷体" w:cs="楷体"/>
                <w:sz w:val="28"/>
                <w:szCs w:val="28"/>
              </w:rPr>
              <w:t>2、积极开展打击非法行医专项行动和医疗美容专项整治</w:t>
            </w:r>
          </w:p>
          <w:p w14:paraId="2995B5FC">
            <w:pPr>
              <w:ind w:firstLine="560" w:firstLineChars="200"/>
              <w:jc w:val="left"/>
              <w:rPr>
                <w:rFonts w:ascii="楷体" w:hAnsi="楷体" w:eastAsia="楷体" w:cs="楷体"/>
                <w:sz w:val="28"/>
                <w:szCs w:val="28"/>
              </w:rPr>
            </w:pPr>
            <w:r>
              <w:rPr>
                <w:rFonts w:hint="eastAsia" w:ascii="楷体" w:hAnsi="楷体" w:eastAsia="楷体" w:cs="楷体"/>
                <w:sz w:val="28"/>
                <w:szCs w:val="28"/>
              </w:rPr>
              <w:t>（1）开展了全市开打击无证非法行医专项工作的督查和暗访。通过对各县（市）区主要街道及小巷、乡镇的暗访和督查，共检查了个体医疗机构和乡镇卫生室376家，民营医院24家，其中未取得《医疗机构执业许可证》的有41家，异地执业5人次，超范围9家，非医师执业35人次，在抽查的民营医院中，其违规执业和超范围现象比较严重。对存在的问题，逐一制定整治措施，整改到位。并建立健全打击非法行医长效机制，防止反弹，同时加强与公安、司法部门的衔接配合，对涉嫌犯罪的案件一律移送公安法部门追究刑事责任，并限期将整改落实情况及时上报。</w:t>
            </w:r>
          </w:p>
          <w:p w14:paraId="6E723F5E">
            <w:pPr>
              <w:jc w:val="left"/>
              <w:rPr>
                <w:rFonts w:ascii="楷体" w:hAnsi="楷体" w:eastAsia="楷体" w:cs="楷体"/>
                <w:sz w:val="28"/>
                <w:szCs w:val="28"/>
              </w:rPr>
            </w:pPr>
            <w:r>
              <w:rPr>
                <w:rFonts w:hint="eastAsia" w:ascii="楷体" w:hAnsi="楷体" w:eastAsia="楷体" w:cs="楷体"/>
                <w:sz w:val="28"/>
                <w:szCs w:val="28"/>
              </w:rPr>
              <w:t>全市共出动执法人员11972人次，出动车辆2389台次，监督各类医疗机构5036家，血、浆站3家，查处无证诊所34家，取缔34家，其他医疗机构违法违规行为45起，罚款149.63万元，没收医疗器械及药品91件。市本级对市卫健委发证的80家医疗卫生单位进行了综合执法检查，立案查处3家，罚款4.46万元，下达了监督意见书50份。</w:t>
            </w:r>
          </w:p>
          <w:p w14:paraId="629F29FB">
            <w:pPr>
              <w:ind w:firstLine="560" w:firstLineChars="200"/>
              <w:jc w:val="left"/>
              <w:rPr>
                <w:rFonts w:ascii="楷体" w:hAnsi="楷体" w:eastAsia="楷体" w:cs="楷体"/>
                <w:sz w:val="28"/>
                <w:szCs w:val="28"/>
              </w:rPr>
            </w:pPr>
            <w:r>
              <w:rPr>
                <w:rFonts w:hint="eastAsia" w:ascii="楷体" w:hAnsi="楷体" w:eastAsia="楷体" w:cs="楷体"/>
                <w:sz w:val="28"/>
                <w:szCs w:val="28"/>
              </w:rPr>
              <w:t>（2）开展市区非法医疗美容专项整治工作</w:t>
            </w:r>
          </w:p>
          <w:p w14:paraId="26D194FF">
            <w:pPr>
              <w:jc w:val="left"/>
              <w:rPr>
                <w:rFonts w:ascii="楷体" w:hAnsi="楷体" w:eastAsia="楷体" w:cs="楷体"/>
                <w:sz w:val="28"/>
                <w:szCs w:val="28"/>
              </w:rPr>
            </w:pPr>
            <w:r>
              <w:rPr>
                <w:rFonts w:hint="eastAsia" w:ascii="楷体" w:hAnsi="楷体" w:eastAsia="楷体" w:cs="楷体"/>
                <w:sz w:val="28"/>
                <w:szCs w:val="28"/>
              </w:rPr>
              <w:t>全市共出动卫生监督员1100余人次，对全市办理了医疗机构执业许可证的医疗美容诊所及生活美容场所进行了全面的监督检查，下达监督意见书500余份，警告21家，对5家违规开展医疗美容诊疗活动的单位进行处罚，罚款2.3万元，没收药品器械2件，受理投诉举报6件，其中：行政处罚2件；反馈6件；反馈满意度100%。</w:t>
            </w:r>
          </w:p>
          <w:p w14:paraId="14F6E552">
            <w:pPr>
              <w:ind w:firstLine="560" w:firstLineChars="200"/>
              <w:jc w:val="left"/>
              <w:rPr>
                <w:rFonts w:ascii="楷体" w:hAnsi="楷体" w:eastAsia="楷体" w:cs="楷体"/>
                <w:sz w:val="28"/>
                <w:szCs w:val="28"/>
              </w:rPr>
            </w:pPr>
            <w:r>
              <w:rPr>
                <w:rFonts w:hint="eastAsia" w:ascii="楷体" w:hAnsi="楷体" w:eastAsia="楷体" w:cs="楷体"/>
                <w:sz w:val="28"/>
                <w:szCs w:val="28"/>
              </w:rPr>
              <w:t>3、认真开展传染病防治监督工作</w:t>
            </w:r>
          </w:p>
          <w:p w14:paraId="5C0E1A59">
            <w:pPr>
              <w:ind w:firstLine="560" w:firstLineChars="200"/>
              <w:jc w:val="left"/>
              <w:rPr>
                <w:rFonts w:ascii="楷体" w:hAnsi="楷体" w:eastAsia="楷体" w:cs="楷体"/>
                <w:sz w:val="28"/>
                <w:szCs w:val="28"/>
              </w:rPr>
            </w:pPr>
            <w:r>
              <w:rPr>
                <w:rFonts w:hint="eastAsia" w:ascii="楷体" w:hAnsi="楷体" w:eastAsia="楷体" w:cs="楷体"/>
                <w:sz w:val="28"/>
                <w:szCs w:val="28"/>
              </w:rPr>
              <w:t>（1）开展预防接种管理卫生监督。检查各类医疗卫生机构共计115家，其中99家医院、13家疾病预防控制机构和3家采供血机构。发现问题单位4家，共罚款4000元。</w:t>
            </w:r>
          </w:p>
          <w:p w14:paraId="63CC1243">
            <w:pPr>
              <w:ind w:firstLine="560" w:firstLineChars="200"/>
              <w:jc w:val="left"/>
              <w:rPr>
                <w:rFonts w:ascii="楷体" w:hAnsi="楷体" w:eastAsia="楷体" w:cs="楷体"/>
                <w:sz w:val="28"/>
                <w:szCs w:val="28"/>
              </w:rPr>
            </w:pPr>
            <w:r>
              <w:rPr>
                <w:rFonts w:hint="eastAsia" w:ascii="楷体" w:hAnsi="楷体" w:eastAsia="楷体" w:cs="楷体"/>
                <w:sz w:val="28"/>
                <w:szCs w:val="28"/>
              </w:rPr>
              <w:t>（2）开展传染病疫情报告卫生监督。全年共监督抽查医疗卫生机构115家，发现问题单位共计12家,其中有4家医疗机构未开展传染病疫情报告，进行了警告和限期整改。</w:t>
            </w:r>
          </w:p>
          <w:p w14:paraId="1E0A56CC">
            <w:pPr>
              <w:ind w:firstLine="560" w:firstLineChars="200"/>
              <w:jc w:val="left"/>
              <w:rPr>
                <w:rFonts w:ascii="楷体" w:hAnsi="楷体" w:eastAsia="楷体" w:cs="楷体"/>
                <w:sz w:val="28"/>
                <w:szCs w:val="28"/>
              </w:rPr>
            </w:pPr>
            <w:r>
              <w:rPr>
                <w:rFonts w:hint="eastAsia" w:ascii="楷体" w:hAnsi="楷体" w:eastAsia="楷体" w:cs="楷体"/>
                <w:sz w:val="28"/>
                <w:szCs w:val="28"/>
              </w:rPr>
              <w:t>（3）开展消毒隔离措施卫生监督。全年共监督抽查医疗机构115家，采集样品680余份。发现问题的单位共计65家,下达了整改意见书65份，罚款5家，共计3.4万元。</w:t>
            </w:r>
          </w:p>
          <w:p w14:paraId="46D8B017">
            <w:pPr>
              <w:ind w:firstLine="560" w:firstLineChars="200"/>
              <w:jc w:val="left"/>
              <w:rPr>
                <w:rFonts w:ascii="楷体" w:hAnsi="楷体" w:eastAsia="楷体" w:cs="楷体"/>
                <w:sz w:val="28"/>
                <w:szCs w:val="28"/>
              </w:rPr>
            </w:pPr>
            <w:r>
              <w:rPr>
                <w:rFonts w:hint="eastAsia" w:ascii="楷体" w:hAnsi="楷体" w:eastAsia="楷体" w:cs="楷体"/>
                <w:sz w:val="28"/>
                <w:szCs w:val="28"/>
              </w:rPr>
              <w:t>（4）开展医疗废物废水卫生监督。对市直115家医疗卫生机构开展了监督监测检查，共抽取污水样品45个，合格数43个，不合格数2个，对16家单位进行了限期整改，3家共计罚款3万元整。</w:t>
            </w:r>
          </w:p>
          <w:p w14:paraId="3E59C463">
            <w:pPr>
              <w:ind w:firstLine="560" w:firstLineChars="200"/>
              <w:jc w:val="left"/>
              <w:rPr>
                <w:rFonts w:ascii="楷体" w:hAnsi="楷体" w:eastAsia="楷体" w:cs="楷体"/>
                <w:sz w:val="28"/>
                <w:szCs w:val="28"/>
              </w:rPr>
            </w:pPr>
            <w:r>
              <w:rPr>
                <w:rFonts w:hint="eastAsia" w:ascii="楷体" w:hAnsi="楷体" w:eastAsia="楷体" w:cs="楷体"/>
                <w:sz w:val="28"/>
                <w:szCs w:val="28"/>
              </w:rPr>
              <w:t>（5）开展病原微生物实验室生物安全管理卫生监督。共监督抽查医疗机构32家，发现个别病原微生物实验室存在布局流程不合理、功能分区不明显、无自动闭门装置、无洗眼装置等个人职业防护设施；安全管理制度未落实到位；生物安全柜滤膜清洗消毒不到位；实验室污水未进行消毒处理直接排放。针对检查中发现的问题，卫生监督员进行了现场指导，并下达卫生监督意见书，限期整改到位。</w:t>
            </w:r>
          </w:p>
          <w:p w14:paraId="3FF250C3">
            <w:pPr>
              <w:ind w:firstLine="560" w:firstLineChars="200"/>
              <w:jc w:val="left"/>
              <w:rPr>
                <w:rFonts w:ascii="楷体" w:hAnsi="楷体" w:eastAsia="楷体" w:cs="楷体"/>
                <w:sz w:val="28"/>
                <w:szCs w:val="28"/>
              </w:rPr>
            </w:pPr>
            <w:r>
              <w:rPr>
                <w:rFonts w:hint="eastAsia" w:ascii="楷体" w:hAnsi="楷体" w:eastAsia="楷体" w:cs="楷体"/>
                <w:sz w:val="28"/>
                <w:szCs w:val="28"/>
              </w:rPr>
              <w:t>（6）开展了全市集中式供水和二次供水单位的监督监测。对全市的3家集中式供水单位和9家二次供水单位开展了监督和抽检。采集样品15个，合格15个，合格率100%。。</w:t>
            </w:r>
          </w:p>
          <w:p w14:paraId="5A22C5F2">
            <w:pPr>
              <w:ind w:firstLine="560" w:firstLineChars="200"/>
              <w:jc w:val="left"/>
              <w:rPr>
                <w:rFonts w:ascii="楷体" w:hAnsi="楷体" w:eastAsia="楷体" w:cs="楷体"/>
                <w:sz w:val="28"/>
                <w:szCs w:val="28"/>
              </w:rPr>
            </w:pPr>
            <w:r>
              <w:rPr>
                <w:rFonts w:hint="eastAsia" w:ascii="楷体" w:hAnsi="楷体" w:eastAsia="楷体" w:cs="楷体"/>
                <w:sz w:val="28"/>
                <w:szCs w:val="28"/>
              </w:rPr>
              <w:t>4、加大职业卫生监督力度。</w:t>
            </w:r>
          </w:p>
          <w:p w14:paraId="35915162">
            <w:pPr>
              <w:ind w:firstLine="560" w:firstLineChars="200"/>
              <w:jc w:val="left"/>
              <w:rPr>
                <w:rFonts w:ascii="楷体" w:hAnsi="楷体" w:eastAsia="楷体" w:cs="楷体"/>
                <w:sz w:val="28"/>
                <w:szCs w:val="28"/>
              </w:rPr>
            </w:pPr>
            <w:r>
              <w:rPr>
                <w:rFonts w:hint="eastAsia" w:ascii="楷体" w:hAnsi="楷体" w:eastAsia="楷体" w:cs="楷体"/>
                <w:sz w:val="28"/>
                <w:szCs w:val="28"/>
              </w:rPr>
              <w:t>（1）加强执法监督业务培训，增强全市职业卫生执法监督工作能力。2020年8月和12月先后两次组织全市县市区卫生计生综合监督执法局执法骨干共38名开展了业务能力提升和执法设备使用操作培训，并且组织参训人员到湖南品健职业卫生技术服务机构进行实地考察和实践，提高了全市职业卫生监督员的理论水平和现场监管工作开展能力。2020年10月21日至22日，在市宝庆山庄举办了市本级183家用人单位主要负责人和职业卫生管理人员参加的职业病防治法律法规和防治知识培训班。</w:t>
            </w:r>
          </w:p>
          <w:p w14:paraId="6D904918">
            <w:pPr>
              <w:ind w:firstLine="560" w:firstLineChars="200"/>
              <w:jc w:val="left"/>
              <w:rPr>
                <w:rFonts w:ascii="楷体" w:hAnsi="楷体" w:eastAsia="楷体" w:cs="楷体"/>
                <w:sz w:val="28"/>
                <w:szCs w:val="28"/>
              </w:rPr>
            </w:pPr>
            <w:r>
              <w:rPr>
                <w:rFonts w:hint="eastAsia" w:ascii="楷体" w:hAnsi="楷体" w:eastAsia="楷体" w:cs="楷体"/>
                <w:sz w:val="28"/>
                <w:szCs w:val="28"/>
              </w:rPr>
              <w:t>（2）全面摸排，积极建档，为职业卫生执法监督工作奠定了基础。对全市用人单位进行了全面的摸排，依托职业病危害项目申报平台，积极组织全市卫生监督机构职业卫生监督员建立监管单位档案。全市13个职业卫生监督机构（含市本级执法机构）均装备了职业卫生监督执法设备。</w:t>
            </w:r>
          </w:p>
          <w:p w14:paraId="7770288B">
            <w:pPr>
              <w:ind w:firstLine="560" w:firstLineChars="200"/>
              <w:jc w:val="left"/>
              <w:rPr>
                <w:rFonts w:ascii="楷体" w:hAnsi="楷体" w:eastAsia="楷体" w:cs="楷体"/>
                <w:sz w:val="28"/>
                <w:szCs w:val="28"/>
              </w:rPr>
            </w:pPr>
            <w:r>
              <w:rPr>
                <w:rFonts w:hint="eastAsia" w:ascii="楷体" w:hAnsi="楷体" w:eastAsia="楷体" w:cs="楷体"/>
                <w:sz w:val="28"/>
                <w:szCs w:val="28"/>
              </w:rPr>
              <w:t>（3）深入开展了尘毒危害专项执法整治行动。督促581家尘毒危害用人单位完成了职业病危害项目申报，其中煤矿、非煤矿山、冶金、建材332家，实际纳入专项治理整治的企业184家，99家单位开展了日常检测，83家单位开展了作业工人的职业健康检查。全市共计完成了辖区433家用人单位的监督检查，下达监督执法文书435份，立案查处26家用人单位，罚款合计21.5万元。</w:t>
            </w:r>
          </w:p>
          <w:p w14:paraId="22E20E9A">
            <w:pPr>
              <w:jc w:val="left"/>
              <w:rPr>
                <w:rFonts w:ascii="楷体" w:hAnsi="楷体" w:eastAsia="楷体" w:cs="楷体"/>
                <w:sz w:val="28"/>
                <w:szCs w:val="28"/>
              </w:rPr>
            </w:pPr>
            <w:r>
              <w:rPr>
                <w:rFonts w:hint="eastAsia" w:ascii="楷体" w:hAnsi="楷体" w:eastAsia="楷体" w:cs="楷体"/>
                <w:sz w:val="28"/>
                <w:szCs w:val="28"/>
              </w:rPr>
              <w:t>对我市3个煤矿、非煤矿山、冶金、建材新增的职业病危害建设项目，已完成核查2个。</w:t>
            </w:r>
          </w:p>
          <w:p w14:paraId="5CF648AE">
            <w:pPr>
              <w:ind w:firstLine="560" w:firstLineChars="200"/>
              <w:jc w:val="left"/>
              <w:rPr>
                <w:rFonts w:ascii="楷体" w:hAnsi="楷体" w:eastAsia="楷体" w:cs="楷体"/>
                <w:sz w:val="28"/>
                <w:szCs w:val="28"/>
              </w:rPr>
            </w:pPr>
            <w:r>
              <w:rPr>
                <w:rFonts w:hint="eastAsia" w:ascii="楷体" w:hAnsi="楷体" w:eastAsia="楷体" w:cs="楷体"/>
                <w:sz w:val="28"/>
                <w:szCs w:val="28"/>
              </w:rPr>
              <w:t>5、切实做好学校卫生监督和食品风险跟踪调查。</w:t>
            </w:r>
          </w:p>
          <w:p w14:paraId="7CD333B4">
            <w:pPr>
              <w:ind w:firstLine="560" w:firstLineChars="200"/>
              <w:jc w:val="left"/>
              <w:rPr>
                <w:rFonts w:ascii="楷体" w:hAnsi="楷体" w:eastAsia="楷体" w:cs="楷体"/>
                <w:sz w:val="28"/>
                <w:szCs w:val="28"/>
              </w:rPr>
            </w:pPr>
            <w:r>
              <w:rPr>
                <w:rFonts w:hint="eastAsia" w:ascii="楷体" w:hAnsi="楷体" w:eastAsia="楷体" w:cs="楷体"/>
                <w:sz w:val="28"/>
                <w:szCs w:val="28"/>
              </w:rPr>
              <w:t>（1）切实加强学校传染病防治和生活饮用水卫生监督。全市共检查学校1084所，检查重点为疫情报告、晨检记录、因病缺勤、病因追查与登记记录、新生入学接种证查验登记记录、学生健康体检情况等。开展学校直饮水检查568所，抽检直饮水样品568份，合格560份，不合格5份，责令限期改正学校21所，行政处罚学校5所。</w:t>
            </w:r>
          </w:p>
          <w:p w14:paraId="46543489">
            <w:pPr>
              <w:ind w:firstLine="560" w:firstLineChars="200"/>
              <w:jc w:val="left"/>
              <w:rPr>
                <w:rFonts w:ascii="楷体" w:hAnsi="楷体" w:eastAsia="楷体" w:cs="楷体"/>
                <w:sz w:val="28"/>
                <w:szCs w:val="28"/>
              </w:rPr>
            </w:pPr>
            <w:r>
              <w:rPr>
                <w:rFonts w:hint="eastAsia" w:ascii="楷体" w:hAnsi="楷体" w:eastAsia="楷体" w:cs="楷体"/>
                <w:sz w:val="28"/>
                <w:szCs w:val="28"/>
              </w:rPr>
              <w:t>（2）开展了校园及周边环境专项整治工作。共出动卫生监督员86人次，出动车辆36车次，检查学校29所、诊所22家，取缔无证行医3家，没收药品5件，确保学校校园周边200米内无非法行医或以人流、性病治疗业务为主的诊所。</w:t>
            </w:r>
          </w:p>
          <w:p w14:paraId="7B9939D9">
            <w:pPr>
              <w:ind w:firstLine="560" w:firstLineChars="200"/>
              <w:jc w:val="left"/>
              <w:rPr>
                <w:rFonts w:ascii="楷体" w:hAnsi="楷体" w:eastAsia="楷体" w:cs="楷体"/>
                <w:sz w:val="28"/>
                <w:szCs w:val="28"/>
              </w:rPr>
            </w:pPr>
            <w:r>
              <w:rPr>
                <w:rFonts w:hint="eastAsia" w:ascii="楷体" w:hAnsi="楷体" w:eastAsia="楷体" w:cs="楷体"/>
                <w:sz w:val="28"/>
                <w:szCs w:val="28"/>
              </w:rPr>
              <w:t>（3）食品风险跟踪调查采样。共采集样品25批次，合格率100%。</w:t>
            </w:r>
          </w:p>
          <w:p w14:paraId="3EB56DD0">
            <w:pPr>
              <w:ind w:firstLine="560" w:firstLineChars="200"/>
              <w:jc w:val="left"/>
              <w:rPr>
                <w:rFonts w:ascii="楷体" w:hAnsi="楷体" w:eastAsia="楷体" w:cs="楷体"/>
                <w:sz w:val="28"/>
                <w:szCs w:val="28"/>
              </w:rPr>
            </w:pPr>
            <w:r>
              <w:rPr>
                <w:rFonts w:hint="eastAsia" w:ascii="楷体" w:hAnsi="楷体" w:eastAsia="楷体" w:cs="楷体"/>
                <w:sz w:val="28"/>
                <w:szCs w:val="28"/>
              </w:rPr>
              <w:t xml:space="preserve">6、组织开展公共场所卫生监督工作。 </w:t>
            </w:r>
          </w:p>
          <w:p w14:paraId="370AE9F1">
            <w:pPr>
              <w:ind w:firstLine="560" w:firstLineChars="200"/>
              <w:jc w:val="left"/>
              <w:rPr>
                <w:rFonts w:ascii="楷体" w:hAnsi="楷体" w:eastAsia="楷体" w:cs="楷体"/>
                <w:sz w:val="28"/>
                <w:szCs w:val="28"/>
              </w:rPr>
            </w:pPr>
            <w:r>
              <w:rPr>
                <w:rFonts w:hint="eastAsia" w:ascii="楷体" w:hAnsi="楷体" w:eastAsia="楷体" w:cs="楷体"/>
                <w:sz w:val="28"/>
                <w:szCs w:val="28"/>
              </w:rPr>
              <w:t>（1）认真完成国家</w:t>
            </w:r>
            <w:r>
              <w:rPr>
                <w:rFonts w:hint="eastAsia" w:ascii="楷体" w:hAnsi="楷体" w:eastAsia="楷体" w:cs="楷体"/>
                <w:sz w:val="28"/>
                <w:szCs w:val="28"/>
                <w:lang w:eastAsia="zh-CN"/>
              </w:rPr>
              <w:t>“双随机、一公开”</w:t>
            </w:r>
            <w:r>
              <w:rPr>
                <w:rFonts w:hint="eastAsia" w:ascii="楷体" w:hAnsi="楷体" w:eastAsia="楷体" w:cs="楷体"/>
                <w:sz w:val="28"/>
                <w:szCs w:val="28"/>
              </w:rPr>
              <w:t>工作。市本级完成公共场所任务清单17家，完成率100%。全市各类公共场所管理单位4765家，卫生监督覆盖率为100%，已实施量化分级管理单位数4343家，量化分级管理覆盖率91.25%。对存在问题的公共场所经营单位，下达监督意见书为4778份，责令限期改正单位数1883家，立案件数206件，罚款金额人民币57.94万元。</w:t>
            </w:r>
          </w:p>
          <w:p w14:paraId="6CDCD2C9">
            <w:pPr>
              <w:ind w:firstLine="560" w:firstLineChars="200"/>
              <w:jc w:val="left"/>
              <w:rPr>
                <w:rFonts w:ascii="楷体" w:hAnsi="楷体" w:eastAsia="楷体" w:cs="楷体"/>
                <w:sz w:val="28"/>
                <w:szCs w:val="28"/>
              </w:rPr>
            </w:pPr>
            <w:r>
              <w:rPr>
                <w:rFonts w:hint="eastAsia" w:ascii="楷体" w:hAnsi="楷体" w:eastAsia="楷体" w:cs="楷体"/>
                <w:sz w:val="28"/>
                <w:szCs w:val="28"/>
              </w:rPr>
              <w:t>（2）认真落实公共场所卫生许可告知承诺制工作。认真落实公共场所卫生许可告知承诺制工作，并注重加强事中事后监管，做好许可承诺和日常监管的有效衔接。提高了全市公共场所卫生管理整体水平，杜绝危害公共健康事故的发生。</w:t>
            </w:r>
          </w:p>
          <w:p w14:paraId="2CEE6951">
            <w:pPr>
              <w:ind w:firstLine="560" w:firstLineChars="200"/>
              <w:jc w:val="left"/>
              <w:rPr>
                <w:rFonts w:ascii="楷体" w:hAnsi="楷体" w:eastAsia="楷体" w:cs="楷体"/>
                <w:sz w:val="28"/>
                <w:szCs w:val="28"/>
              </w:rPr>
            </w:pPr>
            <w:r>
              <w:rPr>
                <w:rFonts w:hint="eastAsia" w:ascii="楷体" w:hAnsi="楷体" w:eastAsia="楷体" w:cs="楷体"/>
                <w:sz w:val="28"/>
                <w:szCs w:val="28"/>
              </w:rPr>
              <w:t>7、认真做好餐饮具集中消毒监管和投诉举报稽查工作。</w:t>
            </w:r>
          </w:p>
          <w:p w14:paraId="1A36E90A">
            <w:pPr>
              <w:ind w:firstLine="560" w:firstLineChars="200"/>
              <w:jc w:val="left"/>
              <w:rPr>
                <w:rFonts w:ascii="楷体" w:hAnsi="楷体" w:eastAsia="楷体" w:cs="楷体"/>
                <w:sz w:val="28"/>
                <w:szCs w:val="28"/>
              </w:rPr>
            </w:pPr>
            <w:r>
              <w:rPr>
                <w:rFonts w:hint="eastAsia" w:ascii="楷体" w:hAnsi="楷体" w:eastAsia="楷体" w:cs="楷体"/>
                <w:sz w:val="28"/>
                <w:szCs w:val="28"/>
              </w:rPr>
              <w:t>（1）对全市餐饮具集中消毒单位开展了专项监督检查。共监督检查单位11家，监督覆盖率100%，下发整改意见书12家次。并进行了抽样监测，共采集样品55个，合格率100%。</w:t>
            </w:r>
          </w:p>
          <w:p w14:paraId="2864E995">
            <w:pPr>
              <w:ind w:firstLine="560" w:firstLineChars="200"/>
              <w:jc w:val="left"/>
              <w:rPr>
                <w:rFonts w:ascii="楷体" w:hAnsi="楷体" w:eastAsia="楷体" w:cs="楷体"/>
                <w:sz w:val="28"/>
                <w:szCs w:val="28"/>
              </w:rPr>
            </w:pPr>
            <w:r>
              <w:rPr>
                <w:rFonts w:hint="eastAsia" w:ascii="楷体" w:hAnsi="楷体" w:eastAsia="楷体" w:cs="楷体"/>
                <w:sz w:val="28"/>
                <w:szCs w:val="28"/>
              </w:rPr>
              <w:t>（2）市本级共受理投诉举报案件12件，其中上级交办6件，依法进行了调查和反馈，对其中5件符合立案条件的依法立案查处，立案率100%，反馈率100%。</w:t>
            </w:r>
          </w:p>
          <w:p w14:paraId="6FBDD49F">
            <w:pPr>
              <w:ind w:firstLine="560" w:firstLineChars="200"/>
              <w:jc w:val="left"/>
              <w:rPr>
                <w:rFonts w:ascii="楷体" w:hAnsi="楷体" w:eastAsia="楷体" w:cs="楷体"/>
                <w:sz w:val="28"/>
                <w:szCs w:val="28"/>
              </w:rPr>
            </w:pPr>
            <w:r>
              <w:rPr>
                <w:rFonts w:hint="eastAsia" w:ascii="楷体" w:hAnsi="楷体" w:eastAsia="楷体" w:cs="楷体"/>
                <w:sz w:val="28"/>
                <w:szCs w:val="28"/>
              </w:rPr>
              <w:t>（3）开展了全市卫生计生综合监督执法案例评查工作。共收集案卷65份，涵盖公共卫生各专业领域案例，评选出优秀案例15份，占23%；良好案例9份，占14%；0分案例16份，占25%。评查结果在全市卫生计生综合监督执法系统内进行通报。</w:t>
            </w:r>
          </w:p>
          <w:p w14:paraId="5D206278">
            <w:pPr>
              <w:ind w:firstLine="560" w:firstLineChars="200"/>
              <w:jc w:val="left"/>
              <w:rPr>
                <w:rFonts w:ascii="楷体" w:hAnsi="楷体" w:eastAsia="楷体" w:cs="楷体"/>
                <w:sz w:val="28"/>
                <w:szCs w:val="28"/>
              </w:rPr>
            </w:pPr>
            <w:r>
              <w:rPr>
                <w:rFonts w:hint="eastAsia" w:ascii="楷体" w:hAnsi="楷体" w:eastAsia="楷体" w:cs="楷体"/>
                <w:sz w:val="28"/>
                <w:szCs w:val="28"/>
              </w:rPr>
              <w:t>8、加强卫生计生监督宣传工作。</w:t>
            </w:r>
          </w:p>
          <w:p w14:paraId="03A673BA">
            <w:pPr>
              <w:ind w:firstLine="560" w:firstLineChars="200"/>
              <w:jc w:val="left"/>
              <w:rPr>
                <w:rFonts w:ascii="楷体" w:hAnsi="楷体" w:eastAsia="楷体" w:cs="楷体"/>
                <w:sz w:val="28"/>
                <w:szCs w:val="28"/>
              </w:rPr>
            </w:pPr>
            <w:r>
              <w:rPr>
                <w:rFonts w:hint="eastAsia" w:ascii="楷体" w:hAnsi="楷体" w:eastAsia="楷体" w:cs="楷体"/>
                <w:sz w:val="28"/>
                <w:szCs w:val="28"/>
              </w:rPr>
              <w:t>认真落实上级宣传和网络意识形态工作，积极组织开展创全国文明城市、生活饮用水卫生等宣传活动，利用街头咨询，发放宣传资料，制作展板、悬挂横幅等宣传形式，共出刊专栏板报16期，流动展板10期，内容有新冠疫情防控、扫黑除恶、创国文、创国卫、创文明单位、放射卫生、饮用水卫生、养生保健、计划生育等。共张贴标语30条，悬挂宣传横幅20幅，发放各种宣传资料55000份。</w:t>
            </w:r>
          </w:p>
          <w:p w14:paraId="1BA4FA3B">
            <w:pPr>
              <w:ind w:firstLine="560" w:firstLineChars="200"/>
              <w:jc w:val="left"/>
              <w:rPr>
                <w:rFonts w:ascii="楷体" w:hAnsi="楷体" w:eastAsia="楷体" w:cs="楷体"/>
                <w:sz w:val="28"/>
                <w:szCs w:val="28"/>
              </w:rPr>
            </w:pPr>
            <w:r>
              <w:rPr>
                <w:rFonts w:hint="eastAsia" w:ascii="楷体" w:hAnsi="楷体" w:eastAsia="楷体" w:cs="楷体"/>
                <w:sz w:val="28"/>
                <w:szCs w:val="28"/>
              </w:rPr>
              <w:t>9、开展扫黑除恶专项工作</w:t>
            </w:r>
          </w:p>
          <w:p w14:paraId="675BF3F9">
            <w:pPr>
              <w:ind w:firstLine="560" w:firstLineChars="200"/>
              <w:jc w:val="left"/>
              <w:rPr>
                <w:rFonts w:ascii="楷体" w:hAnsi="楷体" w:eastAsia="楷体" w:cs="楷体"/>
                <w:sz w:val="28"/>
                <w:szCs w:val="28"/>
              </w:rPr>
            </w:pPr>
            <w:r>
              <w:rPr>
                <w:rFonts w:hint="eastAsia" w:ascii="楷体" w:hAnsi="楷体" w:eastAsia="楷体" w:cs="楷体"/>
                <w:sz w:val="28"/>
                <w:szCs w:val="28"/>
              </w:rPr>
              <w:t>围绕扫黑除恶专项工作，全市各级卫生监督机构集中力量开展打击无证非法行医行为，全市共监督检查10260人次，监督各类医疗机构9077家次，共处罚单位794家，行政处罚801人次，罚款481.77万元。对各医疗机构进行了涉黑涉恶线索摸排，移送公安等司法部门线索3条。</w:t>
            </w:r>
          </w:p>
        </w:tc>
      </w:tr>
      <w:tr w14:paraId="5DFBBA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35" w:hRule="atLeast"/>
        </w:trPr>
        <w:tc>
          <w:tcPr>
            <w:tcW w:w="567" w:type="dxa"/>
            <w:tcBorders>
              <w:top w:val="single" w:color="auto" w:sz="4" w:space="0"/>
              <w:left w:val="single" w:color="auto" w:sz="4" w:space="0"/>
              <w:bottom w:val="single" w:color="auto" w:sz="4" w:space="0"/>
              <w:right w:val="single" w:color="auto" w:sz="4" w:space="0"/>
            </w:tcBorders>
            <w:vAlign w:val="top"/>
          </w:tcPr>
          <w:p w14:paraId="58B9BB3E">
            <w:pPr>
              <w:spacing w:line="320" w:lineRule="exact"/>
              <w:jc w:val="center"/>
              <w:rPr>
                <w:rFonts w:ascii="楷体" w:hAnsi="楷体" w:eastAsia="楷体" w:cs="楷体"/>
                <w:sz w:val="28"/>
                <w:szCs w:val="28"/>
              </w:rPr>
            </w:pPr>
          </w:p>
          <w:p w14:paraId="18BC42BA">
            <w:pPr>
              <w:spacing w:line="320" w:lineRule="exact"/>
              <w:jc w:val="center"/>
              <w:rPr>
                <w:rFonts w:ascii="楷体" w:hAnsi="楷体" w:eastAsia="楷体" w:cs="楷体"/>
                <w:sz w:val="28"/>
                <w:szCs w:val="28"/>
              </w:rPr>
            </w:pPr>
            <w:r>
              <w:rPr>
                <w:rFonts w:hint="eastAsia" w:ascii="楷体" w:hAnsi="楷体" w:eastAsia="楷体" w:cs="楷体"/>
                <w:sz w:val="28"/>
                <w:szCs w:val="28"/>
              </w:rPr>
              <w:t>产出效益</w:t>
            </w:r>
          </w:p>
        </w:tc>
        <w:tc>
          <w:tcPr>
            <w:tcW w:w="9214" w:type="dxa"/>
            <w:gridSpan w:val="7"/>
            <w:tcBorders>
              <w:top w:val="single" w:color="auto" w:sz="4" w:space="0"/>
              <w:left w:val="single" w:color="auto" w:sz="4" w:space="0"/>
              <w:bottom w:val="single" w:color="auto" w:sz="4" w:space="0"/>
              <w:right w:val="single" w:color="auto" w:sz="4" w:space="0"/>
            </w:tcBorders>
            <w:vAlign w:val="center"/>
          </w:tcPr>
          <w:p w14:paraId="5401ED49">
            <w:pPr>
              <w:rPr>
                <w:rFonts w:ascii="楷体" w:hAnsi="楷体" w:eastAsia="楷体" w:cs="楷体"/>
                <w:sz w:val="28"/>
                <w:szCs w:val="28"/>
              </w:rPr>
            </w:pPr>
            <w:r>
              <w:rPr>
                <w:rFonts w:hint="eastAsia" w:ascii="楷体" w:hAnsi="楷体" w:eastAsia="楷体" w:cs="楷体"/>
                <w:sz w:val="28"/>
                <w:szCs w:val="28"/>
              </w:rPr>
              <w:t>该项目的实施，加强了公共场所、生活饮用水、医疗卫生机构与传染病防治、学校卫生、职业卫生及放射卫生监督管理，进一步整顿规范医疗、公共卫生秩序，切实维护人民群众健康权益。</w:t>
            </w:r>
          </w:p>
        </w:tc>
      </w:tr>
      <w:tr w14:paraId="6C76D9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94" w:hRule="atLeast"/>
        </w:trPr>
        <w:tc>
          <w:tcPr>
            <w:tcW w:w="567" w:type="dxa"/>
            <w:tcBorders>
              <w:top w:val="single" w:color="auto" w:sz="4" w:space="0"/>
              <w:left w:val="single" w:color="auto" w:sz="4" w:space="0"/>
              <w:bottom w:val="single" w:color="auto" w:sz="4" w:space="0"/>
              <w:right w:val="single" w:color="auto" w:sz="4" w:space="0"/>
            </w:tcBorders>
            <w:vAlign w:val="top"/>
          </w:tcPr>
          <w:p w14:paraId="44139C5F">
            <w:pPr>
              <w:spacing w:line="320" w:lineRule="exact"/>
              <w:jc w:val="center"/>
              <w:rPr>
                <w:rFonts w:ascii="楷体" w:hAnsi="楷体" w:eastAsia="楷体" w:cs="楷体"/>
                <w:sz w:val="28"/>
                <w:szCs w:val="28"/>
              </w:rPr>
            </w:pPr>
            <w:r>
              <w:rPr>
                <w:rFonts w:hint="eastAsia" w:ascii="楷体" w:hAnsi="楷体" w:eastAsia="楷体" w:cs="楷体"/>
                <w:sz w:val="28"/>
                <w:szCs w:val="28"/>
              </w:rPr>
              <w:t>自评结论</w:t>
            </w:r>
          </w:p>
        </w:tc>
        <w:tc>
          <w:tcPr>
            <w:tcW w:w="9214" w:type="dxa"/>
            <w:gridSpan w:val="7"/>
            <w:tcBorders>
              <w:top w:val="single" w:color="auto" w:sz="4" w:space="0"/>
              <w:left w:val="single" w:color="auto" w:sz="4" w:space="0"/>
              <w:bottom w:val="single" w:color="auto" w:sz="4" w:space="0"/>
              <w:right w:val="single" w:color="auto" w:sz="4" w:space="0"/>
            </w:tcBorders>
            <w:vAlign w:val="center"/>
          </w:tcPr>
          <w:p w14:paraId="1EB0F657">
            <w:pPr>
              <w:jc w:val="center"/>
              <w:rPr>
                <w:rFonts w:ascii="楷体" w:hAnsi="楷体" w:eastAsia="楷体" w:cs="楷体"/>
                <w:sz w:val="28"/>
                <w:szCs w:val="28"/>
              </w:rPr>
            </w:pPr>
            <w:r>
              <w:rPr>
                <w:rFonts w:hint="eastAsia" w:ascii="楷体" w:hAnsi="楷体" w:eastAsia="楷体" w:cs="楷体"/>
                <w:sz w:val="28"/>
                <w:szCs w:val="28"/>
              </w:rPr>
              <w:t>优</w:t>
            </w:r>
          </w:p>
        </w:tc>
      </w:tr>
      <w:tr w14:paraId="3FE9FC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27" w:hRule="atLeast"/>
        </w:trPr>
        <w:tc>
          <w:tcPr>
            <w:tcW w:w="567" w:type="dxa"/>
            <w:tcBorders>
              <w:top w:val="single" w:color="auto" w:sz="4" w:space="0"/>
              <w:left w:val="single" w:color="auto" w:sz="4" w:space="0"/>
              <w:bottom w:val="single" w:color="auto" w:sz="4" w:space="0"/>
              <w:right w:val="single" w:color="auto" w:sz="4" w:space="0"/>
            </w:tcBorders>
            <w:vAlign w:val="top"/>
          </w:tcPr>
          <w:p w14:paraId="2CAD1E90">
            <w:pPr>
              <w:spacing w:line="320" w:lineRule="exact"/>
              <w:jc w:val="center"/>
              <w:rPr>
                <w:rFonts w:ascii="楷体" w:hAnsi="楷体" w:eastAsia="楷体" w:cs="楷体"/>
                <w:sz w:val="28"/>
                <w:szCs w:val="28"/>
              </w:rPr>
            </w:pPr>
            <w:r>
              <w:rPr>
                <w:rFonts w:hint="eastAsia" w:ascii="楷体" w:hAnsi="楷体" w:eastAsia="楷体" w:cs="楷体"/>
                <w:sz w:val="28"/>
                <w:szCs w:val="28"/>
              </w:rPr>
              <w:t>问题与建议</w:t>
            </w:r>
          </w:p>
        </w:tc>
        <w:tc>
          <w:tcPr>
            <w:tcW w:w="9214" w:type="dxa"/>
            <w:gridSpan w:val="7"/>
            <w:tcBorders>
              <w:top w:val="single" w:color="auto" w:sz="4" w:space="0"/>
              <w:left w:val="single" w:color="auto" w:sz="4" w:space="0"/>
              <w:bottom w:val="single" w:color="auto" w:sz="4" w:space="0"/>
              <w:right w:val="single" w:color="auto" w:sz="4" w:space="0"/>
            </w:tcBorders>
            <w:vAlign w:val="center"/>
          </w:tcPr>
          <w:p w14:paraId="7FB26848">
            <w:pPr>
              <w:rPr>
                <w:rFonts w:ascii="楷体" w:hAnsi="楷体" w:eastAsia="楷体" w:cs="楷体"/>
                <w:sz w:val="28"/>
                <w:szCs w:val="28"/>
              </w:rPr>
            </w:pPr>
            <w:r>
              <w:rPr>
                <w:rFonts w:hint="eastAsia" w:ascii="楷体" w:hAnsi="楷体" w:eastAsia="楷体" w:cs="楷体"/>
                <w:sz w:val="28"/>
                <w:szCs w:val="28"/>
              </w:rPr>
              <w:t>进一步加强项目资金的管理，健全资金管理办法，对项目资金进行专账核算，严格按照预算编制的支出范围和用途使用资金，确保如质如量完成预算，避免挪用挤占超预算。</w:t>
            </w:r>
          </w:p>
        </w:tc>
      </w:tr>
    </w:tbl>
    <w:p w14:paraId="422FD087">
      <w:pPr>
        <w:spacing w:line="480" w:lineRule="exact"/>
        <w:rPr>
          <w:rFonts w:ascii="楷体" w:hAnsi="楷体" w:eastAsia="楷体" w:cs="楷体"/>
          <w:sz w:val="32"/>
          <w:szCs w:val="32"/>
        </w:rPr>
      </w:pPr>
    </w:p>
    <w:p w14:paraId="5121EE2C">
      <w:pPr>
        <w:spacing w:line="480" w:lineRule="exact"/>
        <w:rPr>
          <w:rFonts w:ascii="楷体" w:hAnsi="楷体" w:eastAsia="楷体" w:cs="楷体"/>
          <w:sz w:val="32"/>
          <w:szCs w:val="32"/>
        </w:rPr>
      </w:pPr>
    </w:p>
    <w:sectPr>
      <w:footerReference r:id="rId3" w:type="default"/>
      <w:footerReference r:id="rId4" w:type="even"/>
      <w:pgSz w:w="11905" w:h="16837"/>
      <w:pgMar w:top="2098" w:right="907" w:bottom="1985" w:left="907" w:header="720" w:footer="1701" w:gutter="284"/>
      <w:pgNumType w:start="1"/>
      <w:cols w:space="720" w:num="1"/>
      <w:titlePg/>
      <w:docGrid w:linePitch="636" w:charSpace="2083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A6B359">
    <w:pPr>
      <w:pStyle w:val="3"/>
      <w:framePr w:wrap="around" w:vAnchor="text" w:hAnchor="margin" w:xAlign="outside" w:y="1"/>
      <w:rPr>
        <w:rStyle w:val="7"/>
      </w:rPr>
    </w:pPr>
    <w:r>
      <w:rPr>
        <w:rStyle w:val="7"/>
        <w:rFonts w:hint="eastAsia"/>
        <w:sz w:val="28"/>
      </w:rPr>
      <w:t>—</w:t>
    </w:r>
    <w:r>
      <w:rPr>
        <w:sz w:val="28"/>
      </w:rPr>
      <w:fldChar w:fldCharType="begin"/>
    </w:r>
    <w:r>
      <w:rPr>
        <w:rStyle w:val="7"/>
        <w:sz w:val="28"/>
      </w:rPr>
      <w:instrText xml:space="preserve">PAGE  </w:instrText>
    </w:r>
    <w:r>
      <w:rPr>
        <w:sz w:val="28"/>
      </w:rPr>
      <w:fldChar w:fldCharType="separate"/>
    </w:r>
    <w:r>
      <w:rPr>
        <w:rStyle w:val="7"/>
        <w:sz w:val="28"/>
      </w:rPr>
      <w:t>2</w:t>
    </w:r>
    <w:r>
      <w:rPr>
        <w:sz w:val="28"/>
      </w:rPr>
      <w:fldChar w:fldCharType="end"/>
    </w:r>
    <w:r>
      <w:rPr>
        <w:rStyle w:val="7"/>
        <w:rFonts w:hint="eastAsia"/>
        <w:sz w:val="28"/>
      </w:rPr>
      <w:t>—</w:t>
    </w:r>
  </w:p>
  <w:p w14:paraId="28BC0331">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5953CA">
    <w:pPr>
      <w:pStyle w:val="3"/>
      <w:framePr w:wrap="around" w:vAnchor="text" w:hAnchor="margin" w:xAlign="outside" w:y="1"/>
      <w:rPr>
        <w:rStyle w:val="7"/>
      </w:rPr>
    </w:pPr>
    <w:r>
      <w:fldChar w:fldCharType="begin"/>
    </w:r>
    <w:r>
      <w:rPr>
        <w:rStyle w:val="7"/>
      </w:rPr>
      <w:instrText xml:space="preserve">PAGE  </w:instrText>
    </w:r>
    <w:r>
      <w:fldChar w:fldCharType="end"/>
    </w:r>
  </w:p>
  <w:p w14:paraId="1CAF7975">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rsids>
    <w:rsidRoot w:val="0089116D"/>
    <w:rsid w:val="00025EF4"/>
    <w:rsid w:val="00027480"/>
    <w:rsid w:val="0002778D"/>
    <w:rsid w:val="000A635B"/>
    <w:rsid w:val="000B2627"/>
    <w:rsid w:val="000B7ACB"/>
    <w:rsid w:val="000F02B3"/>
    <w:rsid w:val="001B3EB8"/>
    <w:rsid w:val="001F62A8"/>
    <w:rsid w:val="002A4F35"/>
    <w:rsid w:val="002A7D15"/>
    <w:rsid w:val="00304854"/>
    <w:rsid w:val="00323FAA"/>
    <w:rsid w:val="0037519D"/>
    <w:rsid w:val="00382408"/>
    <w:rsid w:val="003833E0"/>
    <w:rsid w:val="003F394E"/>
    <w:rsid w:val="004136E8"/>
    <w:rsid w:val="00470261"/>
    <w:rsid w:val="004C322C"/>
    <w:rsid w:val="004D12B3"/>
    <w:rsid w:val="00517F9F"/>
    <w:rsid w:val="00521601"/>
    <w:rsid w:val="00564B4B"/>
    <w:rsid w:val="005852BB"/>
    <w:rsid w:val="0061354A"/>
    <w:rsid w:val="006143AD"/>
    <w:rsid w:val="00627398"/>
    <w:rsid w:val="0065787C"/>
    <w:rsid w:val="006809F6"/>
    <w:rsid w:val="00727194"/>
    <w:rsid w:val="00827F35"/>
    <w:rsid w:val="0089116D"/>
    <w:rsid w:val="008A3F74"/>
    <w:rsid w:val="009363E9"/>
    <w:rsid w:val="00947F94"/>
    <w:rsid w:val="00960BC2"/>
    <w:rsid w:val="00987E1B"/>
    <w:rsid w:val="009C3819"/>
    <w:rsid w:val="00A12A6C"/>
    <w:rsid w:val="00A163F9"/>
    <w:rsid w:val="00A84CE4"/>
    <w:rsid w:val="00AA73ED"/>
    <w:rsid w:val="00AF3822"/>
    <w:rsid w:val="00B03B36"/>
    <w:rsid w:val="00B071E3"/>
    <w:rsid w:val="00B23AF1"/>
    <w:rsid w:val="00B32AA3"/>
    <w:rsid w:val="00B40B65"/>
    <w:rsid w:val="00B47018"/>
    <w:rsid w:val="00B61CC6"/>
    <w:rsid w:val="00BC01BB"/>
    <w:rsid w:val="00BF31DF"/>
    <w:rsid w:val="00C24E3E"/>
    <w:rsid w:val="00C70E9B"/>
    <w:rsid w:val="00C71E76"/>
    <w:rsid w:val="00C745D1"/>
    <w:rsid w:val="00CB3BC6"/>
    <w:rsid w:val="00CF606B"/>
    <w:rsid w:val="00D2155D"/>
    <w:rsid w:val="00DC7753"/>
    <w:rsid w:val="00DE72EA"/>
    <w:rsid w:val="00E04FF5"/>
    <w:rsid w:val="00E12F5D"/>
    <w:rsid w:val="00E2562C"/>
    <w:rsid w:val="00E43173"/>
    <w:rsid w:val="00ED67AB"/>
    <w:rsid w:val="00F32EE8"/>
    <w:rsid w:val="00F716DA"/>
    <w:rsid w:val="00FA713C"/>
    <w:rsid w:val="00FD28ED"/>
    <w:rsid w:val="00FE363D"/>
    <w:rsid w:val="00FF0CD0"/>
    <w:rsid w:val="02E66ED9"/>
    <w:rsid w:val="0A400DB1"/>
    <w:rsid w:val="0F811861"/>
    <w:rsid w:val="315B4602"/>
    <w:rsid w:val="3790261F"/>
    <w:rsid w:val="37E94CEE"/>
    <w:rsid w:val="38B34B32"/>
    <w:rsid w:val="38F53ECF"/>
    <w:rsid w:val="4C9C51D7"/>
    <w:rsid w:val="4DD01F2C"/>
    <w:rsid w:val="4E055C01"/>
    <w:rsid w:val="4F927292"/>
    <w:rsid w:val="596B393A"/>
    <w:rsid w:val="59BF2347"/>
    <w:rsid w:val="5CF53A3C"/>
    <w:rsid w:val="603B3733"/>
    <w:rsid w:val="61773296"/>
    <w:rsid w:val="630A642E"/>
    <w:rsid w:val="654A4C44"/>
    <w:rsid w:val="65A431D8"/>
    <w:rsid w:val="687C5629"/>
    <w:rsid w:val="68851984"/>
    <w:rsid w:val="68F915E0"/>
    <w:rsid w:val="705A49A7"/>
    <w:rsid w:val="76C018C2"/>
    <w:rsid w:val="795906D8"/>
    <w:rsid w:val="7D4D723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paragraph" w:customStyle="1" w:styleId="8">
    <w:name w:val="Char Char Char Char Char Char"/>
    <w:basedOn w:val="1"/>
    <w:qFormat/>
    <w:uiPriority w:val="0"/>
    <w:pPr>
      <w:adjustRightInd w:val="0"/>
    </w:pPr>
    <w:rPr>
      <w:rFonts w:ascii="Tahoma" w:hAnsi="Tahoma"/>
      <w:sz w:val="24"/>
      <w:szCs w:val="20"/>
    </w:rPr>
  </w:style>
  <w:style w:type="character" w:customStyle="1" w:styleId="9">
    <w:name w:val="页眉 Char"/>
    <w:basedOn w:val="6"/>
    <w:link w:val="4"/>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user</Company>
  <Pages>7</Pages>
  <Words>4171</Words>
  <Characters>4487</Characters>
  <Lines>35</Lines>
  <Paragraphs>9</Paragraphs>
  <TotalTime>0</TotalTime>
  <ScaleCrop>false</ScaleCrop>
  <LinksUpToDate>false</LinksUpToDate>
  <CharactersWithSpaces>4695</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2021-06-17T08:00:00Z</dcterms:created>
  <dc:creator>李兰</dc:creator>
  <cp:lastModifiedBy>随风而起</cp:lastModifiedBy>
  <cp:lastPrinted>2021-06-22T04:00:00Z</cp:lastPrinted>
  <dcterms:modified xsi:type="dcterms:W3CDTF">2025-06-13T08:26:50Z</dcterms:modified>
  <dc:title>邵 阳 市 财 政 局 文 件</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F7655B34434243E6A2838CD509CA460E</vt:lpwstr>
  </property>
  <property fmtid="{D5CDD505-2E9C-101B-9397-08002B2CF9AE}" pid="4" name="KSOTemplateDocerSaveRecord">
    <vt:lpwstr>eyJoZGlkIjoiMzUyMGJjZGJkYTMxNmM2MGVkODM5NTNmZjk2YzllNDIiLCJ1c2VySWQiOiIyNzg1MzQ3NzgifQ==</vt:lpwstr>
  </property>
</Properties>
</file>