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DDB68"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2020年项目绩效自评报告表</w:t>
      </w:r>
    </w:p>
    <w:p w14:paraId="007E3431"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 w14:paraId="30952CD4">
      <w:pPr>
        <w:spacing w:line="360" w:lineRule="auto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 xml:space="preserve">填报单位：邵阳市疾病预防控制中心          填报日期：2021年5  月25日   </w:t>
      </w:r>
    </w:p>
    <w:tbl>
      <w:tblPr>
        <w:tblStyle w:val="5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 w14:paraId="423C0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 w14:paraId="79DB7EF6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 w14:paraId="676EBD79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 w14:paraId="241DA815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 w14:paraId="1F06CD77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08B87962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2C5C340A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5BC6F532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46BEC138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3926960A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7360719B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2131C0D4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1366ECD4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17669AAD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6BA63428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304B7C57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4DB970E7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 w14:paraId="148E3C60"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重大公共卫生服务及重大传染病防治</w:t>
            </w:r>
          </w:p>
        </w:tc>
      </w:tr>
      <w:tr w14:paraId="6497A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8" w:hRule="exact"/>
        </w:trPr>
        <w:tc>
          <w:tcPr>
            <w:tcW w:w="540" w:type="dxa"/>
            <w:vMerge w:val="continue"/>
            <w:vAlign w:val="center"/>
          </w:tcPr>
          <w:p w14:paraId="203E7B2A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7E5F5739"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 w14:paraId="3DB70968"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预防和控制新冠、鼠疫、二号病、艾滋病、结核病等传染病的发生，保障全市免费疫苗冷链运输及接种工作正常运转，降低疫苗针对性传染病发病率，保障水和食品风险监测、职业病防治、疫情网络直报工作正常进行。</w:t>
            </w:r>
          </w:p>
        </w:tc>
      </w:tr>
      <w:tr w14:paraId="795FA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 w14:paraId="4217E6E9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23A5D413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 w14:paraId="31297ABD"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市疾病预防控制中心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　　　　</w:t>
            </w:r>
          </w:p>
        </w:tc>
        <w:tc>
          <w:tcPr>
            <w:tcW w:w="2070" w:type="dxa"/>
            <w:gridSpan w:val="2"/>
            <w:vAlign w:val="center"/>
          </w:tcPr>
          <w:p w14:paraId="00DAAD96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 w14:paraId="5B36320F">
            <w:pPr>
              <w:spacing w:line="540" w:lineRule="exact"/>
              <w:jc w:val="left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市卫生健康委员会</w:t>
            </w:r>
          </w:p>
        </w:tc>
      </w:tr>
      <w:tr w14:paraId="33E71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 w14:paraId="345ADC93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676A5DDA"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 w14:paraId="7E0899D9"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朱鹏程</w:t>
            </w:r>
          </w:p>
        </w:tc>
        <w:tc>
          <w:tcPr>
            <w:tcW w:w="2070" w:type="dxa"/>
            <w:gridSpan w:val="2"/>
            <w:vAlign w:val="center"/>
          </w:tcPr>
          <w:p w14:paraId="061D04E4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 w14:paraId="129E16E5"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朱鹏程</w:t>
            </w:r>
          </w:p>
        </w:tc>
      </w:tr>
      <w:tr w14:paraId="0D691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 w14:paraId="326719FC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3994CB1C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 w14:paraId="1802FEFD"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楷体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 w14:paraId="2021A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 w14:paraId="552758A1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203D99DB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 w14:paraId="27C11A66"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总额1929.74万元，其中：省级财政51.9万元；市级财政575万元；其他　　　万元。</w:t>
            </w:r>
          </w:p>
          <w:p w14:paraId="753FB7A4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 w14:paraId="3EEDE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 w14:paraId="544D5EBC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143A74F2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 w14:paraId="39D499DD"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2020年1月起至2020年12月止</w:t>
            </w:r>
          </w:p>
        </w:tc>
      </w:tr>
      <w:tr w14:paraId="564CA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2" w:hRule="exact"/>
        </w:trPr>
        <w:tc>
          <w:tcPr>
            <w:tcW w:w="540" w:type="dxa"/>
            <w:vMerge w:val="restart"/>
            <w:vAlign w:val="center"/>
          </w:tcPr>
          <w:p w14:paraId="4807A88F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 w14:paraId="6CFB147C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 w14:paraId="2F69D2CD">
            <w:pPr>
              <w:spacing w:line="560" w:lineRule="exact"/>
              <w:jc w:val="left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《传染病防治法》《疫苗流通与预防接种管理条例》《</w:t>
            </w:r>
            <w:r>
              <w:rPr>
                <w:rFonts w:ascii="楷体" w:hAnsi="楷体" w:eastAsia="楷体" w:cs="楷体"/>
                <w:szCs w:val="21"/>
              </w:rPr>
              <w:t>突发公共卫生事件应急条例</w:t>
            </w:r>
            <w:r>
              <w:rPr>
                <w:rFonts w:hint="eastAsia" w:ascii="楷体" w:hAnsi="楷体" w:eastAsia="楷体" w:cs="楷体"/>
                <w:szCs w:val="21"/>
              </w:rPr>
              <w:t>》《</w:t>
            </w:r>
            <w:r>
              <w:rPr>
                <w:rFonts w:ascii="楷体" w:hAnsi="楷体" w:eastAsia="楷体" w:cs="楷体"/>
                <w:szCs w:val="21"/>
              </w:rPr>
              <w:t>中华人民共和国职业病防治法</w:t>
            </w:r>
            <w:r>
              <w:rPr>
                <w:rFonts w:hint="eastAsia" w:ascii="楷体" w:hAnsi="楷体" w:eastAsia="楷体" w:cs="楷体"/>
                <w:szCs w:val="21"/>
              </w:rPr>
              <w:t>》《</w:t>
            </w:r>
            <w:r>
              <w:rPr>
                <w:rFonts w:ascii="楷体" w:hAnsi="楷体" w:eastAsia="楷体" w:cs="楷体"/>
                <w:szCs w:val="21"/>
              </w:rPr>
              <w:t>中华人民共和国食品安全法</w:t>
            </w:r>
            <w:r>
              <w:rPr>
                <w:rFonts w:hint="eastAsia" w:ascii="楷体" w:hAnsi="楷体" w:eastAsia="楷体" w:cs="楷体"/>
                <w:szCs w:val="21"/>
              </w:rPr>
              <w:t>》</w:t>
            </w:r>
          </w:p>
        </w:tc>
      </w:tr>
      <w:tr w14:paraId="47454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 w14:paraId="425345D0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2941CAE7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 w14:paraId="37FAC8E9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无可行性研究报告。</w:t>
            </w:r>
          </w:p>
        </w:tc>
      </w:tr>
      <w:tr w14:paraId="7457E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 w14:paraId="2DD36720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2EEFCBFB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 w14:paraId="5E7B0485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无专家评审论证结论及其内容。</w:t>
            </w:r>
          </w:p>
        </w:tc>
      </w:tr>
      <w:tr w14:paraId="3D2C6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 w14:paraId="680BB280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1F611332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 w14:paraId="086CC02F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743D98D2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18814B39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5B6654F9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 w14:paraId="618DBDE1"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" w:hAnsi="仿宋" w:eastAsia="仿宋" w:cs="楷体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                    □否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应采购金额623.28万元实际采购金额399.28万元</w:t>
            </w:r>
          </w:p>
        </w:tc>
      </w:tr>
      <w:tr w14:paraId="7F6C3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 w14:paraId="59AD6A51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1FB794B3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 w14:paraId="0F012C71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仿宋" w:hAnsi="仿宋" w:eastAsia="仿宋" w:cs="楷体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 w14:paraId="6459A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 w14:paraId="68BE5E9F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61D864D3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 w14:paraId="70E5127E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</w:t>
            </w:r>
            <w:r>
              <w:rPr>
                <w:rFonts w:hint="eastAsia" w:ascii="仿宋" w:hAnsi="仿宋" w:eastAsia="仿宋" w:cs="楷体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 w14:paraId="27D86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 w14:paraId="1F72F811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5E0D8854"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 w14:paraId="6B9DA667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仿宋" w:hAnsi="仿宋" w:eastAsia="仿宋" w:cs="楷体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 w14:paraId="7A169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 w14:paraId="5BF3EA7D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5B8926CF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 w14:paraId="251B6BA0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仿宋" w:hAnsi="仿宋" w:eastAsia="仿宋" w:cs="楷体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  <w:p w14:paraId="31A187CE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3825B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 w14:paraId="3B644D28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36069856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 w14:paraId="4F1C2747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 w14:paraId="2647CF02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仿宋" w:hAnsi="仿宋" w:eastAsia="仿宋" w:cs="楷体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 w14:paraId="38555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 w14:paraId="0366128D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00686195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 w14:paraId="798673E9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仿宋" w:hAnsi="仿宋" w:eastAsia="仿宋" w:cs="楷体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 w14:paraId="1B81F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 w14:paraId="7D7474A5"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 w14:paraId="32109FCA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 w14:paraId="2A903B0C"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4"/>
              </w:rPr>
              <w:t>《湖南省公共卫生专项资金管理办法》</w:t>
            </w:r>
            <w:r>
              <w:rPr>
                <w:rFonts w:hint="eastAsia" w:ascii="楷体" w:hAnsi="楷体" w:eastAsia="楷体" w:cs="楷体"/>
                <w:sz w:val="24"/>
              </w:rPr>
              <w:t>、《湖南省疾控中心各病种防控实施方案》、《邵阳市疾病预防控制中心管理制度》</w:t>
            </w:r>
          </w:p>
        </w:tc>
      </w:tr>
      <w:tr w14:paraId="68682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 w14:paraId="74746DDB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2DDF4F69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 w14:paraId="6C7B7AE3"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4"/>
              </w:rPr>
              <w:t>面向特定人群或针对特殊公共卫生问题提供公共卫生服务</w:t>
            </w:r>
          </w:p>
        </w:tc>
      </w:tr>
      <w:tr w14:paraId="60DFD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 w14:paraId="742565D9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761EC755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 w14:paraId="02224DFE"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 w14:paraId="0ECB3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 w14:paraId="47BA173A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2733CEC6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 w14:paraId="3A973517"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 w14:paraId="458E2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 w14:paraId="37F86FA0"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 w14:paraId="394D7739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 w14:paraId="412B74D8"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 w14:paraId="63D76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5" w:hRule="exact"/>
        </w:trPr>
        <w:tc>
          <w:tcPr>
            <w:tcW w:w="540" w:type="dxa"/>
            <w:vMerge w:val="continue"/>
            <w:vAlign w:val="center"/>
          </w:tcPr>
          <w:p w14:paraId="72DFEED5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40F5C599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</w:tcPr>
          <w:p w14:paraId="112FFBBF">
            <w:pPr>
              <w:pStyle w:val="4"/>
              <w:shd w:val="clear" w:color="auto" w:fill="FFFFFF"/>
              <w:spacing w:before="0" w:beforeAutospacing="0" w:after="180" w:afterAutospacing="0" w:line="420" w:lineRule="atLeast"/>
              <w:ind w:firstLine="480" w:firstLineChars="200"/>
              <w:jc w:val="both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《邵阳市疾病预防控制中心财务管理制度》《邵阳市疾病预防控制中心财务会审制度》《邵阳市疾病预防控制中心公共卫生专项资金预算和执行管理办法》</w:t>
            </w:r>
          </w:p>
          <w:p w14:paraId="6B4E4ABB"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》</w:t>
            </w:r>
          </w:p>
        </w:tc>
      </w:tr>
      <w:tr w14:paraId="65CA0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 w14:paraId="3A482A1B">
            <w:pPr>
              <w:spacing w:line="500" w:lineRule="exact"/>
              <w:ind w:left="113" w:right="113"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 w14:paraId="6027508E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 w14:paraId="27AA433C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 w14:paraId="2C3F3AB5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 w14:paraId="4E22DDFD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 w14:paraId="12F53532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 w14:paraId="098B3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 w14:paraId="7BB56B62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77C03D30"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 w14:paraId="2B92BE39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1342.14    </w:t>
            </w:r>
          </w:p>
        </w:tc>
        <w:tc>
          <w:tcPr>
            <w:tcW w:w="1905" w:type="dxa"/>
            <w:gridSpan w:val="2"/>
            <w:vAlign w:val="center"/>
          </w:tcPr>
          <w:p w14:paraId="04D09CAE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1342.14</w:t>
            </w:r>
          </w:p>
        </w:tc>
        <w:tc>
          <w:tcPr>
            <w:tcW w:w="1425" w:type="dxa"/>
            <w:gridSpan w:val="2"/>
            <w:vAlign w:val="center"/>
          </w:tcPr>
          <w:p w14:paraId="0A303F2A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772.25</w:t>
            </w:r>
          </w:p>
        </w:tc>
        <w:tc>
          <w:tcPr>
            <w:tcW w:w="1380" w:type="dxa"/>
            <w:vAlign w:val="center"/>
          </w:tcPr>
          <w:p w14:paraId="7ACC0EB8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569.89</w:t>
            </w:r>
          </w:p>
        </w:tc>
      </w:tr>
      <w:tr w14:paraId="3A735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 w14:paraId="2A40B04E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5C058D1F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 w14:paraId="04A4291B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51.9</w:t>
            </w:r>
          </w:p>
        </w:tc>
        <w:tc>
          <w:tcPr>
            <w:tcW w:w="1905" w:type="dxa"/>
            <w:gridSpan w:val="2"/>
            <w:vAlign w:val="center"/>
          </w:tcPr>
          <w:p w14:paraId="3C859A52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51.9</w:t>
            </w:r>
          </w:p>
        </w:tc>
        <w:tc>
          <w:tcPr>
            <w:tcW w:w="1425" w:type="dxa"/>
            <w:gridSpan w:val="2"/>
            <w:vAlign w:val="center"/>
          </w:tcPr>
          <w:p w14:paraId="6E681BFB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  <w:tc>
          <w:tcPr>
            <w:tcW w:w="1380" w:type="dxa"/>
            <w:vAlign w:val="center"/>
          </w:tcPr>
          <w:p w14:paraId="39993080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51.9</w:t>
            </w:r>
          </w:p>
        </w:tc>
      </w:tr>
      <w:tr w14:paraId="11CA4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 w14:paraId="0AABE68B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7427E6E4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 w14:paraId="09A59E42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535.7</w:t>
            </w:r>
          </w:p>
        </w:tc>
        <w:tc>
          <w:tcPr>
            <w:tcW w:w="1905" w:type="dxa"/>
            <w:gridSpan w:val="2"/>
            <w:vAlign w:val="center"/>
          </w:tcPr>
          <w:p w14:paraId="0FC417BF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535.7</w:t>
            </w:r>
          </w:p>
        </w:tc>
        <w:tc>
          <w:tcPr>
            <w:tcW w:w="1425" w:type="dxa"/>
            <w:gridSpan w:val="2"/>
            <w:vAlign w:val="center"/>
          </w:tcPr>
          <w:p w14:paraId="3FF0D14B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482.78</w:t>
            </w:r>
          </w:p>
        </w:tc>
        <w:tc>
          <w:tcPr>
            <w:tcW w:w="1380" w:type="dxa"/>
            <w:vAlign w:val="center"/>
          </w:tcPr>
          <w:p w14:paraId="747735CF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52.92</w:t>
            </w:r>
          </w:p>
        </w:tc>
      </w:tr>
      <w:tr w14:paraId="720AE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 w14:paraId="7B2736CD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6963D243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 w14:paraId="0A992D68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 w14:paraId="13FA266C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74D4CC40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082BAEC9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5C87D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 w14:paraId="1CE120E9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21F667F6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 w14:paraId="3D4D1745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1929.74</w:t>
            </w:r>
          </w:p>
        </w:tc>
        <w:tc>
          <w:tcPr>
            <w:tcW w:w="1905" w:type="dxa"/>
            <w:gridSpan w:val="2"/>
            <w:vAlign w:val="center"/>
          </w:tcPr>
          <w:p w14:paraId="1B46FE84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1929.74</w:t>
            </w:r>
          </w:p>
        </w:tc>
        <w:tc>
          <w:tcPr>
            <w:tcW w:w="1425" w:type="dxa"/>
            <w:gridSpan w:val="2"/>
            <w:vAlign w:val="center"/>
          </w:tcPr>
          <w:p w14:paraId="727F5DD6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1255.04</w:t>
            </w:r>
          </w:p>
        </w:tc>
        <w:tc>
          <w:tcPr>
            <w:tcW w:w="1380" w:type="dxa"/>
            <w:vAlign w:val="center"/>
          </w:tcPr>
          <w:p w14:paraId="68A7B70E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674.70</w:t>
            </w:r>
          </w:p>
        </w:tc>
      </w:tr>
      <w:tr w14:paraId="1FE50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5BA04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9532E">
            <w:pPr>
              <w:spacing w:line="560" w:lineRule="atLeast"/>
              <w:ind w:firstLine="560" w:firstLineChars="200"/>
              <w:jc w:val="left"/>
              <w:rPr>
                <w:rFonts w:ascii="楷体" w:hAnsi="楷体" w:eastAsia="楷体" w:cs="楷体"/>
                <w:color w:val="333333"/>
                <w:kern w:val="0"/>
                <w:sz w:val="28"/>
              </w:rPr>
            </w:pPr>
            <w:r>
              <w:rPr>
                <w:rFonts w:hint="eastAsia" w:ascii="楷体" w:hAnsi="楷体" w:eastAsia="楷体" w:cs="楷体"/>
                <w:color w:val="333333"/>
                <w:kern w:val="0"/>
                <w:sz w:val="28"/>
              </w:rPr>
              <w:t xml:space="preserve">2020年对全市新冠肺炎确诊的病人102人，密切接触者2621人，聚集性疫情21起，开展流行病学调查，并对每起疫情开展核酸检测及侦查分析；全市法定传染病发病率总体保持平稳，较去年（565.685/10万）减少33.91%；总发病率全省最低，无甲类传染病发生，未发生较大级别以上突发公共卫生事件；肺结核患者成功治疗率、艾滋病病毒感染者结核病检查率、基层医疗卫生机构肺结核患者规范管理率均达到90%以上，艾滋病病死率继续下降了2个百分点；检查麻风病患者密切接触者60人，排查可疑麻风线索804条；达到了消除疟疾的指标；疫情报告质量综合率为99.9%，有效证件填报率达到99.98%，共报告发生突发公共卫生47起，报告涉及人数712人，所有事件均得到了及时、规范处置，组织开展了新冠肺炎疫情防控应急演练，积极参加省里组织的全员核酸检测应急演练，锻炼了应急队伍，有效地提高我市突发公共卫生事件应急处置的能力；免疫规划疫苗接种率保持在较高的水平，形成了有效的人群免疫屏障。二是免疫规划针对性疾病发病率控制在极低水平，继续维持无“脊灰”状态；完成脑卒中高危人群院外筛查4000余人；各县市区均已达到碘缺乏病消除标准；重点寄生虫病防治规划的终期评估监测指标均达到国家要求；监测食品中化学污染物及有害因素样品107份，检测项目1841项，共监测食品微生物及其致病因子样品200份，检测项目628项，监测食源性疾病3685例、食源性疾病事件67起；完成水质样品采集200份（34项指标），检测数据6800项，完成城市饮用水监测样品采集422份（34项），共检测项目14348项；开展职业病危害现状调查，全年共完成调查2014个单位（任务数1973个），工作场所职业病危害因素监测，共完成项目调查和监测164个单位，职业性尘肺病随访与回顾性调查，共完成随访12163例，完成放射工作单位基本情况调查241家，项目单位详情调查13家，完成职业健康检查8100余人次，接诊劳动者2100余人次。共诊断职业性尘肺病198例（新发13例），临床诊断农民工尘肺病560例(初诊539例)。 </w:t>
            </w:r>
          </w:p>
        </w:tc>
      </w:tr>
      <w:tr w14:paraId="08F36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6D435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2EA81F97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39C6525C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38E0B">
            <w:pPr>
              <w:rPr>
                <w:rFonts w:ascii="楷体" w:hAnsi="楷体" w:eastAsia="楷体" w:cs="楷体"/>
                <w:color w:val="333333"/>
                <w:kern w:val="0"/>
                <w:sz w:val="28"/>
              </w:rPr>
            </w:pPr>
            <w:r>
              <w:rPr>
                <w:rFonts w:hint="eastAsia" w:ascii="楷体" w:hAnsi="楷体" w:eastAsia="楷体" w:cs="楷体"/>
                <w:color w:val="333333"/>
                <w:kern w:val="0"/>
                <w:sz w:val="28"/>
              </w:rPr>
              <w:t>　有效阻断了新冠肺炎疫情传播，全市法定传染病发病率总体保持平稳，较去年（565.685/10万）减少33.91%。总发病率全省最低，无甲类传染病发生，未发生较大级别以上突发公共卫生事件，</w:t>
            </w:r>
            <w:r>
              <w:rPr>
                <w:rFonts w:ascii="楷体" w:hAnsi="楷体" w:eastAsia="楷体" w:cs="楷体"/>
                <w:color w:val="333333"/>
                <w:kern w:val="0"/>
                <w:sz w:val="28"/>
              </w:rPr>
              <w:t>结核病、艾滋病防治工作稳步推进</w:t>
            </w:r>
            <w:r>
              <w:rPr>
                <w:rFonts w:hint="eastAsia" w:ascii="楷体" w:hAnsi="楷体" w:eastAsia="楷体" w:cs="楷体"/>
                <w:color w:val="333333"/>
                <w:kern w:val="0"/>
                <w:sz w:val="28"/>
              </w:rPr>
              <w:t>，</w:t>
            </w:r>
            <w:r>
              <w:rPr>
                <w:rFonts w:ascii="楷体" w:hAnsi="楷体" w:eastAsia="楷体" w:cs="楷体"/>
                <w:color w:val="333333"/>
                <w:kern w:val="0"/>
                <w:sz w:val="28"/>
              </w:rPr>
              <w:t>麻风病防治</w:t>
            </w:r>
            <w:r>
              <w:rPr>
                <w:rFonts w:hint="eastAsia" w:ascii="楷体" w:hAnsi="楷体" w:eastAsia="楷体" w:cs="楷体"/>
                <w:color w:val="333333"/>
                <w:kern w:val="0"/>
                <w:sz w:val="28"/>
              </w:rPr>
              <w:t>工作落到实处，</w:t>
            </w:r>
            <w:r>
              <w:rPr>
                <w:rFonts w:ascii="楷体" w:hAnsi="楷体" w:eastAsia="楷体" w:cs="楷体"/>
                <w:color w:val="333333"/>
                <w:kern w:val="0"/>
                <w:sz w:val="28"/>
              </w:rPr>
              <w:t>卫生应急体系和能力建设取得积极进展</w:t>
            </w:r>
            <w:r>
              <w:rPr>
                <w:rFonts w:hint="eastAsia" w:ascii="楷体" w:hAnsi="楷体" w:eastAsia="楷体" w:cs="楷体"/>
                <w:color w:val="333333"/>
                <w:kern w:val="0"/>
                <w:sz w:val="28"/>
              </w:rPr>
              <w:t>，</w:t>
            </w:r>
            <w:r>
              <w:rPr>
                <w:rFonts w:ascii="楷体" w:hAnsi="楷体" w:eastAsia="楷体" w:cs="楷体"/>
                <w:color w:val="333333"/>
                <w:kern w:val="0"/>
                <w:sz w:val="28"/>
              </w:rPr>
              <w:t>以控制麻疹为重点，免疫规划工作稳步推进</w:t>
            </w:r>
            <w:r>
              <w:rPr>
                <w:rFonts w:hint="eastAsia" w:ascii="楷体" w:hAnsi="楷体" w:eastAsia="楷体" w:cs="楷体"/>
                <w:color w:val="333333"/>
                <w:kern w:val="0"/>
                <w:sz w:val="28"/>
              </w:rPr>
              <w:t>，</w:t>
            </w:r>
            <w:r>
              <w:rPr>
                <w:rFonts w:ascii="楷体" w:hAnsi="楷体" w:eastAsia="楷体" w:cs="楷体"/>
                <w:color w:val="333333"/>
                <w:kern w:val="0"/>
                <w:sz w:val="28"/>
              </w:rPr>
              <w:t>慢性病</w:t>
            </w:r>
            <w:r>
              <w:rPr>
                <w:rFonts w:hint="eastAsia" w:ascii="楷体" w:hAnsi="楷体" w:eastAsia="楷体" w:cs="楷体"/>
                <w:color w:val="333333"/>
                <w:kern w:val="0"/>
                <w:sz w:val="28"/>
              </w:rPr>
              <w:t>、</w:t>
            </w:r>
            <w:r>
              <w:rPr>
                <w:rFonts w:ascii="楷体" w:hAnsi="楷体" w:eastAsia="楷体" w:cs="楷体"/>
                <w:color w:val="333333"/>
                <w:kern w:val="0"/>
                <w:sz w:val="28"/>
              </w:rPr>
              <w:t>地方病</w:t>
            </w:r>
            <w:r>
              <w:rPr>
                <w:rFonts w:hint="eastAsia" w:ascii="楷体" w:hAnsi="楷体" w:eastAsia="楷体" w:cs="楷体"/>
                <w:color w:val="333333"/>
                <w:kern w:val="0"/>
                <w:sz w:val="28"/>
              </w:rPr>
              <w:t>、</w:t>
            </w:r>
            <w:r>
              <w:rPr>
                <w:rFonts w:ascii="楷体" w:hAnsi="楷体" w:eastAsia="楷体" w:cs="楷体"/>
                <w:color w:val="333333"/>
                <w:kern w:val="0"/>
                <w:sz w:val="28"/>
              </w:rPr>
              <w:t>寄生虫病防治工作逐步加强</w:t>
            </w:r>
            <w:r>
              <w:rPr>
                <w:rFonts w:hint="eastAsia" w:ascii="楷体" w:hAnsi="楷体" w:eastAsia="楷体" w:cs="楷体"/>
                <w:color w:val="333333"/>
                <w:kern w:val="0"/>
                <w:sz w:val="28"/>
              </w:rPr>
              <w:t>，</w:t>
            </w:r>
            <w:r>
              <w:rPr>
                <w:rFonts w:ascii="楷体" w:hAnsi="楷体" w:eastAsia="楷体" w:cs="楷体"/>
                <w:color w:val="333333"/>
                <w:kern w:val="0"/>
                <w:sz w:val="28"/>
              </w:rPr>
              <w:t>食品安全风险监测能力稳步提升</w:t>
            </w:r>
            <w:r>
              <w:rPr>
                <w:rFonts w:hint="eastAsia" w:ascii="楷体" w:hAnsi="楷体" w:eastAsia="楷体" w:cs="楷体"/>
                <w:color w:val="333333"/>
                <w:kern w:val="0"/>
                <w:sz w:val="28"/>
              </w:rPr>
              <w:t>，城乡</w:t>
            </w:r>
            <w:r>
              <w:rPr>
                <w:rFonts w:ascii="楷体" w:hAnsi="楷体" w:eastAsia="楷体" w:cs="楷体"/>
                <w:color w:val="333333"/>
                <w:kern w:val="0"/>
                <w:sz w:val="28"/>
              </w:rPr>
              <w:t>饮用水监测</w:t>
            </w:r>
            <w:r>
              <w:rPr>
                <w:rFonts w:hint="eastAsia" w:ascii="楷体" w:hAnsi="楷体" w:eastAsia="楷体" w:cs="楷体"/>
                <w:color w:val="333333"/>
                <w:kern w:val="0"/>
                <w:sz w:val="28"/>
              </w:rPr>
              <w:t>全面展开，</w:t>
            </w:r>
            <w:r>
              <w:rPr>
                <w:rFonts w:ascii="楷体" w:hAnsi="楷体" w:eastAsia="楷体" w:cs="楷体"/>
                <w:color w:val="333333"/>
                <w:kern w:val="0"/>
                <w:sz w:val="28"/>
              </w:rPr>
              <w:t>职业病防治工作取得成效</w:t>
            </w:r>
            <w:r>
              <w:rPr>
                <w:rFonts w:hint="eastAsia" w:ascii="楷体" w:hAnsi="楷体" w:eastAsia="楷体" w:cs="楷体"/>
                <w:color w:val="333333"/>
                <w:kern w:val="0"/>
                <w:sz w:val="28"/>
              </w:rPr>
              <w:t>，取得了较好的社会效益，为人民身体健康和社会经济发展提供了有力保障。</w:t>
            </w:r>
          </w:p>
        </w:tc>
      </w:tr>
      <w:tr w14:paraId="533C5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B8A9C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0FBEA"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综合分析评价为：优</w:t>
            </w:r>
          </w:p>
        </w:tc>
      </w:tr>
      <w:tr w14:paraId="48DB3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0B61A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F0B7D"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 w14:paraId="35546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3CC44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09BF9"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说明：主管部门对项目单位填报内容的客观真实性进行审核，并对项目单位的自评结论签具是否认定的意见。</w:t>
            </w:r>
          </w:p>
          <w:p w14:paraId="4ECF993D"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6B5B696F"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568E0220"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7B47FE14"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7F4676EF"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 w14:paraId="0D677B78"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 w14:paraId="490DF4D1"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　　　</w:t>
      </w:r>
    </w:p>
    <w:p w14:paraId="7E664AE1"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 w14:paraId="0EAD06B3"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63864"/>
    <w:rsid w:val="00104E8A"/>
    <w:rsid w:val="0019797A"/>
    <w:rsid w:val="001E03C2"/>
    <w:rsid w:val="001E3C5E"/>
    <w:rsid w:val="002560F6"/>
    <w:rsid w:val="002C008D"/>
    <w:rsid w:val="00306284"/>
    <w:rsid w:val="00323B43"/>
    <w:rsid w:val="00392D45"/>
    <w:rsid w:val="003D37D8"/>
    <w:rsid w:val="0040351E"/>
    <w:rsid w:val="00424FEA"/>
    <w:rsid w:val="00426133"/>
    <w:rsid w:val="00433836"/>
    <w:rsid w:val="004358AB"/>
    <w:rsid w:val="004C75BA"/>
    <w:rsid w:val="004D2DD7"/>
    <w:rsid w:val="00544C35"/>
    <w:rsid w:val="00564144"/>
    <w:rsid w:val="006206DA"/>
    <w:rsid w:val="00631C2F"/>
    <w:rsid w:val="006B1C6B"/>
    <w:rsid w:val="006E2ECA"/>
    <w:rsid w:val="00790E6C"/>
    <w:rsid w:val="007B542C"/>
    <w:rsid w:val="007C4D91"/>
    <w:rsid w:val="008B7726"/>
    <w:rsid w:val="00955219"/>
    <w:rsid w:val="009A56C7"/>
    <w:rsid w:val="00A52061"/>
    <w:rsid w:val="00AB587B"/>
    <w:rsid w:val="00C34283"/>
    <w:rsid w:val="00C63A30"/>
    <w:rsid w:val="00C95C58"/>
    <w:rsid w:val="00CE2DE4"/>
    <w:rsid w:val="00D31D50"/>
    <w:rsid w:val="00D34623"/>
    <w:rsid w:val="00E145B8"/>
    <w:rsid w:val="00E43EBE"/>
    <w:rsid w:val="00E6446E"/>
    <w:rsid w:val="00EA2E1F"/>
    <w:rsid w:val="00EC3427"/>
    <w:rsid w:val="00F417F7"/>
    <w:rsid w:val="00F72B28"/>
    <w:rsid w:val="00FA1B41"/>
    <w:rsid w:val="63750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hAnsi="Tahoma" w:eastAsia="微软雅黑" w:cstheme="minorBidi"/>
      <w:kern w:val="0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hAnsi="Tahoma" w:eastAsia="微软雅黑" w:cstheme="minorBidi"/>
      <w:kern w:val="0"/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333333"/>
      <w:kern w:val="0"/>
      <w:sz w:val="24"/>
    </w:rPr>
  </w:style>
  <w:style w:type="character" w:customStyle="1" w:styleId="7">
    <w:name w:val="页眉 字符"/>
    <w:basedOn w:val="6"/>
    <w:link w:val="3"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F6DFDBF-4713-49A0-B229-8C293DF961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1965</Words>
  <Characters>2182</Characters>
  <Lines>18</Lines>
  <Paragraphs>5</Paragraphs>
  <TotalTime>509</TotalTime>
  <ScaleCrop>false</ScaleCrop>
  <LinksUpToDate>false</LinksUpToDate>
  <CharactersWithSpaces>2396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姜</dc:creator>
  <cp:lastModifiedBy>随风而起</cp:lastModifiedBy>
  <cp:lastPrinted>2021-06-04T07:26:00Z</cp:lastPrinted>
  <dcterms:modified xsi:type="dcterms:W3CDTF">2025-06-11T08:55:27Z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eyJoZGlkIjoiMzUyMGJjZGJkYTMxNmM2MGVkODM5NTNmZjk2YzllNDIiLCJ1c2VySWQiOiIyNzg1MzQ3NzgifQ==</vt:lpwstr>
  </property>
  <property fmtid="{D5CDD505-2E9C-101B-9397-08002B2CF9AE}" pid="3" name="KSOProductBuildVer">
    <vt:lpwstr>2052-12.1.0.21171</vt:lpwstr>
  </property>
  <property fmtid="{D5CDD505-2E9C-101B-9397-08002B2CF9AE}" pid="4" name="ICV">
    <vt:lpwstr>E4479BE80911489A9DD1E7941241884B_12</vt:lpwstr>
  </property>
</Properties>
</file>