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240" w:beforeLines="100" w:after="24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  <w:lang w:val="en-US" w:eastAsia="zh-CN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2"/>
        <w:tblW w:w="90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1134"/>
        <w:gridCol w:w="1143"/>
        <w:gridCol w:w="2515"/>
        <w:gridCol w:w="239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                                           </w:t>
            </w:r>
            <w:r>
              <w:rPr>
                <w:rFonts w:hint="eastAsia" w:ascii="仿宋_GB2312" w:hAnsi="仿宋" w:eastAsia="仿宋_GB2312"/>
                <w:kern w:val="0"/>
                <w:sz w:val="24"/>
                <w:lang w:val="en-US" w:eastAsia="zh-CN"/>
              </w:rPr>
              <w:t xml:space="preserve">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办案专项经费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23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邵阳市人事劳动争议仲裁院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40</w:t>
            </w:r>
          </w:p>
        </w:tc>
        <w:tc>
          <w:tcPr>
            <w:tcW w:w="2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18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长期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18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目标1：</w:t>
            </w: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劳动人事争议仲裁案件的按期结案率达到95%以上。</w:t>
            </w:r>
          </w:p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目标2：</w:t>
            </w:r>
            <w:r>
              <w:rPr>
                <w:rFonts w:hint="eastAsia" w:ascii="仿宋_GB2312" w:eastAsia="仿宋_GB2312"/>
                <w:kern w:val="0"/>
                <w:szCs w:val="21"/>
              </w:rPr>
              <w:t>依法依规公平公正处理市本级发生的劳动人事争议仲裁案件</w:t>
            </w: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促进劳动关系和谐发展</w:t>
            </w: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。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18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目标1：</w:t>
            </w: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劳动人事争议仲裁案件的按期结案率达到95%以上。</w:t>
            </w:r>
          </w:p>
          <w:p>
            <w:pPr>
              <w:widowControl/>
              <w:jc w:val="left"/>
              <w:rPr>
                <w:rFonts w:hint="eastAsia" w:ascii="仿宋_GB2312" w:eastAsia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目标2：</w:t>
            </w: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办案专项经费支出</w:t>
            </w: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不超过预算数。</w:t>
            </w:r>
          </w:p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目标</w:t>
            </w: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3</w:t>
            </w: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：</w:t>
            </w:r>
            <w:r>
              <w:rPr>
                <w:rFonts w:hint="eastAsia" w:ascii="仿宋_GB2312" w:eastAsia="仿宋_GB2312"/>
                <w:kern w:val="0"/>
                <w:szCs w:val="21"/>
              </w:rPr>
              <w:t>依法依规公平公正处理市本级发生的劳动人事争议仲裁案件</w:t>
            </w: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促进劳动关系和谐发展</w:t>
            </w: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。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2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23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2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3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3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2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kern w:val="0"/>
                <w:szCs w:val="21"/>
              </w:rPr>
              <w:t>劳动人事争议仲裁案件的按期结案率</w:t>
            </w:r>
          </w:p>
        </w:tc>
        <w:tc>
          <w:tcPr>
            <w:tcW w:w="23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kern w:val="0"/>
                <w:szCs w:val="21"/>
              </w:rPr>
              <w:t>95%</w:t>
            </w: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以上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3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2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3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3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2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办案专项经费支出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3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不超过预算数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3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2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39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39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2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kern w:val="0"/>
                <w:szCs w:val="21"/>
              </w:rPr>
              <w:t>依法依规公平公正处理市本级发生的劳动人事争议仲裁案件</w:t>
            </w:r>
          </w:p>
        </w:tc>
        <w:tc>
          <w:tcPr>
            <w:tcW w:w="23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促进劳动关系和谐发展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3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2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3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3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2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39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39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2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3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3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yYWE1NDE0MzNmNTJhZmE4MmMwODY5MDg4NjNmZGEifQ=="/>
  </w:docVars>
  <w:rsids>
    <w:rsidRoot w:val="17A0171D"/>
    <w:rsid w:val="17A0171D"/>
    <w:rsid w:val="1A1E0027"/>
    <w:rsid w:val="1AAB465A"/>
    <w:rsid w:val="2215592E"/>
    <w:rsid w:val="2B9F4F55"/>
    <w:rsid w:val="32DE075F"/>
    <w:rsid w:val="33532069"/>
    <w:rsid w:val="37483F65"/>
    <w:rsid w:val="4BB625C2"/>
    <w:rsid w:val="4C956C6F"/>
    <w:rsid w:val="53DB306B"/>
    <w:rsid w:val="58035E37"/>
    <w:rsid w:val="5CE61A2D"/>
    <w:rsid w:val="66BE54F2"/>
    <w:rsid w:val="6EE23E5B"/>
    <w:rsid w:val="70241B47"/>
    <w:rsid w:val="73167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398</Words>
  <Characters>408</Characters>
  <Lines>0</Lines>
  <Paragraphs>0</Paragraphs>
  <TotalTime>1</TotalTime>
  <ScaleCrop>false</ScaleCrop>
  <LinksUpToDate>false</LinksUpToDate>
  <CharactersWithSpaces>499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2020-12-09T00:45:00Z</dcterms:created>
  <dc:creator>Administrator</dc:creator>
  <cp:lastModifiedBy>A</cp:lastModifiedBy>
  <cp:lastPrinted>2020-12-30T06:11:00Z</cp:lastPrinted>
  <dcterms:modified xsi:type="dcterms:W3CDTF">2022-09-06T07:43:40Z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7E1AF74EA84C461A9DC5B437D1BBF0F7</vt:lpwstr>
  </property>
</Properties>
</file>