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eastAsia="黑体"/>
          <w:sz w:val="32"/>
          <w:szCs w:val="32"/>
          <w:lang w:val="en-US" w:eastAsia="zh-CN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  <w:lang w:val="en-US" w:eastAsia="zh-CN"/>
        </w:rPr>
        <w:t>一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6"/>
        <w:gridCol w:w="840"/>
        <w:gridCol w:w="1290"/>
        <w:gridCol w:w="2480"/>
        <w:gridCol w:w="1640"/>
        <w:gridCol w:w="10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填报单位：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中共邵阳市委网络安全和信息化委员会办公室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>（盖章）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项目资金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2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中共邵阳市委网络安全和信息化委员会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450万元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32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2021年1月-2021年12月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32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加强网上正面宣传，强化网上舆论引导，推进全市关键信息基础设施网络安全检查，维持网络安全和舆情监控应急指挥中心正常运行。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32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加强网上正面宣传，强化网上舆论引导，推进全市关键信息基础设施网络安全检查，维持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网络安全和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舆情监控应急指挥中心正常运行。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2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网络安全宣传周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1周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网评员培训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≥1次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全市网络意识形态工作培训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培训合格率95%以上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各项任务按期完成率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完成任务培训会议经费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16万元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2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为经济社会发展营造清明网络空间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明显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加大网上正面宣传弘扬社会正能量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提质升级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加大网上正面宣传弘扬社会正能量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提质升级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营造清明网络空间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不断加强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网络问政回复满意度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≥90%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/>
    <w:sectPr>
      <w:pgSz w:w="11906" w:h="16838"/>
      <w:pgMar w:top="10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00000000"/>
    <w:rsid w:val="0ACC7A98"/>
    <w:rsid w:val="742E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535</Words>
  <Characters>556</Characters>
  <Lines>0</Lines>
  <Paragraphs>0</Paragraphs>
  <TotalTime>0</TotalTime>
  <ScaleCrop>false</ScaleCrop>
  <LinksUpToDate>false</LinksUpToDate>
  <CharactersWithSpaces>569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2021-01-25T06:58:00Z</dcterms:created>
  <dc:creator>Lenovo</dc:creator>
  <cp:lastModifiedBy>A</cp:lastModifiedBy>
  <dcterms:modified xsi:type="dcterms:W3CDTF">2022-09-06T06:43:25Z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KSOSaveFontToCloudKey">
    <vt:lpwstr>288381886_btnclosed</vt:lpwstr>
  </property>
  <property fmtid="{D5CDD505-2E9C-101B-9397-08002B2CF9AE}" pid="4" name="ICV">
    <vt:lpwstr>7EE60A0CE8984CA28A3102FE72DF9B5B</vt:lpwstr>
  </property>
</Properties>
</file>