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312" w:beforeLines="100" w:after="312" w:afterLines="100" w:line="500" w:lineRule="exact"/>
        <w:ind w:firstLine="2520" w:firstLineChars="700"/>
        <w:rPr>
          <w:rFonts w:eastAsia="方正小标宋_GBK"/>
          <w:color w:val="000000"/>
          <w:kern w:val="0"/>
          <w:sz w:val="36"/>
          <w:szCs w:val="36"/>
        </w:rPr>
      </w:pPr>
      <w:r>
        <w:rPr>
          <w:rFonts w:eastAsia="方正小标宋_GBK"/>
          <w:color w:val="000000"/>
          <w:kern w:val="0"/>
          <w:sz w:val="36"/>
          <w:szCs w:val="36"/>
        </w:rPr>
        <w:t>2021年项目支出绩效目标表</w:t>
      </w:r>
    </w:p>
    <w:tbl>
      <w:tblPr>
        <w:tblStyle w:val="2"/>
        <w:tblW w:w="9032" w:type="dxa"/>
        <w:jc w:val="center"/>
        <w:tblLayout w:type="autofit"/>
        <w:tblCellMar>
          <w:top w:w="0" w:type="dxa"/>
          <w:left w:w="108" w:type="dxa"/>
          <w:bottom w:w="0" w:type="dxa"/>
          <w:right w:w="108" w:type="dxa"/>
        </w:tblCellMar>
      </w:tblPr>
      <w:tblGrid>
        <w:gridCol w:w="1843"/>
        <w:gridCol w:w="1134"/>
        <w:gridCol w:w="1143"/>
        <w:gridCol w:w="1560"/>
        <w:gridCol w:w="955"/>
        <w:gridCol w:w="736"/>
        <w:gridCol w:w="1661"/>
      </w:tblGrid>
      <w:tr>
        <w:tblPrEx>
          <w:tblCellMar>
            <w:top w:w="0" w:type="dxa"/>
            <w:left w:w="108" w:type="dxa"/>
            <w:bottom w:w="0" w:type="dxa"/>
            <w:right w:w="108" w:type="dxa"/>
          </w:tblCellMar>
        </w:tblPrEx>
        <w:trPr>
          <w:trHeight w:val="266" w:hRule="atLeast"/>
          <w:jc w:val="center"/>
        </w:trPr>
        <w:tc>
          <w:tcPr>
            <w:tcW w:w="9032" w:type="dxa"/>
            <w:gridSpan w:val="7"/>
            <w:tcBorders>
              <w:top w:val="nil"/>
              <w:left w:val="nil"/>
              <w:bottom w:val="single" w:color="auto" w:sz="4" w:space="0"/>
              <w:right w:val="nil"/>
            </w:tcBorders>
            <w:noWrap/>
            <w:vAlign w:val="center"/>
          </w:tcPr>
          <w:p>
            <w:pPr>
              <w:widowControl/>
              <w:ind w:right="120"/>
              <w:jc w:val="left"/>
              <w:rPr>
                <w:rFonts w:ascii="仿宋_GB2312" w:hAnsi="仿宋" w:eastAsia="仿宋_GB2312"/>
                <w:color w:val="000000"/>
                <w:kern w:val="0"/>
                <w:sz w:val="20"/>
                <w:szCs w:val="20"/>
              </w:rPr>
            </w:pPr>
            <w:r>
              <w:rPr>
                <w:rFonts w:hint="eastAsia" w:ascii="仿宋_GB2312" w:hAnsi="仿宋" w:eastAsia="仿宋_GB2312"/>
                <w:kern w:val="0"/>
                <w:sz w:val="20"/>
                <w:szCs w:val="20"/>
              </w:rPr>
              <w:t xml:space="preserve">填报单位：（盖章）                                            </w:t>
            </w:r>
            <w:r>
              <w:rPr>
                <w:rFonts w:hint="eastAsia" w:ascii="仿宋_GB2312" w:hAnsi="仿宋" w:eastAsia="仿宋_GB2312"/>
                <w:color w:val="000000"/>
                <w:kern w:val="0"/>
                <w:sz w:val="20"/>
                <w:szCs w:val="20"/>
              </w:rPr>
              <w:t>单位：万元</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 w:val="20"/>
                <w:szCs w:val="20"/>
              </w:rPr>
            </w:pPr>
            <w:r>
              <w:rPr>
                <w:rFonts w:hint="eastAsia" w:ascii="仿宋_GB2312" w:eastAsia="仿宋_GB2312"/>
                <w:color w:val="000000"/>
                <w:kern w:val="0"/>
                <w:sz w:val="20"/>
                <w:szCs w:val="20"/>
              </w:rPr>
              <w:t>项目支出名称</w:t>
            </w:r>
          </w:p>
        </w:tc>
        <w:tc>
          <w:tcPr>
            <w:tcW w:w="227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ascii="仿宋_GB2312" w:hAnsi="宋体" w:eastAsia="仿宋_GB2312" w:cs="仿宋_GB2312"/>
                <w:color w:val="000000"/>
                <w:kern w:val="0"/>
                <w:szCs w:val="21"/>
              </w:rPr>
              <w:t>专项办公经费</w:t>
            </w:r>
          </w:p>
        </w:tc>
        <w:tc>
          <w:tcPr>
            <w:tcW w:w="1560" w:type="dxa"/>
            <w:tcBorders>
              <w:top w:val="single" w:color="auto" w:sz="4" w:space="0"/>
              <w:left w:val="nil"/>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 w:val="20"/>
                <w:szCs w:val="20"/>
              </w:rPr>
            </w:pPr>
            <w:r>
              <w:rPr>
                <w:rFonts w:hint="eastAsia" w:ascii="仿宋_GB2312" w:eastAsia="仿宋_GB2312"/>
                <w:color w:val="000000"/>
                <w:kern w:val="0"/>
                <w:sz w:val="20"/>
                <w:szCs w:val="20"/>
              </w:rPr>
              <w:t>预算部门</w:t>
            </w:r>
          </w:p>
        </w:tc>
        <w:tc>
          <w:tcPr>
            <w:tcW w:w="3352"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邵阳市政协　</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 w:val="20"/>
                <w:szCs w:val="20"/>
              </w:rPr>
            </w:pPr>
            <w:r>
              <w:rPr>
                <w:rFonts w:hint="eastAsia" w:ascii="仿宋_GB2312" w:eastAsia="仿宋_GB2312"/>
                <w:color w:val="000000"/>
                <w:kern w:val="0"/>
                <w:sz w:val="20"/>
                <w:szCs w:val="20"/>
              </w:rPr>
              <w:t>年度本级</w:t>
            </w:r>
          </w:p>
          <w:p>
            <w:pPr>
              <w:widowControl/>
              <w:spacing w:line="260" w:lineRule="exact"/>
              <w:jc w:val="center"/>
              <w:rPr>
                <w:rFonts w:ascii="仿宋_GB2312" w:eastAsia="仿宋_GB2312"/>
                <w:color w:val="000000"/>
                <w:kern w:val="0"/>
                <w:sz w:val="20"/>
                <w:szCs w:val="20"/>
              </w:rPr>
            </w:pPr>
            <w:r>
              <w:rPr>
                <w:rFonts w:hint="eastAsia" w:ascii="仿宋_GB2312" w:eastAsia="仿宋_GB2312"/>
                <w:color w:val="000000"/>
                <w:kern w:val="0"/>
                <w:sz w:val="20"/>
                <w:szCs w:val="20"/>
              </w:rPr>
              <w:t>预算金额</w:t>
            </w:r>
          </w:p>
        </w:tc>
        <w:tc>
          <w:tcPr>
            <w:tcW w:w="227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ascii="仿宋_GB2312" w:hAnsi="宋体" w:eastAsia="仿宋_GB2312" w:cs="仿宋_GB2312"/>
                <w:color w:val="000000"/>
                <w:kern w:val="0"/>
                <w:szCs w:val="21"/>
              </w:rPr>
              <w:t>370</w:t>
            </w:r>
          </w:p>
        </w:tc>
        <w:tc>
          <w:tcPr>
            <w:tcW w:w="2515"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该项目支出上级资金</w:t>
            </w:r>
          </w:p>
        </w:tc>
        <w:tc>
          <w:tcPr>
            <w:tcW w:w="2397"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（分级填报）</w:t>
            </w:r>
          </w:p>
        </w:tc>
      </w:tr>
      <w:tr>
        <w:tblPrEx>
          <w:tblCellMar>
            <w:top w:w="0" w:type="dxa"/>
            <w:left w:w="108" w:type="dxa"/>
            <w:bottom w:w="0" w:type="dxa"/>
            <w:right w:w="108" w:type="dxa"/>
          </w:tblCellMar>
        </w:tblPrEx>
        <w:trPr>
          <w:trHeight w:val="567"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 w:val="20"/>
                <w:szCs w:val="20"/>
              </w:rPr>
            </w:pPr>
            <w:r>
              <w:rPr>
                <w:rFonts w:hint="eastAsia" w:ascii="仿宋_GB2312" w:eastAsia="仿宋_GB2312"/>
                <w:color w:val="000000"/>
                <w:kern w:val="0"/>
                <w:sz w:val="20"/>
                <w:szCs w:val="20"/>
              </w:rPr>
              <w:t>项目支出实施期</w:t>
            </w:r>
          </w:p>
        </w:tc>
        <w:tc>
          <w:tcPr>
            <w:tcW w:w="7189" w:type="dxa"/>
            <w:gridSpan w:val="6"/>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2021年1月-2021年12月底</w:t>
            </w:r>
          </w:p>
        </w:tc>
      </w:tr>
      <w:tr>
        <w:tblPrEx>
          <w:tblCellMar>
            <w:top w:w="0" w:type="dxa"/>
            <w:left w:w="108" w:type="dxa"/>
            <w:bottom w:w="0" w:type="dxa"/>
            <w:right w:w="108" w:type="dxa"/>
          </w:tblCellMar>
        </w:tblPrEx>
        <w:trPr>
          <w:trHeight w:val="511"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 w:val="20"/>
                <w:szCs w:val="20"/>
              </w:rPr>
            </w:pPr>
            <w:r>
              <w:rPr>
                <w:rFonts w:hint="eastAsia" w:ascii="仿宋_GB2312" w:eastAsia="仿宋_GB2312"/>
                <w:color w:val="000000"/>
                <w:kern w:val="0"/>
                <w:sz w:val="20"/>
                <w:szCs w:val="20"/>
              </w:rPr>
              <w:t>实施期绩效目标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jc w:val="left"/>
              <w:rPr>
                <w:rFonts w:ascii="仿宋_GB2312" w:eastAsia="仿宋_GB2312"/>
                <w:color w:val="000000"/>
                <w:kern w:val="0"/>
                <w:sz w:val="20"/>
                <w:szCs w:val="20"/>
              </w:rPr>
            </w:pPr>
            <w:r>
              <w:rPr>
                <w:rFonts w:ascii="仿宋_GB2312" w:hAnsi="宋体" w:eastAsia="仿宋_GB2312" w:cs="仿宋_GB2312"/>
                <w:color w:val="000000"/>
                <w:kern w:val="0"/>
                <w:szCs w:val="21"/>
              </w:rPr>
              <w:t>委员履职能力不断提升，围绕我市改革发展的重要问题和人民群众普遍关注的热点难点问题重要问题等开展协商。</w:t>
            </w:r>
          </w:p>
        </w:tc>
      </w:tr>
      <w:tr>
        <w:tblPrEx>
          <w:tblCellMar>
            <w:top w:w="0" w:type="dxa"/>
            <w:left w:w="108" w:type="dxa"/>
            <w:bottom w:w="0" w:type="dxa"/>
            <w:right w:w="108" w:type="dxa"/>
          </w:tblCellMar>
        </w:tblPrEx>
        <w:trPr>
          <w:trHeight w:val="419" w:hRule="atLeast"/>
          <w:jc w:val="center"/>
        </w:trPr>
        <w:tc>
          <w:tcPr>
            <w:tcW w:w="1843" w:type="dxa"/>
            <w:tcBorders>
              <w:top w:val="single" w:color="auto" w:sz="4" w:space="0"/>
              <w:left w:val="single" w:color="auto" w:sz="4" w:space="0"/>
              <w:bottom w:val="single" w:color="auto" w:sz="4" w:space="0"/>
              <w:right w:val="single" w:color="auto" w:sz="4" w:space="0"/>
            </w:tcBorders>
            <w:vAlign w:val="center"/>
          </w:tcPr>
          <w:p>
            <w:pPr>
              <w:widowControl/>
              <w:spacing w:line="260" w:lineRule="exact"/>
              <w:jc w:val="center"/>
              <w:rPr>
                <w:rFonts w:ascii="仿宋_GB2312" w:eastAsia="仿宋_GB2312"/>
                <w:color w:val="000000"/>
                <w:kern w:val="0"/>
                <w:sz w:val="20"/>
                <w:szCs w:val="20"/>
              </w:rPr>
            </w:pPr>
            <w:r>
              <w:rPr>
                <w:rFonts w:hint="eastAsia" w:ascii="仿宋_GB2312" w:eastAsia="仿宋_GB2312"/>
                <w:color w:val="000000"/>
                <w:kern w:val="0"/>
                <w:sz w:val="20"/>
                <w:szCs w:val="20"/>
              </w:rPr>
              <w:t>本年度绩效目标</w:t>
            </w:r>
          </w:p>
        </w:tc>
        <w:tc>
          <w:tcPr>
            <w:tcW w:w="7189" w:type="dxa"/>
            <w:gridSpan w:val="6"/>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仿宋_GB2312"/>
                <w:color w:val="000000"/>
                <w:kern w:val="0"/>
                <w:szCs w:val="21"/>
              </w:rPr>
            </w:pPr>
            <w:r>
              <w:rPr>
                <w:rFonts w:hint="eastAsia" w:ascii="仿宋_GB2312" w:hAnsi="宋体" w:eastAsia="仿宋_GB2312" w:cs="仿宋_GB2312"/>
                <w:color w:val="000000"/>
                <w:kern w:val="0"/>
                <w:szCs w:val="21"/>
              </w:rPr>
              <w:t>认真贯彻政治协商、参政议政、民主监督的职能，对</w:t>
            </w:r>
            <w:r>
              <w:rPr>
                <w:rFonts w:ascii="仿宋_GB2312" w:hAnsi="宋体" w:eastAsia="仿宋_GB2312" w:cs="仿宋_GB2312"/>
                <w:color w:val="000000"/>
                <w:kern w:val="0"/>
                <w:szCs w:val="21"/>
              </w:rPr>
              <w:t>大政方针以及政治、经济、文化和社会生活中的重要问题在决策之前进行协商和就决策执行过程中的重要问题进行协商。反映社情民意、各种协商例会，各种专题议政会、专题研讨会、专题调研、委员视察、考察、政协委员参与中共党委与政府统一组织的检查和巡视。</w:t>
            </w:r>
          </w:p>
          <w:p>
            <w:pPr>
              <w:widowControl/>
              <w:jc w:val="center"/>
              <w:rPr>
                <w:rFonts w:asciiTheme="majorEastAsia" w:hAnsiTheme="majorEastAsia" w:eastAsiaTheme="majorEastAsia"/>
                <w:color w:val="000000"/>
                <w:kern w:val="0"/>
                <w:sz w:val="20"/>
                <w:szCs w:val="20"/>
              </w:rPr>
            </w:pPr>
          </w:p>
        </w:tc>
      </w:tr>
      <w:tr>
        <w:tblPrEx>
          <w:tblCellMar>
            <w:top w:w="0" w:type="dxa"/>
            <w:left w:w="108" w:type="dxa"/>
            <w:bottom w:w="0" w:type="dxa"/>
            <w:right w:w="108" w:type="dxa"/>
          </w:tblCellMar>
        </w:tblPrEx>
        <w:trPr>
          <w:trHeight w:val="397" w:hRule="atLeast"/>
          <w:jc w:val="center"/>
        </w:trPr>
        <w:tc>
          <w:tcPr>
            <w:tcW w:w="1843" w:type="dxa"/>
            <w:vMerge w:val="restart"/>
            <w:tcBorders>
              <w:top w:val="nil"/>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本年度</w:t>
            </w:r>
          </w:p>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绩效指标</w:t>
            </w:r>
          </w:p>
        </w:tc>
        <w:tc>
          <w:tcPr>
            <w:tcW w:w="1134"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一级指标</w:t>
            </w:r>
          </w:p>
        </w:tc>
        <w:tc>
          <w:tcPr>
            <w:tcW w:w="1143"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二级指标</w:t>
            </w:r>
          </w:p>
        </w:tc>
        <w:tc>
          <w:tcPr>
            <w:tcW w:w="1560"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三级指标</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指标值及单位</w:t>
            </w:r>
          </w:p>
        </w:tc>
        <w:tc>
          <w:tcPr>
            <w:tcW w:w="1661" w:type="dxa"/>
            <w:tcBorders>
              <w:top w:val="single" w:color="auto" w:sz="4" w:space="0"/>
              <w:left w:val="nil"/>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绩效标准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产出指标</w:t>
            </w: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数量指标</w:t>
            </w: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　委员集中培训率</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widowControl/>
              <w:jc w:val="center"/>
              <w:textAlignment w:val="top"/>
              <w:rPr>
                <w:rFonts w:ascii="仿宋_GB2312" w:eastAsia="仿宋_GB2312"/>
                <w:color w:val="000000"/>
                <w:kern w:val="0"/>
                <w:sz w:val="20"/>
                <w:szCs w:val="20"/>
              </w:rPr>
            </w:pPr>
            <w:r>
              <w:rPr>
                <w:rFonts w:hint="eastAsia" w:ascii="仿宋_GB2312" w:hAnsi="宋体" w:eastAsia="仿宋_GB2312" w:cs="仿宋_GB2312"/>
                <w:color w:val="000000"/>
                <w:kern w:val="0"/>
                <w:szCs w:val="21"/>
              </w:rPr>
              <w:t>行业标准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办理重点提案6-8个</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widowControl/>
              <w:jc w:val="center"/>
              <w:textAlignment w:val="top"/>
              <w:rPr>
                <w:rFonts w:ascii="仿宋_GB2312" w:eastAsia="仿宋_GB2312"/>
                <w:color w:val="000000"/>
                <w:kern w:val="0"/>
                <w:sz w:val="20"/>
                <w:szCs w:val="20"/>
              </w:rPr>
            </w:pPr>
            <w:r>
              <w:rPr>
                <w:rFonts w:hint="eastAsia" w:ascii="仿宋_GB2312" w:hAnsi="宋体" w:eastAsia="仿宋_GB2312" w:cs="仿宋_GB2312"/>
                <w:color w:val="000000"/>
                <w:kern w:val="0"/>
                <w:szCs w:val="21"/>
              </w:rPr>
              <w:t>计划标准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质量指标</w:t>
            </w: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楹联写贯穿全年</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widowControl/>
              <w:jc w:val="center"/>
              <w:textAlignment w:val="top"/>
              <w:rPr>
                <w:rFonts w:ascii="仿宋_GB2312" w:eastAsia="仿宋_GB2312"/>
                <w:color w:val="000000"/>
                <w:kern w:val="0"/>
                <w:sz w:val="20"/>
                <w:szCs w:val="20"/>
              </w:rPr>
            </w:pPr>
            <w:r>
              <w:rPr>
                <w:rFonts w:hint="eastAsia" w:ascii="仿宋_GB2312" w:hAnsi="宋体" w:eastAsia="仿宋_GB2312" w:cs="仿宋_GB2312"/>
                <w:color w:val="000000"/>
                <w:kern w:val="0"/>
                <w:szCs w:val="21"/>
              </w:rPr>
              <w:t>行业标准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开展2次委员视察</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widowControl/>
              <w:jc w:val="center"/>
              <w:textAlignment w:val="top"/>
              <w:rPr>
                <w:rFonts w:ascii="仿宋_GB2312" w:eastAsia="仿宋_GB2312"/>
                <w:color w:val="000000"/>
                <w:kern w:val="0"/>
                <w:sz w:val="20"/>
                <w:szCs w:val="20"/>
              </w:rPr>
            </w:pPr>
            <w:r>
              <w:rPr>
                <w:rFonts w:hint="eastAsia" w:ascii="仿宋_GB2312" w:hAnsi="宋体" w:eastAsia="仿宋_GB2312" w:cs="仿宋_GB2312"/>
                <w:color w:val="000000"/>
                <w:kern w:val="0"/>
                <w:szCs w:val="21"/>
              </w:rPr>
              <w:t>计划标准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43"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时效指标</w:t>
            </w: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分界别开展2-6次调研活动</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widowControl/>
              <w:jc w:val="center"/>
              <w:textAlignment w:val="top"/>
              <w:rPr>
                <w:rFonts w:ascii="仿宋_GB2312" w:eastAsia="仿宋_GB2312"/>
                <w:color w:val="000000"/>
                <w:kern w:val="0"/>
                <w:sz w:val="20"/>
                <w:szCs w:val="20"/>
              </w:rPr>
            </w:pPr>
            <w:r>
              <w:rPr>
                <w:rFonts w:hint="eastAsia" w:ascii="仿宋_GB2312" w:hAnsi="宋体" w:eastAsia="仿宋_GB2312" w:cs="仿宋_GB2312"/>
                <w:color w:val="000000"/>
                <w:kern w:val="0"/>
                <w:szCs w:val="21"/>
              </w:rPr>
              <w:t>计划标准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43"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围绕我市改革发展的重要问题和人民群众普遍关注的热点难点问题开展1-2次专题调研</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widowControl/>
              <w:jc w:val="center"/>
              <w:textAlignment w:val="top"/>
              <w:rPr>
                <w:rFonts w:ascii="仿宋_GB2312" w:eastAsia="仿宋_GB2312"/>
                <w:color w:val="000000"/>
                <w:kern w:val="0"/>
                <w:sz w:val="20"/>
                <w:szCs w:val="20"/>
              </w:rPr>
            </w:pPr>
            <w:r>
              <w:rPr>
                <w:rFonts w:hint="eastAsia" w:ascii="仿宋_GB2312" w:hAnsi="宋体" w:eastAsia="仿宋_GB2312" w:cs="仿宋_GB2312"/>
                <w:color w:val="000000"/>
                <w:kern w:val="0"/>
                <w:szCs w:val="21"/>
              </w:rPr>
              <w:t>行业标准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成本指标</w:t>
            </w: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召开8-12次常委会</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widowControl/>
              <w:jc w:val="center"/>
              <w:textAlignment w:val="top"/>
              <w:rPr>
                <w:rFonts w:ascii="仿宋_GB2312" w:eastAsia="仿宋_GB2312"/>
                <w:color w:val="000000"/>
                <w:kern w:val="0"/>
                <w:sz w:val="20"/>
                <w:szCs w:val="20"/>
              </w:rPr>
            </w:pPr>
            <w:r>
              <w:rPr>
                <w:rFonts w:hint="eastAsia" w:ascii="仿宋_GB2312" w:hAnsi="宋体" w:eastAsia="仿宋_GB2312" w:cs="仿宋_GB2312"/>
                <w:color w:val="000000"/>
                <w:kern w:val="0"/>
                <w:szCs w:val="21"/>
              </w:rPr>
              <w:t>计划标准</w:t>
            </w:r>
          </w:p>
        </w:tc>
      </w:tr>
      <w:tr>
        <w:tblPrEx>
          <w:tblCellMar>
            <w:top w:w="0" w:type="dxa"/>
            <w:left w:w="108" w:type="dxa"/>
            <w:bottom w:w="0" w:type="dxa"/>
            <w:right w:w="108" w:type="dxa"/>
          </w:tblCellMar>
        </w:tblPrEx>
        <w:trPr>
          <w:trHeight w:val="36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效益指标</w:t>
            </w:r>
          </w:p>
        </w:tc>
        <w:tc>
          <w:tcPr>
            <w:tcW w:w="1143" w:type="dxa"/>
            <w:vMerge w:val="restart"/>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经济效益指标</w:t>
            </w:r>
          </w:p>
        </w:tc>
        <w:tc>
          <w:tcPr>
            <w:tcW w:w="1560" w:type="dxa"/>
            <w:tcBorders>
              <w:top w:val="single" w:color="auto" w:sz="4" w:space="0"/>
              <w:left w:val="nil"/>
              <w:bottom w:val="single" w:color="auto" w:sz="4" w:space="0"/>
              <w:right w:val="single" w:color="000000"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　</w:t>
            </w:r>
            <w:r>
              <w:rPr>
                <w:rStyle w:val="4"/>
                <w:rFonts w:hAnsi="宋体"/>
              </w:rPr>
              <w:t>培训合格率</w:t>
            </w:r>
          </w:p>
        </w:tc>
        <w:tc>
          <w:tcPr>
            <w:tcW w:w="1691" w:type="dxa"/>
            <w:gridSpan w:val="2"/>
            <w:tcBorders>
              <w:top w:val="single" w:color="auto" w:sz="4" w:space="0"/>
              <w:left w:val="nil"/>
              <w:bottom w:val="single" w:color="auto" w:sz="4" w:space="0"/>
              <w:right w:val="single" w:color="000000"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000000" w:sz="4" w:space="0"/>
            </w:tcBorders>
          </w:tcPr>
          <w:p>
            <w:pPr>
              <w:jc w:val="center"/>
              <w:rPr>
                <w:rFonts w:ascii="仿宋_GB2312" w:eastAsia="仿宋_GB2312"/>
                <w:color w:val="000000"/>
                <w:kern w:val="0"/>
                <w:sz w:val="20"/>
                <w:szCs w:val="20"/>
              </w:rPr>
            </w:pPr>
            <w:r>
              <w:rPr>
                <w:rFonts w:hint="eastAsia" w:ascii="仿宋_GB2312" w:eastAsia="仿宋_GB2312"/>
                <w:color w:val="000000"/>
                <w:kern w:val="0"/>
                <w:sz w:val="20"/>
                <w:szCs w:val="20"/>
              </w:rPr>
              <w:t>行业标准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 w:val="20"/>
                <w:szCs w:val="20"/>
              </w:rPr>
            </w:pPr>
          </w:p>
        </w:tc>
        <w:tc>
          <w:tcPr>
            <w:tcW w:w="1143"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 w:val="20"/>
                <w:szCs w:val="20"/>
              </w:rPr>
            </w:pP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下拨经费符合政策规定</w:t>
            </w:r>
          </w:p>
        </w:tc>
        <w:tc>
          <w:tcPr>
            <w:tcW w:w="1691" w:type="dxa"/>
            <w:gridSpan w:val="2"/>
            <w:tcBorders>
              <w:top w:val="single" w:color="auto" w:sz="4" w:space="0"/>
              <w:left w:val="nil"/>
              <w:bottom w:val="single" w:color="auto" w:sz="4" w:space="0"/>
              <w:right w:val="single" w:color="000000"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000000" w:sz="4" w:space="0"/>
            </w:tcBorders>
          </w:tcPr>
          <w:p>
            <w:pPr>
              <w:jc w:val="center"/>
              <w:rPr>
                <w:rFonts w:ascii="仿宋_GB2312" w:eastAsia="仿宋_GB2312"/>
                <w:color w:val="000000"/>
                <w:kern w:val="0"/>
                <w:sz w:val="20"/>
                <w:szCs w:val="20"/>
              </w:rPr>
            </w:pPr>
            <w:r>
              <w:rPr>
                <w:rFonts w:hint="eastAsia" w:ascii="仿宋_GB2312" w:eastAsia="仿宋_GB2312"/>
                <w:color w:val="000000"/>
                <w:kern w:val="0"/>
                <w:sz w:val="20"/>
                <w:szCs w:val="20"/>
              </w:rPr>
              <w:t>其他标准</w:t>
            </w:r>
          </w:p>
        </w:tc>
      </w:tr>
      <w:tr>
        <w:tblPrEx>
          <w:tblCellMar>
            <w:top w:w="0" w:type="dxa"/>
            <w:left w:w="108" w:type="dxa"/>
            <w:bottom w:w="0" w:type="dxa"/>
            <w:right w:w="108" w:type="dxa"/>
          </w:tblCellMar>
        </w:tblPrEx>
        <w:trPr>
          <w:trHeight w:val="90"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 w:val="20"/>
                <w:szCs w:val="20"/>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社会效益指标</w:t>
            </w: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完成年度计划安排</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　12月31日前</w:t>
            </w:r>
          </w:p>
        </w:tc>
        <w:tc>
          <w:tcPr>
            <w:tcW w:w="1661" w:type="dxa"/>
            <w:tcBorders>
              <w:top w:val="single" w:color="auto" w:sz="4" w:space="0"/>
              <w:left w:val="nil"/>
              <w:bottom w:val="single" w:color="auto" w:sz="4" w:space="0"/>
              <w:right w:val="single" w:color="auto" w:sz="4" w:space="0"/>
            </w:tcBorders>
          </w:tcPr>
          <w:p>
            <w:pPr>
              <w:jc w:val="center"/>
              <w:rPr>
                <w:rFonts w:ascii="仿宋_GB2312" w:eastAsia="仿宋_GB2312"/>
                <w:color w:val="000000"/>
                <w:kern w:val="0"/>
                <w:sz w:val="20"/>
                <w:szCs w:val="20"/>
              </w:rPr>
            </w:pPr>
            <w:r>
              <w:rPr>
                <w:rFonts w:hint="eastAsia" w:ascii="仿宋_GB2312" w:eastAsia="仿宋_GB2312"/>
                <w:color w:val="000000"/>
                <w:kern w:val="0"/>
                <w:sz w:val="20"/>
                <w:szCs w:val="20"/>
              </w:rPr>
              <w:t>计划标准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 w:val="20"/>
                <w:szCs w:val="20"/>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生态效益指标</w:t>
            </w: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所有支出不超出预算安排　</w:t>
            </w:r>
          </w:p>
        </w:tc>
        <w:tc>
          <w:tcPr>
            <w:tcW w:w="1691" w:type="dxa"/>
            <w:gridSpan w:val="2"/>
            <w:tcBorders>
              <w:top w:val="single" w:color="auto" w:sz="4" w:space="0"/>
              <w:left w:val="nil"/>
              <w:bottom w:val="single" w:color="auto" w:sz="4" w:space="0"/>
              <w:right w:val="single" w:color="auto" w:sz="4" w:space="0"/>
            </w:tcBorders>
            <w:vAlign w:val="center"/>
          </w:tcPr>
          <w:p>
            <w:pPr>
              <w:widowControl/>
              <w:jc w:val="center"/>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≤370万元　</w:t>
            </w:r>
          </w:p>
        </w:tc>
        <w:tc>
          <w:tcPr>
            <w:tcW w:w="1661" w:type="dxa"/>
            <w:tcBorders>
              <w:top w:val="single" w:color="auto" w:sz="4" w:space="0"/>
              <w:left w:val="nil"/>
              <w:bottom w:val="single" w:color="auto" w:sz="4" w:space="0"/>
              <w:right w:val="single" w:color="auto" w:sz="4" w:space="0"/>
            </w:tcBorders>
          </w:tcPr>
          <w:p>
            <w:pPr>
              <w:jc w:val="center"/>
              <w:rPr>
                <w:rFonts w:ascii="仿宋_GB2312" w:eastAsia="仿宋_GB2312"/>
                <w:color w:val="000000"/>
                <w:kern w:val="0"/>
                <w:sz w:val="20"/>
                <w:szCs w:val="20"/>
              </w:rPr>
            </w:pPr>
            <w:r>
              <w:rPr>
                <w:rFonts w:hint="eastAsia" w:ascii="仿宋_GB2312" w:eastAsia="仿宋_GB2312"/>
                <w:color w:val="000000"/>
                <w:kern w:val="0"/>
                <w:sz w:val="20"/>
                <w:szCs w:val="20"/>
              </w:rPr>
              <w:t>其他标准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 w:val="20"/>
                <w:szCs w:val="20"/>
              </w:rPr>
            </w:pPr>
          </w:p>
        </w:tc>
        <w:tc>
          <w:tcPr>
            <w:tcW w:w="1143" w:type="dxa"/>
            <w:tcBorders>
              <w:top w:val="single" w:color="auto" w:sz="4" w:space="0"/>
              <w:left w:val="single" w:color="auto" w:sz="4" w:space="0"/>
              <w:bottom w:val="single" w:color="000000" w:sz="4" w:space="0"/>
              <w:right w:val="single" w:color="000000"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可持续影响指标</w:t>
            </w:r>
          </w:p>
        </w:tc>
        <w:tc>
          <w:tcPr>
            <w:tcW w:w="1560" w:type="dxa"/>
            <w:tcBorders>
              <w:top w:val="single" w:color="auto" w:sz="4" w:space="0"/>
              <w:left w:val="nil"/>
              <w:bottom w:val="single" w:color="auto" w:sz="4" w:space="0"/>
              <w:right w:val="single" w:color="000000" w:sz="4" w:space="0"/>
            </w:tcBorders>
            <w:vAlign w:val="center"/>
          </w:tcPr>
          <w:p>
            <w:pPr>
              <w:jc w:val="left"/>
              <w:rPr>
                <w:rFonts w:ascii="仿宋_GB2312" w:eastAsia="仿宋_GB2312"/>
                <w:color w:val="000000"/>
                <w:kern w:val="0"/>
                <w:sz w:val="20"/>
                <w:szCs w:val="20"/>
              </w:rPr>
            </w:pPr>
            <w:r>
              <w:rPr>
                <w:rFonts w:hint="eastAsia" w:ascii="仿宋_GB2312" w:eastAsia="仿宋_GB2312"/>
                <w:color w:val="000000"/>
                <w:kern w:val="0"/>
                <w:sz w:val="20"/>
                <w:szCs w:val="20"/>
              </w:rPr>
              <w:t>提高对邵阳农产品认知度</w:t>
            </w:r>
          </w:p>
        </w:tc>
        <w:tc>
          <w:tcPr>
            <w:tcW w:w="1691" w:type="dxa"/>
            <w:gridSpan w:val="2"/>
            <w:tcBorders>
              <w:top w:val="single" w:color="auto" w:sz="4" w:space="0"/>
              <w:left w:val="nil"/>
              <w:bottom w:val="single" w:color="auto" w:sz="4" w:space="0"/>
              <w:right w:val="single" w:color="000000" w:sz="4" w:space="0"/>
            </w:tcBorders>
            <w:vAlign w:val="center"/>
          </w:tcPr>
          <w:p>
            <w:pPr>
              <w:jc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000000" w:sz="4" w:space="0"/>
            </w:tcBorders>
          </w:tcPr>
          <w:p>
            <w:pPr>
              <w:jc w:val="center"/>
              <w:rPr>
                <w:rFonts w:ascii="仿宋_GB2312" w:eastAsia="仿宋_GB2312"/>
                <w:color w:val="000000"/>
                <w:kern w:val="0"/>
                <w:sz w:val="20"/>
                <w:szCs w:val="20"/>
              </w:rPr>
            </w:pPr>
            <w:r>
              <w:rPr>
                <w:rFonts w:hint="eastAsia" w:ascii="仿宋_GB2312" w:eastAsia="仿宋_GB2312"/>
                <w:color w:val="000000"/>
                <w:kern w:val="0"/>
                <w:sz w:val="20"/>
                <w:szCs w:val="20"/>
              </w:rPr>
              <w:t>行业标准</w:t>
            </w:r>
          </w:p>
        </w:tc>
      </w:tr>
      <w:tr>
        <w:tblPrEx>
          <w:tblCellMar>
            <w:top w:w="0" w:type="dxa"/>
            <w:left w:w="108" w:type="dxa"/>
            <w:bottom w:w="0" w:type="dxa"/>
            <w:right w:w="108" w:type="dxa"/>
          </w:tblCellMar>
        </w:tblPrEx>
        <w:trPr>
          <w:trHeight w:val="397" w:hRule="atLeast"/>
          <w:jc w:val="center"/>
        </w:trPr>
        <w:tc>
          <w:tcPr>
            <w:tcW w:w="1843"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eastAsia="仿宋_GB2312"/>
                <w:color w:val="000000"/>
                <w:kern w:val="0"/>
                <w:sz w:val="20"/>
                <w:szCs w:val="20"/>
              </w:rPr>
            </w:pPr>
          </w:p>
        </w:tc>
        <w:tc>
          <w:tcPr>
            <w:tcW w:w="113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仿宋_GB2312" w:eastAsia="仿宋_GB2312"/>
                <w:color w:val="000000"/>
                <w:kern w:val="0"/>
                <w:sz w:val="20"/>
                <w:szCs w:val="20"/>
              </w:rPr>
            </w:pPr>
          </w:p>
        </w:tc>
        <w:tc>
          <w:tcPr>
            <w:tcW w:w="114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color w:val="000000"/>
                <w:kern w:val="0"/>
                <w:sz w:val="20"/>
                <w:szCs w:val="20"/>
              </w:rPr>
            </w:pPr>
            <w:r>
              <w:rPr>
                <w:rFonts w:hint="eastAsia" w:ascii="仿宋_GB2312" w:eastAsia="仿宋_GB2312"/>
                <w:color w:val="000000"/>
                <w:kern w:val="0"/>
                <w:sz w:val="20"/>
                <w:szCs w:val="20"/>
              </w:rPr>
              <w:t>社会公众或服务对象满意度指标</w:t>
            </w:r>
          </w:p>
        </w:tc>
        <w:tc>
          <w:tcPr>
            <w:tcW w:w="1560" w:type="dxa"/>
            <w:tcBorders>
              <w:top w:val="single" w:color="auto" w:sz="4" w:space="0"/>
              <w:left w:val="nil"/>
              <w:bottom w:val="single" w:color="auto" w:sz="4" w:space="0"/>
              <w:right w:val="single" w:color="auto" w:sz="4" w:space="0"/>
            </w:tcBorders>
            <w:vAlign w:val="center"/>
          </w:tcPr>
          <w:p>
            <w:pPr>
              <w:widowControl/>
              <w:jc w:val="left"/>
              <w:textAlignment w:val="center"/>
              <w:rPr>
                <w:rFonts w:ascii="仿宋_GB2312" w:eastAsia="仿宋_GB2312"/>
                <w:color w:val="000000"/>
                <w:kern w:val="0"/>
                <w:sz w:val="20"/>
                <w:szCs w:val="20"/>
              </w:rPr>
            </w:pPr>
            <w:r>
              <w:rPr>
                <w:rFonts w:ascii="仿宋_GB2312" w:hAnsi="宋体" w:eastAsia="仿宋_GB2312" w:cs="仿宋_GB2312"/>
                <w:color w:val="000000"/>
                <w:kern w:val="0"/>
                <w:szCs w:val="21"/>
              </w:rPr>
              <w:t>营造各民族共同发展的良好氛围，重点民生问题得到不断解决</w:t>
            </w:r>
          </w:p>
        </w:tc>
        <w:tc>
          <w:tcPr>
            <w:tcW w:w="1691" w:type="dxa"/>
            <w:gridSpan w:val="2"/>
            <w:tcBorders>
              <w:top w:val="single" w:color="auto" w:sz="4" w:space="0"/>
              <w:left w:val="nil"/>
              <w:bottom w:val="single" w:color="auto" w:sz="4" w:space="0"/>
              <w:right w:val="single" w:color="auto" w:sz="4" w:space="0"/>
            </w:tcBorders>
            <w:vAlign w:val="center"/>
          </w:tcPr>
          <w:p>
            <w:pPr>
              <w:jc w:val="center"/>
              <w:rPr>
                <w:rFonts w:ascii="仿宋_GB2312" w:eastAsia="仿宋_GB2312"/>
                <w:color w:val="000000"/>
                <w:kern w:val="0"/>
                <w:sz w:val="20"/>
                <w:szCs w:val="20"/>
              </w:rPr>
            </w:pPr>
            <w:r>
              <w:rPr>
                <w:rFonts w:ascii="仿宋_GB2312" w:hAnsi="宋体" w:eastAsia="仿宋_GB2312" w:cs="仿宋_GB2312"/>
                <w:color w:val="000000"/>
                <w:kern w:val="0"/>
                <w:szCs w:val="21"/>
              </w:rPr>
              <w:t>100%</w:t>
            </w:r>
          </w:p>
        </w:tc>
        <w:tc>
          <w:tcPr>
            <w:tcW w:w="1661" w:type="dxa"/>
            <w:tcBorders>
              <w:top w:val="single" w:color="auto" w:sz="4" w:space="0"/>
              <w:left w:val="nil"/>
              <w:bottom w:val="single" w:color="auto" w:sz="4" w:space="0"/>
              <w:right w:val="single" w:color="auto" w:sz="4" w:space="0"/>
            </w:tcBorders>
          </w:tcPr>
          <w:p>
            <w:pPr>
              <w:jc w:val="center"/>
              <w:rPr>
                <w:rFonts w:ascii="仿宋_GB2312" w:eastAsia="仿宋_GB2312"/>
                <w:color w:val="000000"/>
                <w:kern w:val="0"/>
                <w:sz w:val="20"/>
                <w:szCs w:val="20"/>
              </w:rPr>
            </w:pPr>
            <w:r>
              <w:rPr>
                <w:rFonts w:hint="eastAsia" w:ascii="仿宋_GB2312" w:eastAsia="仿宋_GB2312"/>
                <w:color w:val="000000"/>
                <w:kern w:val="0"/>
                <w:sz w:val="20"/>
                <w:szCs w:val="20"/>
              </w:rPr>
              <w:t>历史标准</w:t>
            </w:r>
          </w:p>
        </w:tc>
      </w:tr>
    </w:tbl>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p>
    <w:p>
      <w:pPr>
        <w:widowControl/>
        <w:tabs>
          <w:tab w:val="left" w:pos="1333"/>
          <w:tab w:val="left" w:pos="3793"/>
          <w:tab w:val="left" w:pos="5853"/>
        </w:tabs>
        <w:jc w:val="left"/>
        <w:rPr>
          <w:rFonts w:ascii="仿宋_GB2312" w:eastAsia="仿宋_GB2312"/>
          <w:kern w:val="0"/>
          <w:szCs w:val="21"/>
        </w:rPr>
      </w:pPr>
      <w:r>
        <w:rPr>
          <w:rFonts w:hint="eastAsia" w:ascii="仿宋_GB2312" w:eastAsia="仿宋_GB2312"/>
          <w:kern w:val="0"/>
          <w:szCs w:val="21"/>
        </w:rPr>
        <w:t>填表人：唐义文  联系电话：15180901815 填报日期： 2020.12.30 单位负责人签字：</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yYWE1NDE0MzNmNTJhZmE4MmMwODY5MDg4NjNmZGEifQ=="/>
  </w:docVars>
  <w:rsids>
    <w:rsidRoot w:val="17982F9A"/>
    <w:rsid w:val="10D820B6"/>
    <w:rsid w:val="17982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font41"/>
    <w:basedOn w:val="3"/>
    <w:qFormat/>
    <w:uiPriority w:val="0"/>
    <w:rPr>
      <w:rFonts w:hint="default" w:ascii="仿宋_GB2312" w:eastAsia="仿宋_GB2312" w:cs="仿宋_GB2312"/>
      <w:color w:val="000000"/>
      <w:sz w:val="21"/>
      <w:szCs w:val="21"/>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639</Words>
  <Characters>717</Characters>
  <Lines>0</Lines>
  <Paragraphs>0</Paragraphs>
  <TotalTime>1</TotalTime>
  <ScaleCrop>false</ScaleCrop>
  <LinksUpToDate>false</LinksUpToDate>
  <CharactersWithSpaces>772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2022-09-06T02:41:00Z</dcterms:created>
  <dc:creator>A</dc:creator>
  <cp:lastModifiedBy>A</cp:lastModifiedBy>
  <dcterms:modified xsi:type="dcterms:W3CDTF">2022-09-06T02:44:15Z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4697E2C6FC0947808A28E1F8DDDA1F30</vt:lpwstr>
  </property>
</Properties>
</file>