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</w:rPr>
        <w:t>邵阳市本级“三公”经费预算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经市财政局汇总，邵阳市本级部门，包括市级行政单位（含参照公务员法管理的事业单位）、事业单位和其他单位当年安排的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6721.66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万元，其中，因公出国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87.6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万元，公务接待费2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017.99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万元，公务用车购置及运行维护费4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616.07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万元（其中：公务用车购置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804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公务用车运行费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812.07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万元）。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年市本级“三公”经费预算汇总数较上年下降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850.96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万元，其中：因公出国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万元，公务接待费减少8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98.92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万元，公务用车购置费增加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万元，公务用车运行费减少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96.74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公务用车购置费增加是因为公车平台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和市直执法执勤车辆更新的需要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，但“三公”经费总量做到了只减不增，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市认真贯彻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落实中央、省和市委市政府厉行节约等各项规定和要求，严格控制行政成本，大力压缩“三公”经费开支，从严从紧编制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“三公”经费预算。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rPr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0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61</Words>
  <Characters>348</Characters>
  <Lines>2</Lines>
  <Paragraphs>1</Paragraphs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2017-12-05T08:41:00Z</dcterms:created>
  <dc:creator>User</dc:creator>
  <cp:lastModifiedBy>Administrator</cp:lastModifiedBy>
  <cp:lastPrinted>2020-01-03T03:19:00Z</cp:lastPrinted>
  <dcterms:modified xsi:type="dcterms:W3CDTF">2021-01-01T11:55:27Z</dcterms:modified>
  <dc:title>2021邵阳市本级“三公”经费预算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