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125"/>
          <w:tab w:val="left" w:pos="17706"/>
        </w:tabs>
        <w:spacing w:line="400" w:lineRule="exact"/>
        <w:rPr>
          <w:rFonts w:ascii="Times New Roman" w:hAnsi="Times New Roman"/>
        </w:rPr>
      </w:pPr>
      <w:r>
        <w:rPr>
          <w:rFonts w:hint="eastAsia" w:ascii="Times New Roman" w:hAnsi="Times New Roman" w:eastAsia="黑体"/>
          <w:sz w:val="32"/>
          <w:szCs w:val="32"/>
        </w:rPr>
        <w:t>表</w:t>
      </w:r>
      <w:r>
        <w:rPr>
          <w:rFonts w:ascii="Times New Roman" w:hAnsi="Times New Roman" w:eastAsia="黑体"/>
          <w:sz w:val="32"/>
          <w:szCs w:val="32"/>
        </w:rPr>
        <w:t>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>
      <w:pPr>
        <w:jc w:val="center"/>
        <w:textAlignment w:val="center"/>
        <w:rPr>
          <w:rFonts w:ascii="黑体" w:hAnsi="黑体" w:eastAsia="黑体" w:cs="方正小标宋简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方正小标宋简体"/>
          <w:bCs/>
          <w:color w:val="000000"/>
          <w:sz w:val="36"/>
          <w:szCs w:val="36"/>
        </w:rPr>
        <w:t>2021年1-9月邵阳市“三高四新”战略重大产业支撑项目调度表</w:t>
      </w:r>
    </w:p>
    <w:p>
      <w:pPr>
        <w:tabs>
          <w:tab w:val="left" w:pos="4305"/>
          <w:tab w:val="left" w:pos="13770"/>
        </w:tabs>
        <w:textAlignment w:val="center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Cs w:val="21"/>
        </w:rPr>
        <w:t>汇总单位：邵阳市产业办</w:t>
      </w:r>
      <w:r>
        <w:rPr>
          <w:rFonts w:ascii="Times New Roman" w:hAnsi="Times New Roman"/>
          <w:szCs w:val="21"/>
        </w:rPr>
        <w:t xml:space="preserve">                  </w:t>
      </w:r>
      <w:r>
        <w:rPr>
          <w:rFonts w:hint="eastAsia" w:ascii="Times New Roman" w:hAnsi="Times New Roman"/>
          <w:szCs w:val="21"/>
        </w:rPr>
        <w:t>时间：</w:t>
      </w:r>
      <w:r>
        <w:rPr>
          <w:rFonts w:ascii="Times New Roman" w:hAnsi="Times New Roman"/>
          <w:szCs w:val="21"/>
        </w:rPr>
        <w:t>202</w:t>
      </w:r>
      <w:r>
        <w:rPr>
          <w:rFonts w:hint="eastAsia" w:ascii="Times New Roman" w:hAnsi="Times New Roman"/>
          <w:szCs w:val="21"/>
        </w:rPr>
        <w:t>1年10月</w:t>
      </w:r>
      <w:r>
        <w:rPr>
          <w:rFonts w:ascii="Times New Roman" w:hAnsi="Times New Roman"/>
          <w:szCs w:val="21"/>
        </w:rPr>
        <w:t xml:space="preserve">                        </w:t>
      </w:r>
      <w:r>
        <w:rPr>
          <w:rFonts w:hint="eastAsia" w:ascii="Times New Roman" w:hAnsi="Times New Roman"/>
          <w:szCs w:val="21"/>
        </w:rPr>
        <w:t>单</w:t>
      </w:r>
      <w:r>
        <w:rPr>
          <w:rFonts w:hint="eastAsia" w:ascii="Times New Roman" w:hAnsi="Times New Roman"/>
          <w:sz w:val="18"/>
          <w:szCs w:val="18"/>
        </w:rPr>
        <w:t>位：亿元</w:t>
      </w:r>
      <w:bookmarkStart w:id="0" w:name="_GoBack"/>
      <w:bookmarkEnd w:id="0"/>
    </w:p>
    <w:tbl>
      <w:tblPr>
        <w:tblStyle w:val="2"/>
        <w:tblW w:w="1406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691"/>
        <w:gridCol w:w="977"/>
        <w:gridCol w:w="2045"/>
        <w:gridCol w:w="720"/>
        <w:gridCol w:w="1015"/>
        <w:gridCol w:w="960"/>
        <w:gridCol w:w="1785"/>
        <w:gridCol w:w="4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序号</w:t>
            </w:r>
          </w:p>
        </w:tc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项目名称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所在地</w:t>
            </w:r>
          </w:p>
        </w:tc>
        <w:tc>
          <w:tcPr>
            <w:tcW w:w="2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项目单位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总投资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本年度计划投资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本年累计完成投资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本年累计完成投资占年计划投资</w:t>
            </w:r>
          </w:p>
        </w:tc>
        <w:tc>
          <w:tcPr>
            <w:tcW w:w="4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项目建设形象进度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4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6</w:t>
            </w:r>
            <w:r>
              <w:rPr>
                <w:rStyle w:val="4"/>
              </w:rPr>
              <w:t>个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50.5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 xml:space="preserve">49.72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98.46%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三一专用车项目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邵阳经开区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三一专用汽车有限责任公司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15.90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99.38%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场内土方基本完成；征地拆迁、迁坟已完成；停车场（已交付场地约8万㎡）高填区停车场15000㎡已完成，完成主排水管网40％。一期（17万㎡）回填区域强夯场地已完成12.9万㎡，约75％（因红旗河污水管网未建设，暂不能强夯）。第二期厂房规划设计已完成，正在进行建筑设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邵阳国际数控机械产业园（一期）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邵阳经开区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东莞市金莞智联投资有限公司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2.15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71.67%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已完成420亩征地，项目征拆基本完成，已完成场平360亩、填方100万方，正进行施工道路铺设和桩基础进场工作，完成土地报批430亩，完成项目规划设计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邵阳雀塘循环经济产业园综合利用生产线项目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新邵县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邵阳雀塘循环经济产业园投资有限公司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3.78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94.50%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万吨再生铝项目一栋已完成，已投入使用；10万吨塑钢项目一栋钢结构完成，正在硬化地面，两栋正在吊钢结构；10万吨废塑料项目钢结构完成，正在装修；10万吨再生铜项目完成铜厂两栋钢结构主体完成，两栋正在吊钢结构；20万吨废钢铁项目铁厂完成一栋厂房已投入使用，两栋钢结构主体完成，正在装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发泡陶瓷保温板项目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邵阳县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湖南孚瓯科技有限公司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3.83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95.75%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第二条生产线部分框架完成安装，2#厂房部分桩基础完成施工，3#厂房扩建部分主体框架完成，4#综合楼基础完成，环保设备设施改造，室外工程扫尾，原料堆场完成，除尘喷淋设备安装完成。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湘窖酒业2万吨酱酒扩建（一期建设）项目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邵阳经开区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湖南湘窖酒业有限公司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90.67%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1.合同签订方面：已与企业对接起草了合同初稿，并达成共识，正提请党工委会研究。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2.规划手续办理方面：已完成项目立项工作，办理了主体建设层高调整手续，召开专家评审会评审通过了修改详规及建筑设计方案。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施工建设方面：①已完成地勘工作；②完成预制构件厂房场平硬化工作；③龙门吊导轨和龙门吊正进场安装；④完成第一标段总包单位开标工作；⑤完成第一标段附属工程道路开工；⑥土石方工程一期已全部完成；⑦并已完成土石方工程总工程量的85%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Style w:val="5"/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湖南邵虹特种玻璃项目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邵阳经开区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湖南邵虹特种玻璃股份有限公司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邵阳宝庆产业集中区投资建设开发有限公司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22.7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103.18%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号主体厂房钢结构基本完成，其中B区（上料区）楼层板及浇筑已全部完成，M区（熔炉热区）楼层板安装完成79%，F区（成型冷区）楼层全部完成；正在进行机电设备安装工作；综合动力站一层施工已完成，原料库主体基本完成；碎玻璃、回收站等配套设施主体施工完成，室外管架安装完成50%，液氧液氮等设备安装完成80%。</w:t>
            </w:r>
          </w:p>
        </w:tc>
      </w:tr>
    </w:tbl>
    <w:p/>
    <w:sectPr>
      <w:pgSz w:w="16838" w:h="11906" w:orient="landscape"/>
      <w:pgMar w:top="567" w:right="1446" w:bottom="56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D5645"/>
    <w:rsid w:val="052137BF"/>
    <w:rsid w:val="544D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2021-11-12T02:42:00Z</dcterms:created>
  <dc:creator>Administrator</dc:creator>
  <cp:lastModifiedBy>Administrator</cp:lastModifiedBy>
  <dcterms:modified xsi:type="dcterms:W3CDTF">2021-11-12T03:01:28Z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F07862DB5DF54EC3B52124D4FBF69AEC</vt:lpwstr>
  </property>
</Properties>
</file>