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表</w:t>
      </w:r>
      <w:r>
        <w:rPr>
          <w:rFonts w:ascii="Times New Roman" w:hAnsi="Times New Roman" w:eastAsia="黑体"/>
          <w:bCs/>
          <w:sz w:val="32"/>
          <w:szCs w:val="32"/>
        </w:rPr>
        <w:t>4-1</w:t>
      </w:r>
    </w:p>
    <w:p>
      <w:pPr>
        <w:jc w:val="center"/>
        <w:textAlignment w:val="center"/>
        <w:rPr>
          <w:rFonts w:ascii="黑体" w:hAnsi="黑体" w:eastAsia="黑体" w:cs="方正小标宋简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黑体" w:hAnsi="黑体" w:eastAsia="黑体" w:cs="方正小标宋简体"/>
          <w:bCs/>
          <w:color w:val="000000"/>
          <w:sz w:val="36"/>
          <w:szCs w:val="36"/>
        </w:rPr>
        <w:t>沪昆百里工业走廊县市区制造强市“一二三工程”</w:t>
      </w:r>
      <w:r>
        <w:rPr>
          <w:rFonts w:ascii="黑体" w:hAnsi="黑体" w:eastAsia="黑体" w:cs="方正小标宋简体"/>
          <w:bCs/>
          <w:color w:val="000000"/>
          <w:sz w:val="36"/>
          <w:szCs w:val="36"/>
        </w:rPr>
        <w:t>1-</w:t>
      </w:r>
      <w:r>
        <w:rPr>
          <w:rFonts w:hint="eastAsia" w:ascii="黑体" w:hAnsi="黑体" w:eastAsia="黑体" w:cs="方正小标宋简体"/>
          <w:bCs/>
          <w:color w:val="000000"/>
          <w:sz w:val="36"/>
          <w:szCs w:val="36"/>
        </w:rPr>
        <w:t>9月调度表</w:t>
      </w:r>
      <w:bookmarkEnd w:id="0"/>
    </w:p>
    <w:p>
      <w:pPr>
        <w:tabs>
          <w:tab w:val="left" w:pos="1530"/>
          <w:tab w:val="left" w:pos="3150"/>
          <w:tab w:val="left" w:pos="4680"/>
          <w:tab w:val="left" w:pos="6315"/>
          <w:tab w:val="left" w:pos="7845"/>
          <w:tab w:val="left" w:pos="9660"/>
          <w:tab w:val="left" w:pos="11490"/>
          <w:tab w:val="left" w:pos="13050"/>
        </w:tabs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编制单位：邵阳市工信局</w:t>
      </w:r>
      <w:r>
        <w:rPr>
          <w:rFonts w:ascii="Times New Roman" w:hAnsi="Times New Roman"/>
          <w:szCs w:val="21"/>
        </w:rPr>
        <w:t xml:space="preserve">                                                 </w:t>
      </w:r>
      <w:r>
        <w:rPr>
          <w:rFonts w:hint="eastAsia" w:ascii="Times New Roman" w:hAnsi="Times New Roman"/>
          <w:szCs w:val="21"/>
        </w:rPr>
        <w:t>时间：</w:t>
      </w:r>
      <w:r>
        <w:rPr>
          <w:rFonts w:ascii="Times New Roman" w:hAnsi="Times New Roman"/>
          <w:szCs w:val="21"/>
        </w:rPr>
        <w:t>202</w:t>
      </w:r>
      <w:r>
        <w:rPr>
          <w:rFonts w:hint="eastAsia" w:ascii="Times New Roman" w:hAnsi="Times New Roman"/>
          <w:szCs w:val="21"/>
        </w:rPr>
        <w:t>1年10月</w:t>
      </w:r>
    </w:p>
    <w:tbl>
      <w:tblPr>
        <w:tblStyle w:val="2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538"/>
        <w:gridCol w:w="1638"/>
        <w:gridCol w:w="1368"/>
        <w:gridCol w:w="1450"/>
        <w:gridCol w:w="1740"/>
        <w:gridCol w:w="1737"/>
        <w:gridCol w:w="1479"/>
        <w:gridCol w:w="1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9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县市区</w:t>
            </w:r>
          </w:p>
        </w:tc>
        <w:tc>
          <w:tcPr>
            <w:tcW w:w="111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新增规模工业企业</w:t>
            </w:r>
            <w:r>
              <w:rPr>
                <w:rFonts w:ascii="Times New Roman" w:hAnsi="Times New Roman" w:eastAsia="黑体"/>
                <w:szCs w:val="21"/>
              </w:rPr>
              <w:t>(</w:t>
            </w:r>
            <w:r>
              <w:rPr>
                <w:rFonts w:hint="eastAsia" w:ascii="Times New Roman" w:hAnsi="Times New Roman" w:eastAsia="黑体"/>
                <w:szCs w:val="21"/>
              </w:rPr>
              <w:t>个</w:t>
            </w:r>
            <w:r>
              <w:rPr>
                <w:rFonts w:ascii="Times New Roman" w:hAnsi="Times New Roman" w:eastAsia="黑体"/>
                <w:szCs w:val="21"/>
              </w:rPr>
              <w:t>)</w:t>
            </w:r>
          </w:p>
        </w:tc>
        <w:tc>
          <w:tcPr>
            <w:tcW w:w="1606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工业投资</w:t>
            </w:r>
            <w:r>
              <w:rPr>
                <w:rFonts w:ascii="Times New Roman" w:hAnsi="Times New Roman" w:eastAsia="黑体"/>
                <w:szCs w:val="21"/>
              </w:rPr>
              <w:t>(</w:t>
            </w:r>
            <w:r>
              <w:rPr>
                <w:rFonts w:hint="eastAsia" w:ascii="Times New Roman" w:hAnsi="Times New Roman" w:eastAsia="黑体"/>
                <w:szCs w:val="21"/>
              </w:rPr>
              <w:t>亿元</w:t>
            </w:r>
            <w:r>
              <w:rPr>
                <w:rFonts w:ascii="Times New Roman" w:hAnsi="Times New Roman" w:eastAsia="黑体"/>
                <w:szCs w:val="21"/>
              </w:rPr>
              <w:t>)</w:t>
            </w:r>
          </w:p>
        </w:tc>
        <w:tc>
          <w:tcPr>
            <w:tcW w:w="1764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规模工业总产值（亿元）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9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54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数量</w:t>
            </w:r>
          </w:p>
        </w:tc>
        <w:tc>
          <w:tcPr>
            <w:tcW w:w="57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计划完成率(%)</w:t>
            </w:r>
          </w:p>
        </w:tc>
        <w:tc>
          <w:tcPr>
            <w:tcW w:w="4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投资额</w:t>
            </w:r>
          </w:p>
        </w:tc>
        <w:tc>
          <w:tcPr>
            <w:tcW w:w="5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同比增速(%)</w:t>
            </w:r>
          </w:p>
        </w:tc>
        <w:tc>
          <w:tcPr>
            <w:tcW w:w="6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计划完成率(%)</w:t>
            </w:r>
          </w:p>
        </w:tc>
        <w:tc>
          <w:tcPr>
            <w:tcW w:w="61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总产值</w:t>
            </w:r>
          </w:p>
        </w:tc>
        <w:tc>
          <w:tcPr>
            <w:tcW w:w="52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同比增速(%)</w:t>
            </w:r>
          </w:p>
        </w:tc>
        <w:tc>
          <w:tcPr>
            <w:tcW w:w="6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计划完成率(%)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邵阳市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79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23.2 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416.2 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23.5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63.1 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1854</w:t>
            </w:r>
          </w:p>
        </w:tc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17.0 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67.2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沪昆百里工业走廊合计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70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23.0 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338.1 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24.2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56.7 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1681.5</w:t>
            </w:r>
          </w:p>
        </w:tc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17.9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65.0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邵阳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>经开区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3.3 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50.0 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25.7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63.1 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308.4</w:t>
            </w:r>
          </w:p>
        </w:tc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21.1 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58.4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大祥区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33.3 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14.4 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-23.7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57.6 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</w:t>
            </w:r>
          </w:p>
        </w:tc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9.1 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41.5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邵东市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37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30.8 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115.5 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30.5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67.9 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643.6</w:t>
            </w:r>
          </w:p>
        </w:tc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20.6 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65.0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新邵县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21.9 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38.9 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27.7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69.5 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147.5</w:t>
            </w:r>
          </w:p>
        </w:tc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7.9 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72.0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邵阳县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11.8 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31.5 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42.3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63.0 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119.6</w:t>
            </w:r>
          </w:p>
        </w:tc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14.5 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70.4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隆回县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33.3 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55.6 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34.0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57.9 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142.5</w:t>
            </w:r>
          </w:p>
        </w:tc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19.5 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75.0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洞口县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21.7 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38.6 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63.3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70.2 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162.3</w:t>
            </w:r>
          </w:p>
        </w:tc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14.3 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77.3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武冈市</w:t>
            </w:r>
          </w:p>
        </w:tc>
        <w:tc>
          <w:tcPr>
            <w:tcW w:w="15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29.4 </w:t>
            </w:r>
          </w:p>
        </w:tc>
        <w:tc>
          <w:tcPr>
            <w:tcW w:w="1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43.6 </w:t>
            </w:r>
          </w:p>
        </w:tc>
        <w:tc>
          <w:tcPr>
            <w:tcW w:w="14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28.6 </w:t>
            </w:r>
          </w:p>
        </w:tc>
        <w:tc>
          <w:tcPr>
            <w:tcW w:w="17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60.6 </w:t>
            </w:r>
          </w:p>
        </w:tc>
        <w:tc>
          <w:tcPr>
            <w:tcW w:w="17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74.6</w:t>
            </w:r>
          </w:p>
        </w:tc>
        <w:tc>
          <w:tcPr>
            <w:tcW w:w="14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22.4 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solid" w:color="FFFFFF" w:fill="auto"/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00" w:lineRule="exact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78.5 </w:t>
            </w:r>
          </w:p>
        </w:tc>
      </w:tr>
    </w:tbl>
    <w:p>
      <w:r>
        <w:rPr>
          <w:rFonts w:hint="eastAsia" w:ascii="Times New Roman" w:hAnsi="Times New Roman"/>
          <w:szCs w:val="21"/>
        </w:rPr>
        <w:t>说明：双清区工业投资及工业技改投资与邵阳经开区合并统计。</w:t>
      </w:r>
    </w:p>
    <w:sectPr>
      <w:pgSz w:w="16838" w:h="11906" w:orient="landscape"/>
      <w:pgMar w:top="567" w:right="1440" w:bottom="56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951ED7"/>
    <w:rsid w:val="6B95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2021-11-12T02:50:00Z</dcterms:created>
  <dc:creator>Administrator</dc:creator>
  <cp:lastModifiedBy>Administrator</cp:lastModifiedBy>
  <dcterms:modified xsi:type="dcterms:W3CDTF">2021-11-12T02:51:45Z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80719481E00C4D2FA0DA4B1FF350E351</vt:lpwstr>
  </property>
</Properties>
</file>