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表</w:t>
      </w:r>
      <w:r>
        <w:rPr>
          <w:rFonts w:ascii="Times New Roman" w:hAnsi="Times New Roman" w:eastAsia="黑体"/>
          <w:bCs/>
          <w:sz w:val="32"/>
          <w:szCs w:val="32"/>
        </w:rPr>
        <w:t>4-1</w:t>
      </w:r>
    </w:p>
    <w:p>
      <w:pPr>
        <w:jc w:val="center"/>
        <w:textAlignment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沪昆百里工业走廊县市区制造强市“一二三工程”</w:t>
      </w:r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1-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9月调度表</w:t>
      </w:r>
      <w:bookmarkEnd w:id="0"/>
    </w:p>
    <w:p>
      <w:pPr>
        <w:tabs>
          <w:tab w:val="left" w:pos="1530"/>
          <w:tab w:val="left" w:pos="3150"/>
          <w:tab w:val="left" w:pos="4680"/>
          <w:tab w:val="left" w:pos="6315"/>
          <w:tab w:val="left" w:pos="7845"/>
          <w:tab w:val="left" w:pos="9660"/>
          <w:tab w:val="left" w:pos="11490"/>
          <w:tab w:val="left" w:pos="13050"/>
        </w:tabs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编制单位：邵阳市工信局</w:t>
      </w:r>
      <w:r>
        <w:rPr>
          <w:rFonts w:ascii="Times New Roman" w:hAnsi="Times New Roman"/>
          <w:szCs w:val="21"/>
        </w:rPr>
        <w:t xml:space="preserve">                                                 </w:t>
      </w:r>
      <w:r>
        <w:rPr>
          <w:rFonts w:hint="eastAsia" w:ascii="Times New Roman" w:hAnsi="Times New Roman"/>
          <w:szCs w:val="21"/>
        </w:rPr>
        <w:t>时间：</w:t>
      </w:r>
      <w:r>
        <w:rPr>
          <w:rFonts w:ascii="Times New Roman" w:hAnsi="Times New Roman"/>
          <w:szCs w:val="21"/>
        </w:rPr>
        <w:t>202</w:t>
      </w:r>
      <w:r>
        <w:rPr>
          <w:rFonts w:hint="eastAsia" w:ascii="Times New Roman" w:hAnsi="Times New Roman"/>
          <w:szCs w:val="21"/>
        </w:rPr>
        <w:t>1年10月</w:t>
      </w:r>
    </w:p>
    <w:tbl>
      <w:tblPr>
        <w:tblStyle w:val="2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38"/>
        <w:gridCol w:w="1638"/>
        <w:gridCol w:w="1368"/>
        <w:gridCol w:w="1450"/>
        <w:gridCol w:w="1740"/>
        <w:gridCol w:w="1737"/>
        <w:gridCol w:w="1479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县市区</w:t>
            </w:r>
          </w:p>
        </w:tc>
        <w:tc>
          <w:tcPr>
            <w:tcW w:w="11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新增规模工业企业</w:t>
            </w:r>
            <w:r>
              <w:rPr>
                <w:rFonts w:ascii="Times New Roman" w:hAnsi="Times New Roman" w:eastAsia="黑体"/>
                <w:szCs w:val="21"/>
              </w:rPr>
              <w:t>(</w:t>
            </w:r>
            <w:r>
              <w:rPr>
                <w:rFonts w:hint="eastAsia" w:ascii="Times New Roman" w:hAnsi="Times New Roman" w:eastAsia="黑体"/>
                <w:szCs w:val="21"/>
              </w:rPr>
              <w:t>个</w:t>
            </w:r>
            <w:r>
              <w:rPr>
                <w:rFonts w:ascii="Times New Roman" w:hAnsi="Times New Roman" w:eastAsia="黑体"/>
                <w:szCs w:val="21"/>
              </w:rPr>
              <w:t>)</w:t>
            </w:r>
          </w:p>
        </w:tc>
        <w:tc>
          <w:tcPr>
            <w:tcW w:w="160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工业投资</w:t>
            </w:r>
            <w:r>
              <w:rPr>
                <w:rFonts w:ascii="Times New Roman" w:hAnsi="Times New Roman" w:eastAsia="黑体"/>
                <w:szCs w:val="21"/>
              </w:rPr>
              <w:t>(</w:t>
            </w:r>
            <w:r>
              <w:rPr>
                <w:rFonts w:hint="eastAsia" w:ascii="Times New Roman" w:hAnsi="Times New Roman" w:eastAsia="黑体"/>
                <w:szCs w:val="21"/>
              </w:rPr>
              <w:t>亿元</w:t>
            </w:r>
            <w:r>
              <w:rPr>
                <w:rFonts w:ascii="Times New Roman" w:hAnsi="Times New Roman" w:eastAsia="黑体"/>
                <w:szCs w:val="21"/>
              </w:rPr>
              <w:t>)</w:t>
            </w:r>
          </w:p>
        </w:tc>
        <w:tc>
          <w:tcPr>
            <w:tcW w:w="17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规模工业总产值（亿元）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数量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计划完成率(%)</w:t>
            </w:r>
          </w:p>
        </w:tc>
        <w:tc>
          <w:tcPr>
            <w:tcW w:w="4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投资额</w:t>
            </w:r>
          </w:p>
        </w:tc>
        <w:tc>
          <w:tcPr>
            <w:tcW w:w="5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同比增速(%)</w:t>
            </w:r>
          </w:p>
        </w:tc>
        <w:tc>
          <w:tcPr>
            <w:tcW w:w="6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计划完成率(%)</w:t>
            </w:r>
          </w:p>
        </w:tc>
        <w:tc>
          <w:tcPr>
            <w:tcW w:w="6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总产值</w:t>
            </w:r>
          </w:p>
        </w:tc>
        <w:tc>
          <w:tcPr>
            <w:tcW w:w="5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同比增速(%)</w:t>
            </w:r>
          </w:p>
        </w:tc>
        <w:tc>
          <w:tcPr>
            <w:tcW w:w="6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计划完成率(%)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邵阳市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23.2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416.2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23.5 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63.1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1854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17.0 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67.2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沪昆百里工业走廊合计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23.0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338.1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24.2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56.7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1681.5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17.9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邵阳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经开区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3.3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50.0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25.7 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63.1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308.4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21.1 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58.4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大祥区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33.3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14.4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-23.7 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57.6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9.1 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41.5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邵东市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30.8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115.5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30.5 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67.9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643.6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20.6 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新邵县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21.9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38.9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27.7 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69.5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147.5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7.9 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72.0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邵阳县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11.8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31.5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42.3 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63.0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119.6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14.5 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70.4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隆回县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33.3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55.6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34.0 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57.9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142.5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19.5 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75.0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洞口县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21.7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38.6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63.3 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70.2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162.3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14.3 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77.3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武冈市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29.4 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43.6 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28.6 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60.6 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74.6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22.4 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78.5 </w:t>
            </w:r>
          </w:p>
        </w:tc>
      </w:tr>
    </w:tbl>
    <w:p>
      <w:r>
        <w:rPr>
          <w:rFonts w:hint="eastAsia" w:ascii="Times New Roman" w:hAnsi="Times New Roman"/>
          <w:szCs w:val="21"/>
        </w:rPr>
        <w:t>说明：双清区工业投资及工业技改投资与邵阳经开区合并统计。</w:t>
      </w:r>
    </w:p>
    <w:sectPr>
      <w:pgSz w:w="16838" w:h="11906" w:orient="landscape"/>
      <w:pgMar w:top="567" w:right="1440" w:bottom="56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51ED7"/>
    <w:rsid w:val="6B9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2021-11-12T02:50:00Z</dcterms:created>
  <dc:creator>Administrator</dc:creator>
  <cp:lastModifiedBy>Administrator</cp:lastModifiedBy>
  <dcterms:modified xsi:type="dcterms:W3CDTF">2021-11-12T02:51:45Z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80719481E00C4D2FA0DA4B1FF350E351</vt:lpwstr>
  </property>
</Properties>
</file>