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3A" w:rsidRDefault="0053532E" w:rsidP="00A5193A">
      <w:pPr>
        <w:spacing w:before="60"/>
        <w:rPr>
          <w:b/>
          <w:bCs/>
          <w:spacing w:val="12"/>
          <w:sz w:val="32"/>
          <w:szCs w:val="32"/>
        </w:rPr>
      </w:pPr>
      <w:r>
        <w:rPr>
          <w:rFonts w:hint="eastAsia"/>
          <w:b/>
          <w:bCs/>
          <w:spacing w:val="12"/>
          <w:sz w:val="32"/>
          <w:szCs w:val="32"/>
        </w:rPr>
        <w:t>第五部分</w:t>
      </w:r>
      <w:r w:rsidR="00A5193A">
        <w:rPr>
          <w:rFonts w:hint="eastAsia"/>
          <w:b/>
          <w:bCs/>
          <w:spacing w:val="12"/>
          <w:sz w:val="32"/>
          <w:szCs w:val="32"/>
        </w:rPr>
        <w:t>附件2</w:t>
      </w:r>
    </w:p>
    <w:p w:rsidR="00A5193A" w:rsidRDefault="00A5193A" w:rsidP="00A5193A">
      <w:pPr>
        <w:jc w:val="center"/>
        <w:rPr>
          <w:rFonts w:ascii="方正小标宋简体" w:eastAsia="方正小标宋简体" w:hAnsi="方正小标宋简体" w:cs="方正小标宋简体"/>
          <w:b/>
          <w:bCs/>
          <w:sz w:val="36"/>
          <w:szCs w:val="44"/>
        </w:rPr>
      </w:pPr>
      <w:r>
        <w:rPr>
          <w:rFonts w:ascii="方正小标宋简体" w:eastAsia="方正小标宋简体" w:hAnsi="方正小标宋简体" w:cs="方正小标宋简体" w:hint="eastAsia"/>
          <w:b/>
          <w:bCs/>
          <w:sz w:val="36"/>
          <w:szCs w:val="44"/>
        </w:rPr>
        <w:t>邵阳职院新冠肺炎疫情防控补助经费转移支付</w:t>
      </w:r>
    </w:p>
    <w:p w:rsidR="00A5193A" w:rsidRDefault="00A5193A" w:rsidP="00A5193A">
      <w:pPr>
        <w:jc w:val="center"/>
        <w:rPr>
          <w:rFonts w:ascii="方正小标宋简体" w:eastAsia="方正小标宋简体" w:hAnsi="方正小标宋简体" w:cs="方正小标宋简体"/>
          <w:b/>
          <w:bCs/>
          <w:sz w:val="36"/>
          <w:szCs w:val="44"/>
        </w:rPr>
      </w:pPr>
      <w:r>
        <w:rPr>
          <w:rFonts w:ascii="方正小标宋简体" w:eastAsia="方正小标宋简体" w:hAnsi="方正小标宋简体" w:cs="方正小标宋简体" w:hint="eastAsia"/>
          <w:b/>
          <w:bCs/>
          <w:sz w:val="36"/>
          <w:szCs w:val="44"/>
        </w:rPr>
        <w:t>2</w:t>
      </w:r>
      <w:r>
        <w:rPr>
          <w:rFonts w:ascii="方正小标宋简体" w:eastAsia="方正小标宋简体" w:hAnsi="方正小标宋简体" w:cs="方正小标宋简体"/>
          <w:b/>
          <w:bCs/>
          <w:sz w:val="36"/>
          <w:szCs w:val="44"/>
        </w:rPr>
        <w:t>022年度绩效自评报告</w:t>
      </w:r>
    </w:p>
    <w:p w:rsidR="00A5193A" w:rsidRDefault="00A5193A" w:rsidP="00A5193A">
      <w:pPr>
        <w:ind w:firstLineChars="200" w:firstLine="482"/>
        <w:rPr>
          <w:rFonts w:ascii="Times New Roman Regular" w:eastAsia="黑体" w:hAnsi="Times New Roman Regular" w:cs="Times New Roman Regular" w:hint="eastAsia"/>
          <w:b/>
          <w:bCs/>
        </w:rPr>
      </w:pPr>
    </w:p>
    <w:p w:rsidR="00A5193A" w:rsidRDefault="00A5193A" w:rsidP="00A5193A">
      <w:pPr>
        <w:ind w:firstLineChars="200" w:firstLine="480"/>
      </w:pPr>
      <w:r>
        <w:rPr>
          <w:rFonts w:hint="eastAsia"/>
        </w:rPr>
        <w:t>按照省教育厅《关于做好2022年度中央对地方教育转移支付预算执行情况绩效自评工作的通知》要求，现将我院2022年度12万元项目支出绩效自评报告如下：</w:t>
      </w:r>
    </w:p>
    <w:p w:rsidR="00A5193A" w:rsidRDefault="00A5193A" w:rsidP="00A5193A">
      <w:pPr>
        <w:numPr>
          <w:ilvl w:val="0"/>
          <w:numId w:val="1"/>
        </w:numPr>
        <w:ind w:firstLineChars="200" w:firstLine="480"/>
        <w:rPr>
          <w:rFonts w:ascii="Times New Roman Regular" w:eastAsia="黑体" w:hAnsi="Times New Roman Regular" w:cs="Times New Roman Regular" w:hint="eastAsia"/>
        </w:rPr>
      </w:pPr>
      <w:r>
        <w:rPr>
          <w:rFonts w:ascii="Times New Roman Regular" w:eastAsia="黑体" w:hAnsi="Times New Roman Regular" w:cs="Times New Roman Regular"/>
        </w:rPr>
        <w:t>绩效目标分解下达情况</w:t>
      </w:r>
    </w:p>
    <w:p w:rsidR="00A5193A" w:rsidRDefault="00A5193A" w:rsidP="00A5193A">
      <w:pPr>
        <w:ind w:firstLineChars="200" w:firstLine="480"/>
      </w:pPr>
      <w:r>
        <w:rPr>
          <w:rFonts w:hint="eastAsia"/>
        </w:rPr>
        <w:t>全年用于疫情防控工作资金120.6475万元。其中：中央对地方教育转移支付资金12万元，学校自筹资金108.6475万元。</w:t>
      </w:r>
    </w:p>
    <w:p w:rsidR="00A5193A" w:rsidRDefault="00A5193A" w:rsidP="00A5193A">
      <w:pPr>
        <w:ind w:firstLineChars="200" w:firstLine="480"/>
      </w:pPr>
      <w:r>
        <w:rPr>
          <w:rFonts w:ascii="Times New Roman Regular" w:eastAsia="黑体" w:hAnsi="Times New Roman Regular" w:cs="Times New Roman Regular"/>
        </w:rPr>
        <w:t>二、绩效情况分析</w:t>
      </w:r>
    </w:p>
    <w:p w:rsidR="00A5193A" w:rsidRDefault="00A5193A" w:rsidP="00A5193A">
      <w:pPr>
        <w:ind w:firstLineChars="200" w:firstLine="482"/>
        <w:rPr>
          <w:rFonts w:ascii="仿宋" w:eastAsia="仿宋" w:hAnsi="仿宋"/>
          <w:b/>
        </w:rPr>
      </w:pPr>
      <w:r>
        <w:rPr>
          <w:rFonts w:ascii="仿宋" w:eastAsia="仿宋" w:hAnsi="仿宋" w:hint="eastAsia"/>
          <w:b/>
        </w:rPr>
        <w:t>（一）资金投入情况分析。</w:t>
      </w:r>
    </w:p>
    <w:p w:rsidR="00A5193A" w:rsidRDefault="00A5193A" w:rsidP="00A5193A">
      <w:pPr>
        <w:ind w:firstLineChars="200" w:firstLine="482"/>
        <w:rPr>
          <w:rFonts w:ascii="仿宋" w:eastAsia="仿宋" w:hAnsi="仿宋"/>
          <w:b/>
        </w:rPr>
      </w:pPr>
      <w:r>
        <w:rPr>
          <w:rFonts w:ascii="仿宋" w:eastAsia="仿宋" w:hAnsi="仿宋" w:hint="eastAsia"/>
          <w:b/>
        </w:rPr>
        <w:t>1.项目资金到位情况分析</w:t>
      </w:r>
    </w:p>
    <w:p w:rsidR="00A5193A" w:rsidRDefault="00A5193A" w:rsidP="00A5193A">
      <w:pPr>
        <w:tabs>
          <w:tab w:val="left" w:pos="732"/>
        </w:tabs>
        <w:ind w:firstLineChars="200" w:firstLine="480"/>
      </w:pPr>
      <w:r>
        <w:rPr>
          <w:rFonts w:hint="eastAsia"/>
        </w:rPr>
        <w:t>项目资金12万元及时足额拨付到位。</w:t>
      </w:r>
    </w:p>
    <w:p w:rsidR="00A5193A" w:rsidRDefault="00A5193A" w:rsidP="00A5193A">
      <w:pPr>
        <w:ind w:firstLineChars="200" w:firstLine="482"/>
        <w:rPr>
          <w:rFonts w:ascii="仿宋" w:eastAsia="仿宋" w:hAnsi="仿宋"/>
          <w:b/>
        </w:rPr>
      </w:pPr>
      <w:r>
        <w:rPr>
          <w:rFonts w:ascii="仿宋" w:eastAsia="仿宋" w:hAnsi="仿宋" w:hint="eastAsia"/>
          <w:b/>
        </w:rPr>
        <w:t>2.项目资金执行情况分析</w:t>
      </w:r>
    </w:p>
    <w:p w:rsidR="00A5193A" w:rsidRDefault="00A5193A" w:rsidP="00A5193A">
      <w:pPr>
        <w:tabs>
          <w:tab w:val="left" w:pos="732"/>
        </w:tabs>
        <w:ind w:firstLineChars="200" w:firstLine="482"/>
        <w:rPr>
          <w:rFonts w:ascii="仿宋" w:eastAsia="仿宋" w:hAnsi="仿宋"/>
          <w:b/>
        </w:rPr>
      </w:pPr>
      <w:r>
        <w:rPr>
          <w:rFonts w:ascii="仿宋" w:eastAsia="仿宋" w:hAnsi="仿宋" w:hint="eastAsia"/>
          <w:b/>
        </w:rPr>
        <w:tab/>
      </w:r>
      <w:r>
        <w:rPr>
          <w:rFonts w:hint="eastAsia"/>
        </w:rPr>
        <w:t>项目资金全部用于疫情防控。其中购买口罩：31800元；防护服、消毒液等疫情防控物资：8210元；核酸检测费：79990元。根据要求，资金全部用于学院疫情防控工作。</w:t>
      </w:r>
    </w:p>
    <w:p w:rsidR="00A5193A" w:rsidRDefault="00A5193A" w:rsidP="00A5193A">
      <w:pPr>
        <w:ind w:firstLineChars="200" w:firstLine="482"/>
        <w:rPr>
          <w:rFonts w:ascii="仿宋" w:eastAsia="仿宋" w:hAnsi="仿宋"/>
          <w:b/>
        </w:rPr>
      </w:pPr>
      <w:r>
        <w:rPr>
          <w:rFonts w:ascii="仿宋" w:eastAsia="仿宋" w:hAnsi="仿宋" w:hint="eastAsia"/>
          <w:b/>
        </w:rPr>
        <w:t>（二）资金管理情况分析。</w:t>
      </w:r>
    </w:p>
    <w:p w:rsidR="00A5193A" w:rsidRDefault="00A5193A" w:rsidP="00A5193A">
      <w:pPr>
        <w:ind w:firstLineChars="200" w:firstLine="480"/>
      </w:pPr>
      <w:r>
        <w:rPr>
          <w:rFonts w:hint="eastAsia"/>
        </w:rPr>
        <w:t>合理安排项目资金，严格资金使用审批流程。强化资金使用管理，确保项目及时实施到位。达到了预期的效果。</w:t>
      </w:r>
    </w:p>
    <w:p w:rsidR="00A5193A" w:rsidRDefault="00A5193A" w:rsidP="00A5193A">
      <w:pPr>
        <w:numPr>
          <w:ilvl w:val="0"/>
          <w:numId w:val="2"/>
        </w:numPr>
        <w:ind w:firstLineChars="200" w:firstLine="482"/>
        <w:rPr>
          <w:rFonts w:ascii="仿宋" w:eastAsia="仿宋" w:hAnsi="仿宋"/>
          <w:b/>
        </w:rPr>
      </w:pPr>
      <w:r>
        <w:rPr>
          <w:rFonts w:ascii="仿宋" w:eastAsia="仿宋" w:hAnsi="仿宋" w:hint="eastAsia"/>
          <w:b/>
        </w:rPr>
        <w:t>总体绩效目标完成情况分析。</w:t>
      </w:r>
    </w:p>
    <w:p w:rsidR="00A5193A" w:rsidRDefault="00A5193A" w:rsidP="00A5193A">
      <w:pPr>
        <w:ind w:firstLineChars="200" w:firstLine="480"/>
      </w:pPr>
      <w:r>
        <w:rPr>
          <w:rFonts w:hint="eastAsia"/>
        </w:rPr>
        <w:t>由于疫情防控资金及时到位，为学院疫情防控工作提供了经费保障，保障了疫情防控工作正常顺利有效开展。疫情防控取得了决定性的胜利。</w:t>
      </w:r>
    </w:p>
    <w:p w:rsidR="00A5193A" w:rsidRDefault="00A5193A" w:rsidP="00A5193A">
      <w:pPr>
        <w:ind w:firstLineChars="200" w:firstLine="480"/>
        <w:rPr>
          <w:rFonts w:ascii="Times New Roman Regular" w:eastAsia="黑体" w:hAnsi="Times New Roman Regular" w:cs="Times New Roman Regular" w:hint="eastAsia"/>
        </w:rPr>
      </w:pPr>
      <w:r>
        <w:rPr>
          <w:rFonts w:ascii="Times New Roman Regular" w:eastAsia="黑体" w:hAnsi="Times New Roman Regular" w:cs="Times New Roman Regular"/>
        </w:rPr>
        <w:t>三、</w:t>
      </w:r>
      <w:r>
        <w:rPr>
          <w:rFonts w:ascii="Times New Roman Regular" w:eastAsia="黑体" w:hAnsi="Times New Roman Regular" w:cs="Times New Roman Regular" w:hint="eastAsia"/>
        </w:rPr>
        <w:t>偏离绩效目标的原因分析及下一步改进措施</w:t>
      </w:r>
    </w:p>
    <w:p w:rsidR="00A5193A" w:rsidRDefault="00A5193A" w:rsidP="00A5193A">
      <w:pPr>
        <w:ind w:firstLineChars="200" w:firstLine="480"/>
      </w:pPr>
      <w:r>
        <w:rPr>
          <w:rFonts w:hint="eastAsia"/>
        </w:rPr>
        <w:t>我院严格按照专款专用的管理要求，100%完成绩效目标，没有偏离绩效目标。</w:t>
      </w:r>
    </w:p>
    <w:p w:rsidR="00A5193A" w:rsidRDefault="00A5193A" w:rsidP="00A5193A">
      <w:pPr>
        <w:numPr>
          <w:ilvl w:val="0"/>
          <w:numId w:val="3"/>
        </w:numPr>
        <w:ind w:firstLineChars="200" w:firstLine="480"/>
        <w:rPr>
          <w:rFonts w:ascii="Times New Roman Regular" w:eastAsia="黑体" w:hAnsi="Times New Roman Regular" w:cs="Times New Roman Regular" w:hint="eastAsia"/>
        </w:rPr>
      </w:pPr>
      <w:r>
        <w:rPr>
          <w:rFonts w:ascii="Times New Roman Regular" w:eastAsia="黑体" w:hAnsi="Times New Roman Regular" w:cs="Times New Roman Regular"/>
        </w:rPr>
        <w:t>绩效自评结果拟应用和公开情况</w:t>
      </w:r>
    </w:p>
    <w:p w:rsidR="00A5193A" w:rsidRDefault="00A5193A" w:rsidP="00A5193A">
      <w:pPr>
        <w:ind w:firstLineChars="200" w:firstLine="480"/>
      </w:pPr>
      <w:r>
        <w:rPr>
          <w:rFonts w:hint="eastAsia"/>
        </w:rPr>
        <w:t>本次自评结果除上报省教育厅外，拟在学院信息网公开。</w:t>
      </w:r>
    </w:p>
    <w:p w:rsidR="00A5193A" w:rsidRDefault="00A5193A" w:rsidP="00A5193A">
      <w:pPr>
        <w:ind w:firstLine="640"/>
      </w:pPr>
    </w:p>
    <w:p w:rsidR="00A5193A" w:rsidRDefault="00A5193A" w:rsidP="00A5193A">
      <w:pPr>
        <w:pStyle w:val="a4"/>
        <w:ind w:firstLineChars="150" w:firstLine="450"/>
        <w:rPr>
          <w:rFonts w:ascii="仿宋_GB2312" w:eastAsia="仿宋_GB2312"/>
          <w:sz w:val="30"/>
          <w:szCs w:val="32"/>
        </w:rPr>
      </w:pPr>
      <w:r>
        <w:rPr>
          <w:rFonts w:ascii="仿宋_GB2312" w:eastAsia="仿宋_GB2312" w:hint="eastAsia"/>
          <w:sz w:val="30"/>
          <w:szCs w:val="32"/>
        </w:rPr>
        <w:t>附件：邵阳职业技术学院新冠肺炎疫情防控补助经费专项转移支付资金绩效目标自评表</w:t>
      </w:r>
      <w:r>
        <w:rPr>
          <w:rFonts w:ascii="仿宋_GB2312" w:eastAsia="仿宋_GB2312"/>
          <w:sz w:val="30"/>
          <w:szCs w:val="32"/>
        </w:rPr>
        <w:t> </w:t>
      </w:r>
    </w:p>
    <w:p w:rsidR="00A5193A" w:rsidRDefault="00A5193A" w:rsidP="00A5193A">
      <w:pPr>
        <w:pStyle w:val="a4"/>
        <w:jc w:val="right"/>
        <w:rPr>
          <w:rFonts w:ascii="仿宋_GB2312" w:eastAsia="仿宋_GB2312"/>
          <w:sz w:val="30"/>
          <w:szCs w:val="32"/>
        </w:rPr>
      </w:pPr>
      <w:r>
        <w:rPr>
          <w:rFonts w:ascii="仿宋_GB2312" w:eastAsia="仿宋_GB2312"/>
          <w:sz w:val="30"/>
          <w:szCs w:val="32"/>
        </w:rPr>
        <w:t>                                                       </w:t>
      </w:r>
      <w:r>
        <w:rPr>
          <w:rFonts w:ascii="仿宋_GB2312" w:eastAsia="仿宋_GB2312" w:hint="eastAsia"/>
          <w:sz w:val="30"/>
          <w:szCs w:val="32"/>
        </w:rPr>
        <w:t xml:space="preserve"> 邵阳职业技术学院</w:t>
      </w:r>
    </w:p>
    <w:p w:rsidR="00A5193A" w:rsidRDefault="00A5193A" w:rsidP="00A5193A">
      <w:pPr>
        <w:pStyle w:val="a4"/>
        <w:jc w:val="right"/>
        <w:rPr>
          <w:rFonts w:ascii="仿宋_GB2312" w:eastAsia="仿宋_GB2312" w:hint="eastAsia"/>
          <w:sz w:val="30"/>
          <w:szCs w:val="32"/>
        </w:rPr>
      </w:pPr>
      <w:r>
        <w:t xml:space="preserve">                                               </w:t>
      </w:r>
      <w:r>
        <w:rPr>
          <w:rFonts w:ascii="仿宋_GB2312" w:eastAsia="仿宋_GB2312" w:hint="eastAsia"/>
          <w:sz w:val="30"/>
          <w:szCs w:val="32"/>
        </w:rPr>
        <w:t>2023年4月20日</w:t>
      </w:r>
    </w:p>
    <w:p w:rsidR="006720F1" w:rsidRDefault="006720F1" w:rsidP="00A5193A">
      <w:pPr>
        <w:pStyle w:val="a4"/>
        <w:jc w:val="right"/>
        <w:rPr>
          <w:rFonts w:ascii="仿宋_GB2312" w:eastAsia="仿宋_GB2312" w:hint="eastAsia"/>
          <w:sz w:val="30"/>
          <w:szCs w:val="32"/>
        </w:rPr>
      </w:pPr>
    </w:p>
    <w:p w:rsidR="006720F1" w:rsidRDefault="006720F1" w:rsidP="00A5193A">
      <w:pPr>
        <w:pStyle w:val="a4"/>
        <w:jc w:val="right"/>
        <w:rPr>
          <w:rFonts w:ascii="仿宋_GB2312" w:eastAsia="仿宋_GB2312"/>
          <w:sz w:val="30"/>
          <w:szCs w:val="32"/>
        </w:rPr>
      </w:pPr>
    </w:p>
    <w:tbl>
      <w:tblPr>
        <w:tblW w:w="11359" w:type="dxa"/>
        <w:jc w:val="center"/>
        <w:tblLayout w:type="fixed"/>
        <w:tblLook w:val="04A0"/>
      </w:tblPr>
      <w:tblGrid>
        <w:gridCol w:w="1039"/>
        <w:gridCol w:w="629"/>
        <w:gridCol w:w="1290"/>
        <w:gridCol w:w="1530"/>
        <w:gridCol w:w="1596"/>
        <w:gridCol w:w="1659"/>
        <w:gridCol w:w="1545"/>
        <w:gridCol w:w="2071"/>
      </w:tblGrid>
      <w:tr w:rsidR="00A5193A" w:rsidTr="005A1087">
        <w:trPr>
          <w:trHeight w:val="510"/>
          <w:jc w:val="center"/>
        </w:trPr>
        <w:tc>
          <w:tcPr>
            <w:tcW w:w="11359" w:type="dxa"/>
            <w:gridSpan w:val="8"/>
            <w:tcBorders>
              <w:top w:val="nil"/>
              <w:left w:val="nil"/>
              <w:bottom w:val="nil"/>
              <w:right w:val="nil"/>
            </w:tcBorders>
            <w:shd w:val="clear" w:color="auto" w:fill="auto"/>
            <w:vAlign w:val="center"/>
          </w:tcPr>
          <w:p w:rsidR="00A5193A" w:rsidRDefault="00A5193A" w:rsidP="005A1087">
            <w:pPr>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color w:val="000000"/>
                <w:sz w:val="32"/>
                <w:szCs w:val="32"/>
              </w:rPr>
              <w:lastRenderedPageBreak/>
              <w:t xml:space="preserve">疫情防控转移支付区域（项目）绩效目标自评表 </w:t>
            </w:r>
          </w:p>
        </w:tc>
      </w:tr>
      <w:tr w:rsidR="00A5193A" w:rsidTr="005A1087">
        <w:trPr>
          <w:trHeight w:val="298"/>
          <w:jc w:val="center"/>
        </w:trPr>
        <w:tc>
          <w:tcPr>
            <w:tcW w:w="11359" w:type="dxa"/>
            <w:gridSpan w:val="8"/>
            <w:tcBorders>
              <w:top w:val="nil"/>
              <w:left w:val="nil"/>
              <w:bottom w:val="single" w:sz="4" w:space="0" w:color="000000"/>
              <w:right w:val="nil"/>
            </w:tcBorders>
            <w:shd w:val="clear" w:color="auto" w:fill="auto"/>
          </w:tcPr>
          <w:p w:rsidR="00A5193A" w:rsidRDefault="00A5193A" w:rsidP="005A1087">
            <w:pPr>
              <w:jc w:val="center"/>
              <w:textAlignment w:val="top"/>
              <w:rPr>
                <w:rFonts w:ascii="仿宋_GB2312" w:eastAsia="仿宋_GB2312" w:cs="仿宋_GB2312"/>
                <w:color w:val="000000"/>
                <w:sz w:val="22"/>
                <w:szCs w:val="22"/>
              </w:rPr>
            </w:pPr>
            <w:r>
              <w:rPr>
                <w:rFonts w:ascii="仿宋_GB2312" w:eastAsia="仿宋_GB2312" w:cs="仿宋_GB2312"/>
                <w:color w:val="000000"/>
                <w:sz w:val="22"/>
                <w:szCs w:val="22"/>
              </w:rPr>
              <w:t>（2022年度）</w:t>
            </w:r>
          </w:p>
        </w:tc>
      </w:tr>
      <w:tr w:rsidR="00A5193A" w:rsidTr="005A1087">
        <w:trPr>
          <w:trHeight w:val="407"/>
          <w:jc w:val="center"/>
        </w:trPr>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转移支付（项目）名称</w:t>
            </w:r>
          </w:p>
        </w:tc>
        <w:tc>
          <w:tcPr>
            <w:tcW w:w="8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疫情防控</w:t>
            </w:r>
          </w:p>
        </w:tc>
      </w:tr>
      <w:tr w:rsidR="00A5193A" w:rsidTr="005A1087">
        <w:trPr>
          <w:trHeight w:val="323"/>
          <w:jc w:val="center"/>
        </w:trPr>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中央主管部门</w:t>
            </w:r>
          </w:p>
        </w:tc>
        <w:tc>
          <w:tcPr>
            <w:tcW w:w="8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教育部</w:t>
            </w:r>
          </w:p>
        </w:tc>
      </w:tr>
      <w:tr w:rsidR="00A5193A" w:rsidTr="005A1087">
        <w:trPr>
          <w:trHeight w:val="323"/>
          <w:jc w:val="center"/>
        </w:trPr>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地方主管部门</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湖南省教育厅</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资金使用单位</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邵阳职业技术学院</w:t>
            </w:r>
          </w:p>
        </w:tc>
      </w:tr>
      <w:tr w:rsidR="00A5193A" w:rsidTr="005A1087">
        <w:trPr>
          <w:trHeight w:val="448"/>
          <w:jc w:val="center"/>
        </w:trPr>
        <w:tc>
          <w:tcPr>
            <w:tcW w:w="29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资金投入情况</w:t>
            </w:r>
            <w:r>
              <w:rPr>
                <w:rFonts w:hint="eastAsia"/>
                <w:color w:val="000000"/>
                <w:sz w:val="20"/>
                <w:szCs w:val="20"/>
              </w:rPr>
              <w:br/>
              <w:t>（万元）</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全年预算数（A）</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全年执行数（B）</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预算执行率</w:t>
            </w:r>
            <w:r>
              <w:rPr>
                <w:rFonts w:hint="eastAsia"/>
                <w:color w:val="000000"/>
                <w:sz w:val="20"/>
                <w:szCs w:val="20"/>
              </w:rPr>
              <w:br/>
              <w:t>（B/A×100%)</w:t>
            </w:r>
          </w:p>
        </w:tc>
      </w:tr>
      <w:tr w:rsidR="00A5193A" w:rsidTr="005A1087">
        <w:trPr>
          <w:trHeight w:val="323"/>
          <w:jc w:val="center"/>
        </w:trPr>
        <w:tc>
          <w:tcPr>
            <w:tcW w:w="29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年度资金总额：</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120.6475万元</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120.6475万元</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100.00%</w:t>
            </w:r>
          </w:p>
        </w:tc>
      </w:tr>
      <w:tr w:rsidR="00A5193A" w:rsidTr="005A1087">
        <w:trPr>
          <w:trHeight w:val="323"/>
          <w:jc w:val="center"/>
        </w:trPr>
        <w:tc>
          <w:tcPr>
            <w:tcW w:w="29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Style w:val="font111"/>
                <w:rFonts w:hint="default"/>
              </w:rPr>
              <w:t>其中：中央财政资金</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12万元</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12万元</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100.00%</w:t>
            </w:r>
          </w:p>
        </w:tc>
      </w:tr>
      <w:tr w:rsidR="00A5193A" w:rsidTr="005A1087">
        <w:trPr>
          <w:trHeight w:val="268"/>
          <w:jc w:val="center"/>
        </w:trPr>
        <w:tc>
          <w:tcPr>
            <w:tcW w:w="29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Style w:val="font111"/>
                <w:rFonts w:hint="default"/>
              </w:rPr>
              <w:t xml:space="preserve">      地方资金</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108.6475万元</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108.6475万元</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100.00%</w:t>
            </w:r>
          </w:p>
        </w:tc>
      </w:tr>
      <w:tr w:rsidR="00A5193A" w:rsidTr="005A1087">
        <w:trPr>
          <w:trHeight w:val="193"/>
          <w:jc w:val="center"/>
        </w:trPr>
        <w:tc>
          <w:tcPr>
            <w:tcW w:w="29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18"/>
                <w:szCs w:val="18"/>
              </w:rPr>
            </w:pPr>
            <w:r>
              <w:rPr>
                <w:rStyle w:val="font111"/>
                <w:rFonts w:hint="default"/>
              </w:rPr>
              <w:t xml:space="preserve">  其他资金</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38"/>
          <w:jc w:val="center"/>
        </w:trPr>
        <w:tc>
          <w:tcPr>
            <w:tcW w:w="2958" w:type="dxa"/>
            <w:gridSpan w:val="3"/>
            <w:vMerge w:val="restart"/>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资金管理情况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18"/>
                <w:szCs w:val="18"/>
              </w:rPr>
            </w:pP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情况说明</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存在问题和改进措施</w:t>
            </w:r>
          </w:p>
        </w:tc>
      </w:tr>
      <w:tr w:rsidR="00A5193A" w:rsidTr="005A1087">
        <w:trPr>
          <w:trHeight w:val="198"/>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分配科学性</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合理</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08"/>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下达及时性</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及时</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23"/>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拨付合规性</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合规</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193"/>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使用规范性</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规范</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38"/>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执行准确性</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准确</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38"/>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预算绩效管理情况</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38"/>
          <w:jc w:val="center"/>
        </w:trPr>
        <w:tc>
          <w:tcPr>
            <w:tcW w:w="2958" w:type="dxa"/>
            <w:gridSpan w:val="3"/>
            <w:vMerge/>
            <w:tcBorders>
              <w:top w:val="single" w:sz="4" w:space="0" w:color="000000"/>
              <w:left w:val="single" w:sz="4" w:space="0" w:color="000000"/>
              <w:bottom w:val="single" w:sz="4" w:space="0" w:color="000000"/>
              <w:right w:val="nil"/>
            </w:tcBorders>
            <w:shd w:val="clear" w:color="auto" w:fill="auto"/>
            <w:vAlign w:val="center"/>
          </w:tcPr>
          <w:p w:rsidR="00A5193A" w:rsidRDefault="00A5193A" w:rsidP="005A1087">
            <w:pPr>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支出责任履行情况</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r>
      <w:tr w:rsidR="00A5193A" w:rsidTr="005A1087">
        <w:trPr>
          <w:trHeight w:val="253"/>
          <w:jc w:val="center"/>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总体目标完成情况</w:t>
            </w:r>
          </w:p>
        </w:tc>
        <w:tc>
          <w:tcPr>
            <w:tcW w:w="50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总体目标</w:t>
            </w:r>
          </w:p>
        </w:tc>
        <w:tc>
          <w:tcPr>
            <w:tcW w:w="5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全年实际完成情况</w:t>
            </w:r>
          </w:p>
        </w:tc>
      </w:tr>
      <w:tr w:rsidR="00A5193A" w:rsidTr="005A1087">
        <w:trPr>
          <w:trHeight w:val="51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5045" w:type="dxa"/>
            <w:gridSpan w:val="4"/>
            <w:tcBorders>
              <w:top w:val="single" w:sz="4" w:space="0" w:color="000000"/>
              <w:left w:val="single" w:sz="4" w:space="0" w:color="000000"/>
              <w:bottom w:val="single" w:sz="4" w:space="0" w:color="000000"/>
              <w:right w:val="single" w:sz="4" w:space="0" w:color="000000"/>
            </w:tcBorders>
            <w:shd w:val="clear" w:color="auto" w:fill="auto"/>
          </w:tcPr>
          <w:p w:rsidR="00A5193A" w:rsidRDefault="00A5193A" w:rsidP="005A1087">
            <w:pPr>
              <w:textAlignment w:val="top"/>
              <w:rPr>
                <w:color w:val="000000"/>
                <w:sz w:val="20"/>
                <w:szCs w:val="20"/>
              </w:rPr>
            </w:pPr>
            <w:r>
              <w:rPr>
                <w:rFonts w:hint="eastAsia"/>
                <w:color w:val="000000"/>
                <w:sz w:val="20"/>
                <w:szCs w:val="20"/>
              </w:rPr>
              <w:t>为疫情防控工作提供经费保障，确保疫情防控工作正常、有效开展。</w:t>
            </w:r>
          </w:p>
        </w:tc>
        <w:tc>
          <w:tcPr>
            <w:tcW w:w="5275" w:type="dxa"/>
            <w:gridSpan w:val="3"/>
            <w:tcBorders>
              <w:top w:val="single" w:sz="4" w:space="0" w:color="000000"/>
              <w:left w:val="single" w:sz="4" w:space="0" w:color="000000"/>
              <w:bottom w:val="single" w:sz="4" w:space="0" w:color="000000"/>
              <w:right w:val="single" w:sz="4" w:space="0" w:color="000000"/>
            </w:tcBorders>
            <w:shd w:val="clear" w:color="auto" w:fill="auto"/>
          </w:tcPr>
          <w:p w:rsidR="00A5193A" w:rsidRDefault="00A5193A" w:rsidP="005A1087">
            <w:pPr>
              <w:textAlignment w:val="top"/>
              <w:rPr>
                <w:color w:val="000000"/>
                <w:sz w:val="20"/>
                <w:szCs w:val="20"/>
              </w:rPr>
            </w:pPr>
            <w:r>
              <w:rPr>
                <w:rFonts w:hint="eastAsia"/>
                <w:color w:val="000000"/>
                <w:sz w:val="20"/>
                <w:szCs w:val="20"/>
              </w:rPr>
              <w:t>疫情防控工作正常顺利有效开展，疫情防控工作取得了决定性胜利</w:t>
            </w:r>
          </w:p>
        </w:tc>
      </w:tr>
      <w:tr w:rsidR="00A5193A" w:rsidTr="005A1087">
        <w:trPr>
          <w:trHeight w:val="433"/>
          <w:jc w:val="center"/>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textAlignment w:val="center"/>
              <w:rPr>
                <w:color w:val="000000"/>
                <w:sz w:val="20"/>
                <w:szCs w:val="20"/>
              </w:rPr>
            </w:pPr>
            <w:r>
              <w:rPr>
                <w:rFonts w:hint="eastAsia"/>
                <w:color w:val="000000"/>
                <w:sz w:val="20"/>
                <w:szCs w:val="20"/>
              </w:rPr>
              <w:t>绩效指标</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一级</w:t>
            </w:r>
            <w:r>
              <w:rPr>
                <w:rFonts w:hint="eastAsia"/>
                <w:color w:val="000000"/>
                <w:sz w:val="20"/>
                <w:szCs w:val="20"/>
              </w:rPr>
              <w:br/>
              <w:t>指标</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二级指标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三级指标</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指标值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全年实际完成值</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未完成原因和改进措施</w:t>
            </w:r>
          </w:p>
        </w:tc>
      </w:tr>
      <w:tr w:rsidR="00A5193A" w:rsidTr="005A1087">
        <w:trPr>
          <w:trHeight w:val="28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产</w:t>
            </w:r>
            <w:r>
              <w:rPr>
                <w:rFonts w:hint="eastAsia"/>
                <w:color w:val="000000"/>
                <w:sz w:val="20"/>
                <w:szCs w:val="20"/>
              </w:rPr>
              <w:br/>
              <w:t>出</w:t>
            </w:r>
            <w:r>
              <w:rPr>
                <w:rFonts w:hint="eastAsia"/>
                <w:color w:val="000000"/>
                <w:sz w:val="20"/>
                <w:szCs w:val="20"/>
              </w:rPr>
              <w:br/>
              <w:t>指</w:t>
            </w:r>
            <w:r>
              <w:rPr>
                <w:rFonts w:hint="eastAsia"/>
                <w:color w:val="000000"/>
                <w:sz w:val="20"/>
                <w:szCs w:val="20"/>
              </w:rPr>
              <w:br/>
              <w:t>标</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数量指标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2022年疫情防控工作经费</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120.6475万元</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120.6475万元</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144"/>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14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质量指标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时效指标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资金足额及时到位</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100%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textAlignment w:val="center"/>
              <w:rPr>
                <w:color w:val="000000"/>
                <w:sz w:val="20"/>
                <w:szCs w:val="20"/>
              </w:rPr>
            </w:pPr>
            <w:r>
              <w:rPr>
                <w:rFonts w:hint="eastAsia"/>
                <w:color w:val="000000"/>
                <w:sz w:val="20"/>
                <w:szCs w:val="20"/>
              </w:rPr>
              <w:t>100%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19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成本指标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效益指标</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经济益</w:t>
            </w:r>
            <w:r>
              <w:rPr>
                <w:rFonts w:hint="eastAsia"/>
                <w:color w:val="000000"/>
                <w:sz w:val="20"/>
                <w:szCs w:val="20"/>
              </w:rPr>
              <w:br/>
              <w:t>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right"/>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34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both"/>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both"/>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both"/>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both"/>
              <w:rPr>
                <w:color w:val="000000"/>
                <w:sz w:val="20"/>
                <w:szCs w:val="20"/>
              </w:rPr>
            </w:pPr>
          </w:p>
        </w:tc>
      </w:tr>
      <w:tr w:rsidR="00A5193A" w:rsidTr="005A1087">
        <w:trPr>
          <w:trHeight w:val="9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社会益</w:t>
            </w:r>
            <w:r>
              <w:rPr>
                <w:rFonts w:hint="eastAsia"/>
                <w:color w:val="000000"/>
                <w:sz w:val="20"/>
                <w:szCs w:val="20"/>
              </w:rPr>
              <w:br/>
              <w:t>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1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生态效益指标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4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2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可持续影响指标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2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26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342"/>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满意度指标</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服务对象满意度指标</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300"/>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333"/>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5193A" w:rsidRDefault="00A5193A" w:rsidP="005A1087">
            <w:pPr>
              <w:jc w:val="center"/>
              <w:rPr>
                <w:color w:val="000000"/>
                <w:sz w:val="20"/>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rPr>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rPr>
                <w:color w:val="000000"/>
                <w:sz w:val="20"/>
                <w:szCs w:val="20"/>
              </w:rPr>
            </w:pPr>
          </w:p>
        </w:tc>
      </w:tr>
      <w:tr w:rsidR="00A5193A" w:rsidTr="005A1087">
        <w:trPr>
          <w:trHeight w:val="323"/>
          <w:jc w:val="center"/>
        </w:trPr>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jc w:val="center"/>
              <w:textAlignment w:val="center"/>
              <w:rPr>
                <w:color w:val="000000"/>
                <w:sz w:val="20"/>
                <w:szCs w:val="20"/>
              </w:rPr>
            </w:pPr>
            <w:r>
              <w:rPr>
                <w:rFonts w:hint="eastAsia"/>
                <w:color w:val="000000"/>
                <w:sz w:val="20"/>
                <w:szCs w:val="20"/>
              </w:rPr>
              <w:t>说明</w:t>
            </w:r>
          </w:p>
        </w:tc>
        <w:tc>
          <w:tcPr>
            <w:tcW w:w="103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请在此处简要说明中央巡视、各级审计和财政监督中发现的问题及其所涉及的金额，如没有请填无。</w:t>
            </w:r>
          </w:p>
        </w:tc>
      </w:tr>
      <w:tr w:rsidR="00A5193A" w:rsidTr="005A1087">
        <w:trPr>
          <w:trHeight w:val="263"/>
          <w:jc w:val="center"/>
        </w:trPr>
        <w:tc>
          <w:tcPr>
            <w:tcW w:w="11359" w:type="dxa"/>
            <w:gridSpan w:val="8"/>
            <w:tcBorders>
              <w:top w:val="nil"/>
              <w:left w:val="nil"/>
              <w:bottom w:val="nil"/>
              <w:right w:val="nil"/>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注：1.资金使用单位按项目绩效目标填报，主管部门汇总时按区域绩效目标填报。</w:t>
            </w:r>
          </w:p>
        </w:tc>
      </w:tr>
      <w:tr w:rsidR="00A5193A" w:rsidTr="005A1087">
        <w:trPr>
          <w:trHeight w:val="518"/>
          <w:jc w:val="center"/>
        </w:trPr>
        <w:tc>
          <w:tcPr>
            <w:tcW w:w="11359" w:type="dxa"/>
            <w:gridSpan w:val="8"/>
            <w:tcBorders>
              <w:top w:val="nil"/>
              <w:left w:val="nil"/>
              <w:bottom w:val="nil"/>
              <w:right w:val="nil"/>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 xml:space="preserve">    2.其他资金包括与中央财政资金、地方财政资金共同投入到同一项目的自有资金、社会资金，以及以前年度的结转结余资金等。</w:t>
            </w:r>
          </w:p>
        </w:tc>
      </w:tr>
      <w:tr w:rsidR="00A5193A" w:rsidTr="005A1087">
        <w:trPr>
          <w:trHeight w:val="263"/>
          <w:jc w:val="center"/>
        </w:trPr>
        <w:tc>
          <w:tcPr>
            <w:tcW w:w="11359" w:type="dxa"/>
            <w:gridSpan w:val="8"/>
            <w:tcBorders>
              <w:top w:val="nil"/>
              <w:left w:val="nil"/>
              <w:bottom w:val="nil"/>
              <w:right w:val="nil"/>
            </w:tcBorders>
            <w:shd w:val="clear" w:color="auto" w:fill="auto"/>
            <w:vAlign w:val="center"/>
          </w:tcPr>
          <w:p w:rsidR="00A5193A" w:rsidRDefault="00A5193A" w:rsidP="005A1087">
            <w:pPr>
              <w:textAlignment w:val="center"/>
              <w:rPr>
                <w:color w:val="000000"/>
                <w:sz w:val="20"/>
                <w:szCs w:val="20"/>
              </w:rPr>
            </w:pPr>
            <w:r>
              <w:rPr>
                <w:rFonts w:hint="eastAsia"/>
                <w:color w:val="000000"/>
                <w:sz w:val="20"/>
                <w:szCs w:val="20"/>
              </w:rPr>
              <w:t xml:space="preserve">    3.全年执行数是指按照国库集中支付制度要求形成的实际支出。</w:t>
            </w:r>
          </w:p>
        </w:tc>
      </w:tr>
    </w:tbl>
    <w:p w:rsidR="00A5193A" w:rsidRDefault="00A5193A" w:rsidP="00A5193A">
      <w:pPr>
        <w:pStyle w:val="a3"/>
        <w:spacing w:before="0" w:beforeAutospacing="0"/>
      </w:pPr>
    </w:p>
    <w:p w:rsidR="001E1E2D" w:rsidRPr="00A5193A" w:rsidRDefault="001E1E2D"/>
    <w:sectPr w:rsidR="001E1E2D" w:rsidRPr="00A5193A" w:rsidSect="001E1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613" w:rsidRDefault="00771613" w:rsidP="0053532E">
      <w:r>
        <w:separator/>
      </w:r>
    </w:p>
  </w:endnote>
  <w:endnote w:type="continuationSeparator" w:id="1">
    <w:p w:rsidR="00771613" w:rsidRDefault="00771613" w:rsidP="00535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Times New Roman Regular">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613" w:rsidRDefault="00771613" w:rsidP="0053532E">
      <w:r>
        <w:separator/>
      </w:r>
    </w:p>
  </w:footnote>
  <w:footnote w:type="continuationSeparator" w:id="1">
    <w:p w:rsidR="00771613" w:rsidRDefault="00771613" w:rsidP="00535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0CA3A"/>
    <w:multiLevelType w:val="singleLevel"/>
    <w:tmpl w:val="8E00CA3A"/>
    <w:lvl w:ilvl="0">
      <w:start w:val="1"/>
      <w:numFmt w:val="chineseCounting"/>
      <w:suff w:val="nothing"/>
      <w:lvlText w:val="%1、"/>
      <w:lvlJc w:val="left"/>
      <w:rPr>
        <w:rFonts w:hint="eastAsia"/>
      </w:rPr>
    </w:lvl>
  </w:abstractNum>
  <w:abstractNum w:abstractNumId="1">
    <w:nsid w:val="D223D2E8"/>
    <w:multiLevelType w:val="singleLevel"/>
    <w:tmpl w:val="D223D2E8"/>
    <w:lvl w:ilvl="0">
      <w:start w:val="4"/>
      <w:numFmt w:val="chineseCounting"/>
      <w:suff w:val="nothing"/>
      <w:lvlText w:val="%1、"/>
      <w:lvlJc w:val="left"/>
      <w:rPr>
        <w:rFonts w:hint="eastAsia"/>
      </w:rPr>
    </w:lvl>
  </w:abstractNum>
  <w:abstractNum w:abstractNumId="2">
    <w:nsid w:val="0C4F56A1"/>
    <w:multiLevelType w:val="singleLevel"/>
    <w:tmpl w:val="0C4F56A1"/>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93A"/>
    <w:rsid w:val="001E1E2D"/>
    <w:rsid w:val="002E65FB"/>
    <w:rsid w:val="0053532E"/>
    <w:rsid w:val="006720F1"/>
    <w:rsid w:val="00771613"/>
    <w:rsid w:val="00A51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193A"/>
    <w:pPr>
      <w:spacing w:before="100" w:beforeAutospacing="1" w:after="100" w:afterAutospacing="1"/>
    </w:pPr>
  </w:style>
  <w:style w:type="paragraph" w:styleId="a4">
    <w:name w:val="No Spacing"/>
    <w:uiPriority w:val="99"/>
    <w:qFormat/>
    <w:rsid w:val="00A5193A"/>
    <w:pPr>
      <w:widowControl w:val="0"/>
      <w:jc w:val="both"/>
    </w:pPr>
    <w:rPr>
      <w:rFonts w:ascii="Calibri" w:eastAsia="宋体" w:hAnsi="Calibri" w:cs="Times New Roman"/>
    </w:rPr>
  </w:style>
  <w:style w:type="character" w:customStyle="1" w:styleId="font111">
    <w:name w:val="font111"/>
    <w:basedOn w:val="a0"/>
    <w:rsid w:val="00A5193A"/>
    <w:rPr>
      <w:rFonts w:ascii="宋体" w:eastAsia="宋体" w:hAnsi="宋体" w:cs="宋体" w:hint="eastAsia"/>
      <w:color w:val="000000"/>
      <w:sz w:val="20"/>
      <w:szCs w:val="20"/>
      <w:u w:val="none"/>
    </w:rPr>
  </w:style>
  <w:style w:type="paragraph" w:styleId="a5">
    <w:name w:val="header"/>
    <w:basedOn w:val="a"/>
    <w:link w:val="Char"/>
    <w:uiPriority w:val="99"/>
    <w:semiHidden/>
    <w:unhideWhenUsed/>
    <w:rsid w:val="00535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3532E"/>
    <w:rPr>
      <w:rFonts w:ascii="宋体" w:eastAsia="宋体" w:hAnsi="宋体" w:cs="宋体"/>
      <w:kern w:val="0"/>
      <w:sz w:val="18"/>
      <w:szCs w:val="18"/>
    </w:rPr>
  </w:style>
  <w:style w:type="paragraph" w:styleId="a6">
    <w:name w:val="footer"/>
    <w:basedOn w:val="a"/>
    <w:link w:val="Char0"/>
    <w:uiPriority w:val="99"/>
    <w:semiHidden/>
    <w:unhideWhenUsed/>
    <w:rsid w:val="0053532E"/>
    <w:pPr>
      <w:tabs>
        <w:tab w:val="center" w:pos="4153"/>
        <w:tab w:val="right" w:pos="8306"/>
      </w:tabs>
      <w:snapToGrid w:val="0"/>
    </w:pPr>
    <w:rPr>
      <w:sz w:val="18"/>
      <w:szCs w:val="18"/>
    </w:rPr>
  </w:style>
  <w:style w:type="character" w:customStyle="1" w:styleId="Char0">
    <w:name w:val="页脚 Char"/>
    <w:basedOn w:val="a0"/>
    <w:link w:val="a6"/>
    <w:uiPriority w:val="99"/>
    <w:semiHidden/>
    <w:rsid w:val="0053532E"/>
    <w:rPr>
      <w:rFonts w:ascii="宋体" w:eastAsia="宋体" w:hAnsi="宋体" w:cs="宋体"/>
      <w:kern w:val="0"/>
      <w:sz w:val="18"/>
      <w:szCs w:val="18"/>
    </w:rPr>
  </w:style>
  <w:style w:type="paragraph" w:styleId="a7">
    <w:name w:val="Date"/>
    <w:basedOn w:val="a"/>
    <w:next w:val="a"/>
    <w:link w:val="Char1"/>
    <w:uiPriority w:val="99"/>
    <w:semiHidden/>
    <w:unhideWhenUsed/>
    <w:rsid w:val="006720F1"/>
    <w:pPr>
      <w:ind w:leftChars="2500" w:left="100"/>
    </w:pPr>
  </w:style>
  <w:style w:type="character" w:customStyle="1" w:styleId="Char1">
    <w:name w:val="日期 Char"/>
    <w:basedOn w:val="a0"/>
    <w:link w:val="a7"/>
    <w:uiPriority w:val="99"/>
    <w:semiHidden/>
    <w:rsid w:val="006720F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2023-09-20T09:46:00Z</dcterms:created>
  <dcterms:modified xsi:type="dcterms:W3CDTF">2023-09-21T08:52:00Z</dcterms:modified>
</cp:coreProperties>
</file>