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28FD2" w14:textId="43E09302" w:rsidR="002D07E3" w:rsidRDefault="002D07E3" w:rsidP="002D07E3">
      <w:pPr>
        <w:adjustRightInd w:val="0"/>
        <w:spacing w:line="600" w:lineRule="exact"/>
        <w:ind w:right="641"/>
        <w:rPr>
          <w:rFonts w:ascii="黑体" w:eastAsia="黑体"/>
          <w:sz w:val="32"/>
          <w:szCs w:val="32"/>
        </w:rPr>
      </w:pPr>
      <w:r>
        <w:rPr>
          <w:rFonts w:ascii="黑体" w:eastAsia="黑体" w:hint="eastAsia"/>
          <w:sz w:val="32"/>
          <w:szCs w:val="32"/>
        </w:rPr>
        <w:t>附件</w:t>
      </w:r>
      <w:r>
        <w:rPr>
          <w:rFonts w:ascii="黑体" w:eastAsia="黑体"/>
          <w:sz w:val="32"/>
          <w:szCs w:val="32"/>
        </w:rPr>
        <w:t>1</w:t>
      </w:r>
    </w:p>
    <w:p w14:paraId="40D429A1" w14:textId="77777777" w:rsidR="002D07E3" w:rsidRDefault="002D07E3" w:rsidP="002D07E3">
      <w:pPr>
        <w:pStyle w:val="a5"/>
        <w:jc w:val="center"/>
        <w:rPr>
          <w:rFonts w:ascii="方正粗黑宋简体" w:eastAsia="方正粗黑宋简体" w:hAnsi="方正粗黑宋简体"/>
          <w:b/>
          <w:bCs/>
          <w:sz w:val="32"/>
          <w:szCs w:val="32"/>
        </w:rPr>
      </w:pPr>
      <w:r>
        <w:rPr>
          <w:rFonts w:eastAsia="方正小标宋_GBK" w:hint="eastAsia"/>
          <w:sz w:val="36"/>
          <w:szCs w:val="36"/>
        </w:rPr>
        <w:t xml:space="preserve">  </w:t>
      </w:r>
      <w:r>
        <w:rPr>
          <w:rFonts w:ascii="方正小标宋简体" w:eastAsia="方正小标宋简体" w:hint="eastAsia"/>
          <w:sz w:val="44"/>
          <w:szCs w:val="44"/>
        </w:rPr>
        <w:t xml:space="preserve"> </w:t>
      </w:r>
      <w:r>
        <w:rPr>
          <w:rFonts w:ascii="方正粗黑宋简体" w:eastAsia="方正粗黑宋简体" w:hAnsi="方正粗黑宋简体" w:hint="eastAsia"/>
          <w:b/>
          <w:bCs/>
          <w:sz w:val="32"/>
          <w:szCs w:val="32"/>
        </w:rPr>
        <w:t>九三学社邵阳市委</w:t>
      </w:r>
    </w:p>
    <w:p w14:paraId="264DE420" w14:textId="77777777" w:rsidR="002D07E3" w:rsidRDefault="002D07E3" w:rsidP="002D07E3">
      <w:pPr>
        <w:pStyle w:val="a5"/>
        <w:jc w:val="center"/>
        <w:rPr>
          <w:rFonts w:ascii="方正粗黑宋简体" w:eastAsia="方正粗黑宋简体" w:hAnsi="方正粗黑宋简体" w:cs="宋体"/>
          <w:kern w:val="0"/>
          <w:sz w:val="32"/>
          <w:szCs w:val="32"/>
        </w:rPr>
      </w:pPr>
      <w:r>
        <w:rPr>
          <w:rFonts w:ascii="方正粗黑宋简体" w:eastAsia="方正粗黑宋简体" w:hAnsi="方正粗黑宋简体"/>
          <w:b/>
          <w:bCs/>
          <w:kern w:val="0"/>
          <w:sz w:val="32"/>
          <w:szCs w:val="32"/>
          <w:shd w:val="clear" w:color="auto" w:fill="FFFFFF"/>
        </w:rPr>
        <w:t>2021</w:t>
      </w:r>
      <w:r>
        <w:rPr>
          <w:rFonts w:ascii="方正粗黑宋简体" w:eastAsia="方正粗黑宋简体" w:hAnsi="方正粗黑宋简体" w:hint="eastAsia"/>
          <w:b/>
          <w:bCs/>
          <w:kern w:val="0"/>
          <w:sz w:val="32"/>
          <w:szCs w:val="32"/>
          <w:shd w:val="clear" w:color="auto" w:fill="FFFFFF"/>
        </w:rPr>
        <w:t>年度部门整体支出绩效评价报告</w:t>
      </w:r>
    </w:p>
    <w:p w14:paraId="153562EA" w14:textId="77777777" w:rsidR="002D07E3" w:rsidRDefault="002D07E3" w:rsidP="002D07E3">
      <w:pPr>
        <w:pStyle w:val="a5"/>
        <w:shd w:val="clear" w:color="auto" w:fill="FFFFFF"/>
        <w:rPr>
          <w:kern w:val="0"/>
          <w:sz w:val="27"/>
          <w:szCs w:val="27"/>
        </w:rPr>
      </w:pPr>
      <w:r>
        <w:rPr>
          <w:rFonts w:hint="eastAsia"/>
          <w:sz w:val="27"/>
          <w:szCs w:val="27"/>
        </w:rPr>
        <w:t>一、部门概况</w:t>
      </w:r>
    </w:p>
    <w:p w14:paraId="3C2062D4" w14:textId="77777777" w:rsidR="002D07E3" w:rsidRDefault="002D07E3" w:rsidP="002D07E3">
      <w:pPr>
        <w:pStyle w:val="a5"/>
        <w:shd w:val="clear" w:color="auto" w:fill="FFFFFF"/>
        <w:rPr>
          <w:sz w:val="27"/>
          <w:szCs w:val="27"/>
        </w:rPr>
      </w:pPr>
      <w:r>
        <w:rPr>
          <w:rFonts w:hint="eastAsia"/>
          <w:sz w:val="27"/>
          <w:szCs w:val="27"/>
        </w:rPr>
        <w:t>（一）部门基本情况</w:t>
      </w:r>
    </w:p>
    <w:p w14:paraId="417C4538" w14:textId="77777777" w:rsidR="002D07E3" w:rsidRDefault="002D07E3" w:rsidP="002D07E3">
      <w:pPr>
        <w:pStyle w:val="a5"/>
        <w:shd w:val="clear" w:color="auto" w:fill="FFFFFF"/>
        <w:rPr>
          <w:sz w:val="27"/>
          <w:szCs w:val="27"/>
        </w:rPr>
      </w:pPr>
      <w:r>
        <w:rPr>
          <w:rFonts w:hint="eastAsia"/>
          <w:sz w:val="27"/>
          <w:szCs w:val="27"/>
        </w:rPr>
        <w:t>1</w:t>
      </w:r>
      <w:r>
        <w:rPr>
          <w:rFonts w:hint="eastAsia"/>
          <w:sz w:val="27"/>
          <w:szCs w:val="27"/>
        </w:rPr>
        <w:t>、部门职能职责：九三学社是以科学技术界高、中级知识分子为主的具有政治联盟特点的、致力于社会主义事业的政党。</w:t>
      </w:r>
    </w:p>
    <w:p w14:paraId="577845E4" w14:textId="77777777" w:rsidR="002D07E3" w:rsidRDefault="002D07E3" w:rsidP="002D07E3">
      <w:pPr>
        <w:pStyle w:val="a5"/>
        <w:shd w:val="clear" w:color="auto" w:fill="FFFFFF"/>
        <w:rPr>
          <w:sz w:val="27"/>
          <w:szCs w:val="27"/>
        </w:rPr>
      </w:pPr>
      <w:r>
        <w:rPr>
          <w:rFonts w:hint="eastAsia"/>
          <w:sz w:val="27"/>
          <w:szCs w:val="27"/>
        </w:rPr>
        <w:t>主要职责是：</w:t>
      </w:r>
    </w:p>
    <w:p w14:paraId="3C1E1FC8" w14:textId="77777777" w:rsidR="002D07E3" w:rsidRDefault="002D07E3" w:rsidP="002D07E3">
      <w:pPr>
        <w:pStyle w:val="a5"/>
        <w:shd w:val="clear" w:color="auto" w:fill="FFFFFF"/>
        <w:ind w:firstLineChars="200" w:firstLine="540"/>
        <w:rPr>
          <w:sz w:val="27"/>
          <w:szCs w:val="27"/>
        </w:rPr>
      </w:pPr>
      <w:r>
        <w:rPr>
          <w:rFonts w:hint="eastAsia"/>
          <w:sz w:val="27"/>
          <w:szCs w:val="27"/>
        </w:rPr>
        <w:t>贯彻执行中国共产党的组织路线、方针、政策，制订、实施九三学社组织建设的规划；负责基层组织的建立、发展及骨干成员的学习与培训；协助中共邵阳市委统战部开展九三学社组织领导班子以及人大代表、政协委员人选的考察、协商和推荐；负责九三学社后备干部队伍的建设与人才举荐工作。</w:t>
      </w:r>
    </w:p>
    <w:p w14:paraId="6AB62155" w14:textId="77777777" w:rsidR="002D07E3" w:rsidRDefault="002D07E3" w:rsidP="002D07E3">
      <w:pPr>
        <w:pStyle w:val="a5"/>
        <w:shd w:val="clear" w:color="auto" w:fill="FFFFFF"/>
        <w:ind w:firstLineChars="200" w:firstLine="540"/>
        <w:rPr>
          <w:sz w:val="27"/>
          <w:szCs w:val="27"/>
        </w:rPr>
      </w:pPr>
      <w:r>
        <w:rPr>
          <w:rFonts w:hint="eastAsia"/>
          <w:sz w:val="27"/>
          <w:szCs w:val="27"/>
        </w:rPr>
        <w:t>制订九三学社参政议政工作计划，指导和推动九三学社基层组织的参政议政工作；组织开展参政议政活动，完成参政议政专题调研和其它有关调研任务；负责政协大会的发言材料、提案准备工作；组织成员就中共市委和市政府工作报告、市有关决策文件征求意见稿提出修改意见；反映社情民意，做好九三学社参政议政信息工作；做好与市政府有关厅局、部门的对口联系的工作。</w:t>
      </w:r>
    </w:p>
    <w:p w14:paraId="6829A65F" w14:textId="77777777" w:rsidR="002D07E3" w:rsidRDefault="002D07E3" w:rsidP="002D07E3">
      <w:pPr>
        <w:pStyle w:val="a5"/>
        <w:shd w:val="clear" w:color="auto" w:fill="FFFFFF"/>
        <w:rPr>
          <w:sz w:val="27"/>
          <w:szCs w:val="27"/>
        </w:rPr>
      </w:pPr>
      <w:r>
        <w:rPr>
          <w:rFonts w:hint="eastAsia"/>
          <w:sz w:val="27"/>
          <w:szCs w:val="27"/>
        </w:rPr>
        <w:t>2</w:t>
      </w:r>
      <w:r>
        <w:rPr>
          <w:rFonts w:hint="eastAsia"/>
          <w:sz w:val="27"/>
          <w:szCs w:val="27"/>
        </w:rPr>
        <w:t>、机构基本情况：单位内设办公室，无下属二级机构。</w:t>
      </w:r>
    </w:p>
    <w:p w14:paraId="20E08B51" w14:textId="7F8B6975" w:rsidR="002D07E3" w:rsidRDefault="002D07E3" w:rsidP="002D07E3">
      <w:pPr>
        <w:pStyle w:val="a5"/>
        <w:shd w:val="clear" w:color="auto" w:fill="FFFFFF"/>
        <w:rPr>
          <w:sz w:val="27"/>
          <w:szCs w:val="27"/>
        </w:rPr>
      </w:pPr>
      <w:r>
        <w:rPr>
          <w:rFonts w:hint="eastAsia"/>
          <w:sz w:val="27"/>
          <w:szCs w:val="27"/>
        </w:rPr>
        <w:t>3</w:t>
      </w:r>
      <w:r>
        <w:rPr>
          <w:rFonts w:hint="eastAsia"/>
          <w:sz w:val="27"/>
          <w:szCs w:val="27"/>
        </w:rPr>
        <w:t>．机构人员情况：单位共有编制</w:t>
      </w:r>
      <w:r>
        <w:rPr>
          <w:rFonts w:hint="eastAsia"/>
          <w:sz w:val="27"/>
          <w:szCs w:val="27"/>
        </w:rPr>
        <w:t>3</w:t>
      </w:r>
      <w:r>
        <w:rPr>
          <w:rFonts w:hint="eastAsia"/>
          <w:sz w:val="27"/>
          <w:szCs w:val="27"/>
        </w:rPr>
        <w:t>名，其中行政编制为</w:t>
      </w:r>
      <w:r>
        <w:rPr>
          <w:rFonts w:hint="eastAsia"/>
          <w:sz w:val="27"/>
          <w:szCs w:val="27"/>
        </w:rPr>
        <w:t>3</w:t>
      </w:r>
      <w:r>
        <w:rPr>
          <w:rFonts w:hint="eastAsia"/>
          <w:sz w:val="27"/>
          <w:szCs w:val="27"/>
        </w:rPr>
        <w:t>名。年末单位共有人员</w:t>
      </w:r>
      <w:r>
        <w:rPr>
          <w:sz w:val="27"/>
          <w:szCs w:val="27"/>
        </w:rPr>
        <w:t>2</w:t>
      </w:r>
      <w:r>
        <w:rPr>
          <w:rFonts w:hint="eastAsia"/>
          <w:sz w:val="27"/>
          <w:szCs w:val="27"/>
        </w:rPr>
        <w:t>名，其中在职人员</w:t>
      </w:r>
      <w:r>
        <w:rPr>
          <w:sz w:val="27"/>
          <w:szCs w:val="27"/>
        </w:rPr>
        <w:t>2</w:t>
      </w:r>
      <w:r>
        <w:rPr>
          <w:rFonts w:hint="eastAsia"/>
          <w:sz w:val="27"/>
          <w:szCs w:val="27"/>
        </w:rPr>
        <w:t>名。</w:t>
      </w:r>
    </w:p>
    <w:p w14:paraId="614D5F1E" w14:textId="77777777" w:rsidR="002D07E3" w:rsidRDefault="002D07E3" w:rsidP="002D07E3">
      <w:pPr>
        <w:pStyle w:val="a5"/>
        <w:shd w:val="clear" w:color="auto" w:fill="FFFFFF"/>
        <w:rPr>
          <w:sz w:val="27"/>
          <w:szCs w:val="27"/>
        </w:rPr>
      </w:pPr>
      <w:r>
        <w:rPr>
          <w:rFonts w:hint="eastAsia"/>
          <w:sz w:val="27"/>
          <w:szCs w:val="27"/>
        </w:rPr>
        <w:lastRenderedPageBreak/>
        <w:t>（二）部门整体支出规模、使用方向和主要内容、涉及范围等。</w:t>
      </w:r>
    </w:p>
    <w:p w14:paraId="7046E0AE" w14:textId="77777777" w:rsidR="002D07E3" w:rsidRDefault="002D07E3" w:rsidP="002D07E3">
      <w:pPr>
        <w:pStyle w:val="a5"/>
        <w:shd w:val="clear" w:color="auto" w:fill="FFFFFF"/>
        <w:ind w:firstLineChars="200" w:firstLine="540"/>
        <w:rPr>
          <w:sz w:val="27"/>
          <w:szCs w:val="27"/>
        </w:rPr>
      </w:pPr>
      <w:r>
        <w:rPr>
          <w:rFonts w:hint="eastAsia"/>
          <w:sz w:val="27"/>
          <w:szCs w:val="27"/>
        </w:rPr>
        <w:t>根据《会计法》、《预算法》、《行政单位会计制度》等法律和财政部及省财政厅有关财务规章的规定，《邵阳市党政机关国内公务接待管理细则》、《邵阳市本级行政事业单位办公设备设施配置标准》、《邵阳市市直机关培训费、差旅费、会议费管理办法》等文件，完善了单位财务管理制度。制度明确了经费审批权限和程序，规范了财务报账流程，对公务接待、公车运行维护费、差旅费、培训费等开支进一步细化管理，确保资金在制度下运行、在监督下运行、在阳光下运行。</w:t>
      </w:r>
      <w:r>
        <w:rPr>
          <w:rFonts w:hint="eastAsia"/>
          <w:sz w:val="27"/>
          <w:szCs w:val="27"/>
        </w:rPr>
        <w:t xml:space="preserve"> </w:t>
      </w:r>
    </w:p>
    <w:p w14:paraId="6A266ACB" w14:textId="0AC51BD7" w:rsidR="002D07E3" w:rsidRDefault="002D07E3" w:rsidP="002D07E3">
      <w:pPr>
        <w:pStyle w:val="a5"/>
        <w:shd w:val="clear" w:color="auto" w:fill="FFFFFF"/>
        <w:ind w:firstLineChars="200" w:firstLine="540"/>
        <w:rPr>
          <w:sz w:val="27"/>
          <w:szCs w:val="27"/>
        </w:rPr>
      </w:pPr>
      <w:r>
        <w:rPr>
          <w:rFonts w:hint="eastAsia"/>
          <w:sz w:val="27"/>
          <w:szCs w:val="27"/>
        </w:rPr>
        <w:t>202</w:t>
      </w:r>
      <w:r>
        <w:rPr>
          <w:sz w:val="27"/>
          <w:szCs w:val="27"/>
        </w:rPr>
        <w:t>1</w:t>
      </w:r>
      <w:r>
        <w:rPr>
          <w:rFonts w:hint="eastAsia"/>
          <w:sz w:val="27"/>
          <w:szCs w:val="27"/>
        </w:rPr>
        <w:t>年我单位总支出</w:t>
      </w:r>
      <w:r w:rsidR="00B85CC6">
        <w:rPr>
          <w:sz w:val="27"/>
          <w:szCs w:val="27"/>
        </w:rPr>
        <w:t>83.46</w:t>
      </w:r>
      <w:r>
        <w:rPr>
          <w:rFonts w:hint="eastAsia"/>
          <w:sz w:val="27"/>
          <w:szCs w:val="27"/>
        </w:rPr>
        <w:t>万元，其中人员支出：</w:t>
      </w:r>
      <w:r w:rsidR="00DE6A2A">
        <w:rPr>
          <w:sz w:val="27"/>
          <w:szCs w:val="27"/>
        </w:rPr>
        <w:t>57.82</w:t>
      </w:r>
      <w:r>
        <w:rPr>
          <w:rFonts w:hint="eastAsia"/>
          <w:sz w:val="27"/>
          <w:szCs w:val="27"/>
        </w:rPr>
        <w:t>万元，日常公用经费支出</w:t>
      </w:r>
      <w:r w:rsidR="00DE6A2A">
        <w:rPr>
          <w:sz w:val="27"/>
          <w:szCs w:val="27"/>
        </w:rPr>
        <w:t>15.12</w:t>
      </w:r>
      <w:r>
        <w:rPr>
          <w:rFonts w:hint="eastAsia"/>
          <w:sz w:val="27"/>
          <w:szCs w:val="27"/>
        </w:rPr>
        <w:t>万元</w:t>
      </w:r>
      <w:r w:rsidR="00B85CC6">
        <w:rPr>
          <w:rFonts w:hint="eastAsia"/>
          <w:sz w:val="27"/>
          <w:szCs w:val="27"/>
        </w:rPr>
        <w:t>,</w:t>
      </w:r>
      <w:r w:rsidR="00B85CC6">
        <w:rPr>
          <w:rFonts w:hint="eastAsia"/>
          <w:sz w:val="27"/>
          <w:szCs w:val="27"/>
        </w:rPr>
        <w:t>项目支出：</w:t>
      </w:r>
      <w:r w:rsidR="00B85CC6">
        <w:rPr>
          <w:rFonts w:hint="eastAsia"/>
          <w:sz w:val="27"/>
          <w:szCs w:val="27"/>
        </w:rPr>
        <w:t>1</w:t>
      </w:r>
      <w:r w:rsidR="00B85CC6">
        <w:rPr>
          <w:sz w:val="27"/>
          <w:szCs w:val="27"/>
        </w:rPr>
        <w:t>0.52</w:t>
      </w:r>
      <w:r w:rsidR="00B85CC6">
        <w:rPr>
          <w:rFonts w:hint="eastAsia"/>
          <w:sz w:val="27"/>
          <w:szCs w:val="27"/>
        </w:rPr>
        <w:t>万元</w:t>
      </w:r>
      <w:r>
        <w:rPr>
          <w:rFonts w:hint="eastAsia"/>
          <w:sz w:val="27"/>
          <w:szCs w:val="27"/>
        </w:rPr>
        <w:t>。</w:t>
      </w:r>
    </w:p>
    <w:p w14:paraId="5EDBEA0D" w14:textId="7519BE6E" w:rsidR="002D07E3" w:rsidRDefault="002D07E3" w:rsidP="002D07E3">
      <w:pPr>
        <w:pStyle w:val="a5"/>
        <w:shd w:val="clear" w:color="auto" w:fill="FFFFFF"/>
        <w:rPr>
          <w:sz w:val="27"/>
          <w:szCs w:val="27"/>
        </w:rPr>
      </w:pPr>
      <w:r>
        <w:rPr>
          <w:rFonts w:hint="eastAsia"/>
          <w:sz w:val="27"/>
          <w:szCs w:val="27"/>
        </w:rPr>
        <w:t xml:space="preserve">  </w:t>
      </w:r>
      <w:r>
        <w:rPr>
          <w:rFonts w:hint="eastAsia"/>
          <w:sz w:val="27"/>
          <w:szCs w:val="27"/>
        </w:rPr>
        <w:t>“三公”经费支出情况：公务接待费</w:t>
      </w:r>
      <w:r>
        <w:rPr>
          <w:rFonts w:hint="eastAsia"/>
          <w:sz w:val="27"/>
          <w:szCs w:val="27"/>
        </w:rPr>
        <w:t>0.</w:t>
      </w:r>
      <w:r w:rsidR="00DE6A2A">
        <w:rPr>
          <w:sz w:val="27"/>
          <w:szCs w:val="27"/>
        </w:rPr>
        <w:t>28</w:t>
      </w:r>
      <w:r>
        <w:rPr>
          <w:rFonts w:hint="eastAsia"/>
          <w:sz w:val="27"/>
          <w:szCs w:val="27"/>
        </w:rPr>
        <w:t>万元</w:t>
      </w:r>
      <w:r>
        <w:rPr>
          <w:rFonts w:hint="eastAsia"/>
          <w:sz w:val="27"/>
          <w:szCs w:val="27"/>
        </w:rPr>
        <w:t>,</w:t>
      </w:r>
      <w:r>
        <w:rPr>
          <w:rFonts w:hint="eastAsia"/>
          <w:sz w:val="27"/>
          <w:szCs w:val="27"/>
        </w:rPr>
        <w:t>比上年度略有下降，我单位没有公务用车，全年没有出国出境（因公赴台）费用支出。本年度公务接待批次</w:t>
      </w:r>
      <w:r w:rsidR="00DE6A2A">
        <w:rPr>
          <w:sz w:val="27"/>
          <w:szCs w:val="27"/>
        </w:rPr>
        <w:t>15</w:t>
      </w:r>
      <w:r>
        <w:rPr>
          <w:rFonts w:hint="eastAsia"/>
          <w:sz w:val="27"/>
          <w:szCs w:val="27"/>
        </w:rPr>
        <w:t>次，人数</w:t>
      </w:r>
      <w:r w:rsidR="00DE6A2A">
        <w:rPr>
          <w:sz w:val="27"/>
          <w:szCs w:val="27"/>
        </w:rPr>
        <w:t>6</w:t>
      </w:r>
      <w:r>
        <w:rPr>
          <w:rFonts w:hint="eastAsia"/>
          <w:sz w:val="27"/>
          <w:szCs w:val="27"/>
        </w:rPr>
        <w:t>5</w:t>
      </w:r>
      <w:r>
        <w:rPr>
          <w:rFonts w:hint="eastAsia"/>
          <w:sz w:val="27"/>
          <w:szCs w:val="27"/>
        </w:rPr>
        <w:t>人。从整体情况来看，单位严格按照年初预算进行部门整体支出。在支出过程中，能严格遵守各项规章制度，“三公经费”明显下降。所有项目都详细制定了方案，严格按方案组织实施，并加强了监督。</w:t>
      </w:r>
    </w:p>
    <w:p w14:paraId="35AEDBAD" w14:textId="77777777" w:rsidR="002D07E3" w:rsidRDefault="002D07E3" w:rsidP="002D07E3">
      <w:pPr>
        <w:pStyle w:val="a5"/>
        <w:shd w:val="clear" w:color="auto" w:fill="FFFFFF"/>
        <w:rPr>
          <w:sz w:val="27"/>
          <w:szCs w:val="27"/>
        </w:rPr>
      </w:pPr>
      <w:r>
        <w:rPr>
          <w:rFonts w:hint="eastAsia"/>
          <w:sz w:val="27"/>
          <w:szCs w:val="27"/>
        </w:rPr>
        <w:t>二、部门整体支出管理及使用情况</w:t>
      </w:r>
    </w:p>
    <w:p w14:paraId="102E455B" w14:textId="77777777" w:rsidR="002D07E3" w:rsidRDefault="002D07E3" w:rsidP="002D07E3">
      <w:pPr>
        <w:pStyle w:val="a5"/>
        <w:shd w:val="clear" w:color="auto" w:fill="FFFFFF"/>
        <w:rPr>
          <w:sz w:val="27"/>
          <w:szCs w:val="27"/>
        </w:rPr>
      </w:pPr>
      <w:r>
        <w:rPr>
          <w:rFonts w:hint="eastAsia"/>
          <w:sz w:val="27"/>
          <w:szCs w:val="27"/>
        </w:rPr>
        <w:t>（一）预算执行情况</w:t>
      </w:r>
    </w:p>
    <w:p w14:paraId="5A276ECD" w14:textId="5780289B" w:rsidR="002D07E3" w:rsidRDefault="002D07E3" w:rsidP="002D07E3">
      <w:pPr>
        <w:pStyle w:val="a5"/>
        <w:shd w:val="clear" w:color="auto" w:fill="FFFFFF"/>
        <w:ind w:firstLineChars="200" w:firstLine="540"/>
        <w:rPr>
          <w:sz w:val="27"/>
          <w:szCs w:val="27"/>
        </w:rPr>
      </w:pPr>
      <w:r>
        <w:rPr>
          <w:rFonts w:hint="eastAsia"/>
          <w:sz w:val="27"/>
          <w:szCs w:val="27"/>
        </w:rPr>
        <w:t>本年年初预算数为</w:t>
      </w:r>
      <w:r w:rsidR="005B69D8">
        <w:rPr>
          <w:sz w:val="27"/>
          <w:szCs w:val="27"/>
        </w:rPr>
        <w:t>81.19</w:t>
      </w:r>
      <w:r>
        <w:rPr>
          <w:rFonts w:hint="eastAsia"/>
          <w:sz w:val="27"/>
          <w:szCs w:val="27"/>
        </w:rPr>
        <w:t>万元，调整</w:t>
      </w:r>
      <w:proofErr w:type="gramStart"/>
      <w:r>
        <w:rPr>
          <w:rFonts w:hint="eastAsia"/>
          <w:sz w:val="27"/>
          <w:szCs w:val="27"/>
        </w:rPr>
        <w:t>后预算</w:t>
      </w:r>
      <w:proofErr w:type="gramEnd"/>
      <w:r>
        <w:rPr>
          <w:rFonts w:hint="eastAsia"/>
          <w:sz w:val="27"/>
          <w:szCs w:val="27"/>
        </w:rPr>
        <w:t>收入</w:t>
      </w:r>
      <w:r w:rsidR="0001008B">
        <w:rPr>
          <w:sz w:val="27"/>
          <w:szCs w:val="27"/>
        </w:rPr>
        <w:t>121.20</w:t>
      </w:r>
      <w:r>
        <w:rPr>
          <w:rFonts w:hint="eastAsia"/>
          <w:sz w:val="27"/>
          <w:szCs w:val="27"/>
        </w:rPr>
        <w:t>万元</w:t>
      </w:r>
      <w:r>
        <w:rPr>
          <w:rFonts w:hint="eastAsia"/>
          <w:sz w:val="27"/>
          <w:szCs w:val="27"/>
        </w:rPr>
        <w:t>,</w:t>
      </w:r>
      <w:r>
        <w:rPr>
          <w:rFonts w:hint="eastAsia"/>
          <w:sz w:val="27"/>
          <w:szCs w:val="27"/>
        </w:rPr>
        <w:t>支出</w:t>
      </w:r>
      <w:r w:rsidR="00DE6A2A">
        <w:rPr>
          <w:sz w:val="27"/>
          <w:szCs w:val="27"/>
        </w:rPr>
        <w:t>83.46</w:t>
      </w:r>
      <w:r>
        <w:rPr>
          <w:rFonts w:hint="eastAsia"/>
          <w:sz w:val="27"/>
          <w:szCs w:val="27"/>
        </w:rPr>
        <w:t>万元，预算年中调整主要是人员工资调整、增加绩效奖金预算。</w:t>
      </w:r>
    </w:p>
    <w:p w14:paraId="35D297E6" w14:textId="77777777" w:rsidR="002D07E3" w:rsidRDefault="002D07E3" w:rsidP="002D07E3">
      <w:pPr>
        <w:pStyle w:val="a5"/>
        <w:shd w:val="clear" w:color="auto" w:fill="FFFFFF"/>
        <w:rPr>
          <w:sz w:val="27"/>
          <w:szCs w:val="27"/>
        </w:rPr>
      </w:pPr>
      <w:r>
        <w:rPr>
          <w:rFonts w:hint="eastAsia"/>
          <w:sz w:val="27"/>
          <w:szCs w:val="27"/>
        </w:rPr>
        <w:t>（二）基本支出</w:t>
      </w:r>
    </w:p>
    <w:p w14:paraId="31941AD0" w14:textId="77777777" w:rsidR="0034520A" w:rsidRDefault="002D07E3" w:rsidP="0034520A">
      <w:pPr>
        <w:pStyle w:val="a5"/>
        <w:shd w:val="clear" w:color="auto" w:fill="FFFFFF"/>
        <w:ind w:firstLineChars="200" w:firstLine="540"/>
        <w:rPr>
          <w:sz w:val="27"/>
          <w:szCs w:val="27"/>
        </w:rPr>
      </w:pPr>
      <w:r>
        <w:rPr>
          <w:rFonts w:hint="eastAsia"/>
          <w:sz w:val="27"/>
          <w:szCs w:val="27"/>
        </w:rPr>
        <w:t>基本支出</w:t>
      </w:r>
      <w:r w:rsidR="005B69D8">
        <w:rPr>
          <w:sz w:val="27"/>
          <w:szCs w:val="27"/>
        </w:rPr>
        <w:t>72.94</w:t>
      </w:r>
      <w:r>
        <w:rPr>
          <w:rFonts w:hint="eastAsia"/>
          <w:sz w:val="27"/>
          <w:szCs w:val="27"/>
        </w:rPr>
        <w:t>万元，其中工资福利支出</w:t>
      </w:r>
      <w:r w:rsidR="00040519">
        <w:rPr>
          <w:sz w:val="27"/>
          <w:szCs w:val="27"/>
        </w:rPr>
        <w:t>54.24</w:t>
      </w:r>
      <w:r>
        <w:rPr>
          <w:rFonts w:hint="eastAsia"/>
          <w:sz w:val="27"/>
          <w:szCs w:val="27"/>
        </w:rPr>
        <w:t>万元</w:t>
      </w:r>
      <w:r>
        <w:rPr>
          <w:rFonts w:hint="eastAsia"/>
          <w:sz w:val="27"/>
          <w:szCs w:val="27"/>
        </w:rPr>
        <w:t xml:space="preserve"> </w:t>
      </w:r>
      <w:r>
        <w:rPr>
          <w:rFonts w:hint="eastAsia"/>
          <w:sz w:val="27"/>
          <w:szCs w:val="27"/>
        </w:rPr>
        <w:t>，商品和服务</w:t>
      </w:r>
      <w:r>
        <w:rPr>
          <w:rFonts w:hint="eastAsia"/>
          <w:sz w:val="27"/>
          <w:szCs w:val="27"/>
        </w:rPr>
        <w:lastRenderedPageBreak/>
        <w:t>支出</w:t>
      </w:r>
      <w:r w:rsidR="00040519">
        <w:rPr>
          <w:sz w:val="27"/>
          <w:szCs w:val="27"/>
        </w:rPr>
        <w:t>15.12</w:t>
      </w:r>
      <w:r>
        <w:rPr>
          <w:rFonts w:hint="eastAsia"/>
          <w:sz w:val="27"/>
          <w:szCs w:val="27"/>
        </w:rPr>
        <w:t>万元，对个人和家庭补助支出</w:t>
      </w:r>
      <w:r w:rsidR="00040519">
        <w:rPr>
          <w:sz w:val="27"/>
          <w:szCs w:val="27"/>
        </w:rPr>
        <w:t>3.58</w:t>
      </w:r>
      <w:r>
        <w:rPr>
          <w:rFonts w:hint="eastAsia"/>
          <w:sz w:val="27"/>
          <w:szCs w:val="27"/>
        </w:rPr>
        <w:t>万元。单位机关运行经费支出为</w:t>
      </w:r>
      <w:r w:rsidR="00C134BE">
        <w:rPr>
          <w:sz w:val="27"/>
          <w:szCs w:val="27"/>
        </w:rPr>
        <w:t>15.12</w:t>
      </w:r>
      <w:r>
        <w:rPr>
          <w:rFonts w:hint="eastAsia"/>
          <w:sz w:val="27"/>
          <w:szCs w:val="27"/>
        </w:rPr>
        <w:t>万元，</w:t>
      </w:r>
      <w:r w:rsidR="008259FA" w:rsidRPr="008259FA">
        <w:rPr>
          <w:rFonts w:hint="eastAsia"/>
          <w:sz w:val="27"/>
          <w:szCs w:val="27"/>
        </w:rPr>
        <w:t>比上年决算数</w:t>
      </w:r>
      <w:r>
        <w:rPr>
          <w:rFonts w:hint="eastAsia"/>
          <w:sz w:val="27"/>
          <w:szCs w:val="27"/>
        </w:rPr>
        <w:t>减少</w:t>
      </w:r>
      <w:r w:rsidR="00040519">
        <w:rPr>
          <w:sz w:val="27"/>
          <w:szCs w:val="27"/>
        </w:rPr>
        <w:t>7.58</w:t>
      </w:r>
      <w:r>
        <w:rPr>
          <w:rFonts w:hint="eastAsia"/>
          <w:sz w:val="27"/>
          <w:szCs w:val="27"/>
        </w:rPr>
        <w:t>万元，降低</w:t>
      </w:r>
      <w:r w:rsidR="00040519">
        <w:rPr>
          <w:sz w:val="27"/>
          <w:szCs w:val="27"/>
        </w:rPr>
        <w:t>33.39</w:t>
      </w:r>
      <w:r>
        <w:rPr>
          <w:rFonts w:hint="eastAsia"/>
          <w:sz w:val="27"/>
          <w:szCs w:val="27"/>
        </w:rPr>
        <w:t>%</w:t>
      </w:r>
      <w:r>
        <w:rPr>
          <w:rFonts w:hint="eastAsia"/>
          <w:sz w:val="27"/>
          <w:szCs w:val="27"/>
        </w:rPr>
        <w:t>。</w:t>
      </w:r>
      <w:bookmarkStart w:id="0" w:name="_Hlk115311486"/>
      <w:r>
        <w:rPr>
          <w:rFonts w:hint="eastAsia"/>
          <w:sz w:val="27"/>
          <w:szCs w:val="27"/>
        </w:rPr>
        <w:t>主要原因是：认真贯彻落实中央“八项规定”精神和厉行节约要求，按照市委要求全面压缩公用经费并且从严控制机关支出。</w:t>
      </w:r>
      <w:bookmarkEnd w:id="0"/>
    </w:p>
    <w:p w14:paraId="6B1A1BD5" w14:textId="42F44F54" w:rsidR="002D07E3" w:rsidRDefault="002D07E3" w:rsidP="0034520A">
      <w:pPr>
        <w:pStyle w:val="a5"/>
        <w:shd w:val="clear" w:color="auto" w:fill="FFFFFF"/>
        <w:rPr>
          <w:sz w:val="27"/>
          <w:szCs w:val="27"/>
        </w:rPr>
      </w:pPr>
      <w:r>
        <w:rPr>
          <w:rFonts w:hint="eastAsia"/>
          <w:sz w:val="27"/>
          <w:szCs w:val="27"/>
        </w:rPr>
        <w:t>（三）专项支出</w:t>
      </w:r>
    </w:p>
    <w:p w14:paraId="63AAACF1" w14:textId="1977B278" w:rsidR="002D07E3" w:rsidRDefault="002D07E3" w:rsidP="002D07E3">
      <w:pPr>
        <w:pStyle w:val="a5"/>
        <w:shd w:val="clear" w:color="auto" w:fill="FFFFFF"/>
        <w:ind w:firstLineChars="200" w:firstLine="540"/>
        <w:rPr>
          <w:sz w:val="27"/>
          <w:szCs w:val="27"/>
        </w:rPr>
      </w:pPr>
      <w:r>
        <w:rPr>
          <w:rFonts w:hint="eastAsia"/>
          <w:sz w:val="27"/>
          <w:szCs w:val="27"/>
        </w:rPr>
        <w:t>本单位项目资金为专项经费的，项目经费用于</w:t>
      </w:r>
      <w:r w:rsidR="0001008B" w:rsidRPr="0001008B">
        <w:rPr>
          <w:rFonts w:hint="eastAsia"/>
          <w:sz w:val="27"/>
          <w:szCs w:val="27"/>
        </w:rPr>
        <w:t>项目经费用于调研支出</w:t>
      </w:r>
      <w:r w:rsidR="0001008B" w:rsidRPr="0001008B">
        <w:rPr>
          <w:rFonts w:hint="eastAsia"/>
          <w:sz w:val="27"/>
          <w:szCs w:val="27"/>
        </w:rPr>
        <w:t>10.52</w:t>
      </w:r>
      <w:r w:rsidR="0001008B" w:rsidRPr="0001008B">
        <w:rPr>
          <w:rFonts w:hint="eastAsia"/>
          <w:sz w:val="27"/>
          <w:szCs w:val="27"/>
        </w:rPr>
        <w:t>万元</w:t>
      </w:r>
      <w:r>
        <w:rPr>
          <w:rFonts w:hint="eastAsia"/>
          <w:sz w:val="27"/>
          <w:szCs w:val="27"/>
        </w:rPr>
        <w:t>。</w:t>
      </w:r>
    </w:p>
    <w:p w14:paraId="25B98F6A" w14:textId="77777777" w:rsidR="002D07E3" w:rsidRDefault="002D07E3" w:rsidP="002D07E3">
      <w:pPr>
        <w:pStyle w:val="a5"/>
        <w:shd w:val="clear" w:color="auto" w:fill="FFFFFF"/>
        <w:rPr>
          <w:sz w:val="27"/>
          <w:szCs w:val="27"/>
        </w:rPr>
      </w:pPr>
      <w:r>
        <w:rPr>
          <w:rFonts w:hint="eastAsia"/>
          <w:sz w:val="27"/>
          <w:szCs w:val="27"/>
        </w:rPr>
        <w:t>三、资产管理情况</w:t>
      </w:r>
    </w:p>
    <w:p w14:paraId="5ABFA4A1" w14:textId="4692B46C" w:rsidR="002D07E3" w:rsidRDefault="002D07E3" w:rsidP="002D07E3">
      <w:pPr>
        <w:pStyle w:val="a5"/>
        <w:shd w:val="clear" w:color="auto" w:fill="FFFFFF"/>
        <w:ind w:firstLineChars="200" w:firstLine="540"/>
        <w:rPr>
          <w:sz w:val="27"/>
          <w:szCs w:val="27"/>
        </w:rPr>
      </w:pPr>
      <w:r>
        <w:rPr>
          <w:rFonts w:hint="eastAsia"/>
          <w:sz w:val="27"/>
          <w:szCs w:val="27"/>
        </w:rPr>
        <w:t>单位资产采购及管理分岗位负责，资产配置、管理、处置严格按照政府采购及资产管理办法程序办理。资产系统与会计账务的固定资产数据一致。单位资产管理由办公室负责，资产</w:t>
      </w:r>
      <w:proofErr w:type="gramStart"/>
      <w:r>
        <w:rPr>
          <w:rFonts w:hint="eastAsia"/>
          <w:sz w:val="27"/>
          <w:szCs w:val="27"/>
        </w:rPr>
        <w:t>采购按</w:t>
      </w:r>
      <w:proofErr w:type="gramEnd"/>
      <w:r>
        <w:rPr>
          <w:rFonts w:hint="eastAsia"/>
          <w:sz w:val="27"/>
          <w:szCs w:val="27"/>
        </w:rPr>
        <w:t>程序实行报批采购，采购后登记造册，再派发到相关科室。单位资产配置合理、保存完整、处置规范、账实相符。</w:t>
      </w:r>
      <w:r>
        <w:rPr>
          <w:rFonts w:hint="eastAsia"/>
          <w:sz w:val="27"/>
          <w:szCs w:val="27"/>
        </w:rPr>
        <w:t>202</w:t>
      </w:r>
      <w:r>
        <w:rPr>
          <w:sz w:val="27"/>
          <w:szCs w:val="27"/>
        </w:rPr>
        <w:t>1</w:t>
      </w:r>
      <w:r>
        <w:rPr>
          <w:rFonts w:hint="eastAsia"/>
          <w:sz w:val="27"/>
          <w:szCs w:val="27"/>
        </w:rPr>
        <w:t>年单位全面开展固定资产清理工作，对固定资产进行盘点，对调拨和处置的固定资产进行了账</w:t>
      </w:r>
      <w:proofErr w:type="gramStart"/>
      <w:r>
        <w:rPr>
          <w:rFonts w:hint="eastAsia"/>
          <w:sz w:val="27"/>
          <w:szCs w:val="27"/>
        </w:rPr>
        <w:t>务</w:t>
      </w:r>
      <w:proofErr w:type="gramEnd"/>
      <w:r>
        <w:rPr>
          <w:rFonts w:hint="eastAsia"/>
          <w:sz w:val="27"/>
          <w:szCs w:val="27"/>
        </w:rPr>
        <w:t>处理。</w:t>
      </w:r>
    </w:p>
    <w:p w14:paraId="051BAD80" w14:textId="77777777" w:rsidR="002D07E3" w:rsidRDefault="002D07E3" w:rsidP="002D07E3">
      <w:pPr>
        <w:pStyle w:val="a5"/>
        <w:shd w:val="clear" w:color="auto" w:fill="FFFFFF"/>
        <w:rPr>
          <w:sz w:val="27"/>
          <w:szCs w:val="27"/>
        </w:rPr>
      </w:pPr>
      <w:r>
        <w:rPr>
          <w:rFonts w:hint="eastAsia"/>
          <w:sz w:val="27"/>
          <w:szCs w:val="27"/>
        </w:rPr>
        <w:t>四、绩效评价工作情况</w:t>
      </w:r>
    </w:p>
    <w:p w14:paraId="4957AF10" w14:textId="2FB7BBF6" w:rsidR="002802B5" w:rsidRPr="002802B5" w:rsidRDefault="002D07E3" w:rsidP="002802B5">
      <w:pPr>
        <w:pStyle w:val="a5"/>
        <w:shd w:val="clear" w:color="auto" w:fill="FFFFFF"/>
        <w:ind w:firstLineChars="200" w:firstLine="540"/>
        <w:rPr>
          <w:rFonts w:hint="eastAsia"/>
          <w:sz w:val="27"/>
          <w:szCs w:val="27"/>
        </w:rPr>
      </w:pPr>
      <w:r>
        <w:rPr>
          <w:rFonts w:hint="eastAsia"/>
          <w:sz w:val="27"/>
          <w:szCs w:val="27"/>
        </w:rPr>
        <w:t>严格落实《预算法》及省、市绩效管理工作的有关规定，进一步规范财政资金的管理，强化财政支出绩效理念，提升部门责任意识，提高资金使用效益。</w:t>
      </w:r>
      <w:r w:rsidR="002802B5" w:rsidRPr="002802B5">
        <w:rPr>
          <w:rFonts w:hint="eastAsia"/>
          <w:sz w:val="27"/>
          <w:szCs w:val="27"/>
        </w:rPr>
        <w:t>单位所有项目经费预算均是围绕市委、市政府中心工作和上级部门要求制定，根据邵阳市预算绩效运行管理等文件要求，我单位对涵盖了系统预算</w:t>
      </w:r>
      <w:r w:rsidR="002802B5" w:rsidRPr="002802B5">
        <w:rPr>
          <w:rFonts w:hint="eastAsia"/>
          <w:sz w:val="27"/>
          <w:szCs w:val="27"/>
        </w:rPr>
        <w:t>100%</w:t>
      </w:r>
      <w:r w:rsidR="002802B5" w:rsidRPr="002802B5">
        <w:rPr>
          <w:rFonts w:hint="eastAsia"/>
          <w:sz w:val="27"/>
          <w:szCs w:val="27"/>
        </w:rPr>
        <w:t>的项目实施预算绩效运行跟踪监控管理。严格“三公经费”管理和使用。四是部门为加强预算管理、规范财务行为而制定的管理制度健全完整；严格按照政府信息公开有关规定公开相关</w:t>
      </w:r>
      <w:r w:rsidR="002802B5" w:rsidRPr="002802B5">
        <w:rPr>
          <w:rFonts w:hint="eastAsia"/>
          <w:sz w:val="27"/>
          <w:szCs w:val="27"/>
        </w:rPr>
        <w:lastRenderedPageBreak/>
        <w:t>预决算信息；部门使用预算资金符合相关的预算财务管理制度的规定。</w:t>
      </w:r>
    </w:p>
    <w:p w14:paraId="43E3D86C" w14:textId="77777777" w:rsidR="002802B5" w:rsidRPr="002802B5" w:rsidRDefault="002802B5" w:rsidP="002802B5">
      <w:pPr>
        <w:adjustRightInd w:val="0"/>
        <w:spacing w:line="600" w:lineRule="exact"/>
        <w:ind w:right="641" w:firstLineChars="200" w:firstLine="540"/>
        <w:jc w:val="left"/>
        <w:rPr>
          <w:rFonts w:hint="eastAsia"/>
          <w:sz w:val="27"/>
          <w:szCs w:val="27"/>
        </w:rPr>
      </w:pPr>
      <w:r w:rsidRPr="002802B5">
        <w:rPr>
          <w:rFonts w:hint="eastAsia"/>
          <w:sz w:val="27"/>
          <w:szCs w:val="27"/>
        </w:rPr>
        <w:t>五、综合评价情况及评价结论</w:t>
      </w:r>
    </w:p>
    <w:p w14:paraId="16F27862"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1.</w:t>
      </w:r>
      <w:r w:rsidRPr="002802B5">
        <w:rPr>
          <w:rFonts w:hint="eastAsia"/>
          <w:sz w:val="27"/>
          <w:szCs w:val="27"/>
        </w:rPr>
        <w:t>对项目实施进行全程服务，特别是市委、市政府确定的中心工作，不使项目实施因为资金原因受到影响。</w:t>
      </w:r>
    </w:p>
    <w:p w14:paraId="6F011693"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2</w:t>
      </w:r>
      <w:r w:rsidRPr="002802B5">
        <w:rPr>
          <w:rFonts w:hint="eastAsia"/>
          <w:sz w:val="27"/>
          <w:szCs w:val="27"/>
        </w:rPr>
        <w:t>、对项目实施进行全程监督，使每项支出合理、合法、合</w:t>
      </w:r>
      <w:proofErr w:type="gramStart"/>
      <w:r w:rsidRPr="002802B5">
        <w:rPr>
          <w:rFonts w:hint="eastAsia"/>
          <w:sz w:val="27"/>
          <w:szCs w:val="27"/>
        </w:rPr>
        <w:t>规</w:t>
      </w:r>
      <w:proofErr w:type="gramEnd"/>
      <w:r w:rsidRPr="002802B5">
        <w:rPr>
          <w:rFonts w:hint="eastAsia"/>
          <w:sz w:val="27"/>
          <w:szCs w:val="27"/>
        </w:rPr>
        <w:t>，确保资金安全、可控。</w:t>
      </w:r>
    </w:p>
    <w:p w14:paraId="17CBF07A"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3</w:t>
      </w:r>
      <w:r w:rsidRPr="002802B5">
        <w:rPr>
          <w:rFonts w:hint="eastAsia"/>
          <w:sz w:val="27"/>
          <w:szCs w:val="27"/>
        </w:rPr>
        <w:t>、年底对每笔项目支出进行科学考评，确保每笔项目资金都能发挥最大社会效益。</w:t>
      </w:r>
    </w:p>
    <w:p w14:paraId="05D54187"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4</w:t>
      </w:r>
      <w:r w:rsidRPr="002802B5">
        <w:rPr>
          <w:rFonts w:hint="eastAsia"/>
          <w:sz w:val="27"/>
          <w:szCs w:val="27"/>
        </w:rPr>
        <w:t>、项目自我绩效评价结果为优良。本单位严格按照年初确立的目标任务，科学、及时的安排项目预算支出；围绕市委、市政府中心工作，及时调整、增减项目预算执行，本单位部门整体支出绩效评价得分</w:t>
      </w:r>
      <w:r w:rsidRPr="002802B5">
        <w:rPr>
          <w:rFonts w:hint="eastAsia"/>
          <w:sz w:val="27"/>
          <w:szCs w:val="27"/>
        </w:rPr>
        <w:t>91</w:t>
      </w:r>
      <w:r w:rsidRPr="002802B5">
        <w:rPr>
          <w:rFonts w:hint="eastAsia"/>
          <w:sz w:val="27"/>
          <w:szCs w:val="27"/>
        </w:rPr>
        <w:t>分，自评结果为优良。</w:t>
      </w:r>
    </w:p>
    <w:p w14:paraId="613F9D46"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六、存在的问题</w:t>
      </w:r>
    </w:p>
    <w:p w14:paraId="60818056"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1</w:t>
      </w:r>
      <w:r w:rsidRPr="002802B5">
        <w:rPr>
          <w:rFonts w:hint="eastAsia"/>
          <w:sz w:val="27"/>
          <w:szCs w:val="27"/>
        </w:rPr>
        <w:t>、工作任务艰巨，资金需求有缺口。因财政未将年度奖金、公车改革产生的车补开支纳入财政预算，造成资金缺口大，导致出现各资金间的调剂使用情况。</w:t>
      </w:r>
    </w:p>
    <w:p w14:paraId="63255163"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2</w:t>
      </w:r>
      <w:r w:rsidRPr="002802B5">
        <w:rPr>
          <w:rFonts w:hint="eastAsia"/>
          <w:sz w:val="27"/>
          <w:szCs w:val="27"/>
        </w:rPr>
        <w:t>、绩效目标设立不够明确、细化和量化。项目单位虽然设立了项目资金绩效目标，但目标不够明确、细化和量化。</w:t>
      </w:r>
    </w:p>
    <w:p w14:paraId="29B01D41" w14:textId="77777777" w:rsidR="002802B5" w:rsidRPr="002802B5" w:rsidRDefault="002802B5" w:rsidP="002802B5">
      <w:pPr>
        <w:adjustRightInd w:val="0"/>
        <w:spacing w:line="600" w:lineRule="exact"/>
        <w:ind w:right="641"/>
        <w:jc w:val="left"/>
        <w:rPr>
          <w:rFonts w:hint="eastAsia"/>
          <w:sz w:val="27"/>
          <w:szCs w:val="27"/>
        </w:rPr>
      </w:pPr>
      <w:r w:rsidRPr="002802B5">
        <w:rPr>
          <w:rFonts w:hint="eastAsia"/>
          <w:sz w:val="27"/>
          <w:szCs w:val="27"/>
        </w:rPr>
        <w:t>七、改进措施和有关建议</w:t>
      </w:r>
    </w:p>
    <w:p w14:paraId="33C166C2" w14:textId="645F1BBB" w:rsidR="002D07E3" w:rsidRDefault="002802B5" w:rsidP="002802B5">
      <w:pPr>
        <w:adjustRightInd w:val="0"/>
        <w:spacing w:line="600" w:lineRule="exact"/>
        <w:ind w:right="641" w:firstLineChars="200" w:firstLine="540"/>
        <w:jc w:val="left"/>
        <w:rPr>
          <w:rFonts w:ascii="黑体" w:eastAsia="黑体"/>
          <w:sz w:val="32"/>
          <w:szCs w:val="32"/>
        </w:rPr>
      </w:pPr>
      <w:proofErr w:type="gramStart"/>
      <w:r w:rsidRPr="002802B5">
        <w:rPr>
          <w:rFonts w:hint="eastAsia"/>
          <w:sz w:val="27"/>
          <w:szCs w:val="27"/>
        </w:rPr>
        <w:t>请财政</w:t>
      </w:r>
      <w:proofErr w:type="gramEnd"/>
      <w:r w:rsidRPr="002802B5">
        <w:rPr>
          <w:rFonts w:hint="eastAsia"/>
          <w:sz w:val="27"/>
          <w:szCs w:val="27"/>
        </w:rPr>
        <w:t>根据民主党派工作性质和实际情况，提高年初部门预算额度，将常规项目支出纳入年度预算，并增加相关</w:t>
      </w:r>
      <w:proofErr w:type="gramStart"/>
      <w:r w:rsidRPr="002802B5">
        <w:rPr>
          <w:rFonts w:hint="eastAsia"/>
          <w:sz w:val="27"/>
          <w:szCs w:val="27"/>
        </w:rPr>
        <w:t>统战特费项目</w:t>
      </w:r>
      <w:proofErr w:type="gramEnd"/>
      <w:r w:rsidRPr="002802B5">
        <w:rPr>
          <w:rFonts w:hint="eastAsia"/>
          <w:sz w:val="27"/>
          <w:szCs w:val="27"/>
        </w:rPr>
        <w:t>支出预算。进一步规范绩效目标编制，在编制项目资金绩效目标时要求指向明确、细化量化、合理可行、相应匹配。</w:t>
      </w:r>
    </w:p>
    <w:p w14:paraId="48C9F270" w14:textId="7026F501" w:rsidR="00B37371" w:rsidRPr="00701457" w:rsidRDefault="00000000">
      <w:pPr>
        <w:spacing w:line="640" w:lineRule="exact"/>
        <w:rPr>
          <w:rFonts w:eastAsia="黑体"/>
          <w:sz w:val="32"/>
          <w:szCs w:val="32"/>
        </w:rPr>
      </w:pPr>
      <w:bookmarkStart w:id="1" w:name="_Hlk115302806"/>
      <w:bookmarkStart w:id="2" w:name="_Hlk115397321"/>
      <w:r>
        <w:rPr>
          <w:rFonts w:eastAsia="黑体" w:hint="eastAsia"/>
          <w:sz w:val="32"/>
          <w:szCs w:val="32"/>
        </w:rPr>
        <w:lastRenderedPageBreak/>
        <w:t>附件</w:t>
      </w:r>
      <w:r w:rsidR="002D07E3">
        <w:rPr>
          <w:rFonts w:eastAsia="黑体"/>
          <w:sz w:val="32"/>
          <w:szCs w:val="32"/>
        </w:rPr>
        <w:t>2</w:t>
      </w:r>
      <w:r>
        <w:rPr>
          <w:rFonts w:ascii="宋体" w:hAnsi="宋体" w:cs="宋体"/>
          <w:kern w:val="0"/>
          <w:sz w:val="32"/>
          <w:szCs w:val="32"/>
        </w:rPr>
        <w:tab/>
      </w:r>
    </w:p>
    <w:p w14:paraId="06669D9D" w14:textId="77777777" w:rsidR="00B37371" w:rsidRDefault="00000000">
      <w:pPr>
        <w:widowControl/>
        <w:ind w:left="93"/>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9"/>
        <w:gridCol w:w="567"/>
        <w:gridCol w:w="851"/>
        <w:gridCol w:w="567"/>
        <w:gridCol w:w="3283"/>
        <w:gridCol w:w="3307"/>
        <w:gridCol w:w="617"/>
      </w:tblGrid>
      <w:tr w:rsidR="00B37371" w14:paraId="543FA1FE" w14:textId="77777777">
        <w:trPr>
          <w:trHeight w:val="757"/>
          <w:tblHeader/>
          <w:jc w:val="center"/>
        </w:trPr>
        <w:tc>
          <w:tcPr>
            <w:tcW w:w="411" w:type="dxa"/>
            <w:vAlign w:val="center"/>
          </w:tcPr>
          <w:p w14:paraId="29B94B3B" w14:textId="77777777" w:rsidR="00B37371" w:rsidRDefault="00000000">
            <w:pPr>
              <w:widowControl/>
              <w:spacing w:before="100" w:beforeAutospacing="1" w:line="280" w:lineRule="atLeast"/>
              <w:jc w:val="left"/>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14:paraId="4487DCF1"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vAlign w:val="center"/>
          </w:tcPr>
          <w:p w14:paraId="2B33E078"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vAlign w:val="center"/>
          </w:tcPr>
          <w:p w14:paraId="00372A0C"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vAlign w:val="center"/>
          </w:tcPr>
          <w:p w14:paraId="5F54C8A7"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分值</w:t>
            </w:r>
          </w:p>
        </w:tc>
        <w:tc>
          <w:tcPr>
            <w:tcW w:w="3283" w:type="dxa"/>
            <w:vAlign w:val="center"/>
          </w:tcPr>
          <w:p w14:paraId="52A294A5"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评价标准</w:t>
            </w:r>
          </w:p>
        </w:tc>
        <w:tc>
          <w:tcPr>
            <w:tcW w:w="3307" w:type="dxa"/>
            <w:vAlign w:val="center"/>
          </w:tcPr>
          <w:p w14:paraId="422D6E56"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vAlign w:val="center"/>
          </w:tcPr>
          <w:p w14:paraId="63EE9E66" w14:textId="77777777" w:rsidR="00B37371" w:rsidRDefault="00000000">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得分</w:t>
            </w:r>
          </w:p>
        </w:tc>
      </w:tr>
      <w:tr w:rsidR="00B37371" w14:paraId="6B723A46" w14:textId="77777777" w:rsidTr="0034520A">
        <w:trPr>
          <w:trHeight w:val="1868"/>
          <w:jc w:val="center"/>
        </w:trPr>
        <w:tc>
          <w:tcPr>
            <w:tcW w:w="411" w:type="dxa"/>
            <w:vMerge w:val="restart"/>
            <w:vAlign w:val="center"/>
          </w:tcPr>
          <w:p w14:paraId="28367F8A"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14:paraId="4DC7AB0C"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vAlign w:val="center"/>
          </w:tcPr>
          <w:p w14:paraId="7FF9C3FF"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vAlign w:val="center"/>
          </w:tcPr>
          <w:p w14:paraId="2BE10945"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vAlign w:val="center"/>
          </w:tcPr>
          <w:p w14:paraId="732D6AD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283" w:type="dxa"/>
            <w:vAlign w:val="center"/>
          </w:tcPr>
          <w:p w14:paraId="3067AA18"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307" w:type="dxa"/>
            <w:vAlign w:val="center"/>
          </w:tcPr>
          <w:p w14:paraId="13F5305D"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shd w:val="clear" w:color="auto" w:fill="auto"/>
            <w:vAlign w:val="center"/>
          </w:tcPr>
          <w:p w14:paraId="404D2ADD"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r>
      <w:tr w:rsidR="00B37371" w14:paraId="64C5B924" w14:textId="77777777" w:rsidTr="0034520A">
        <w:trPr>
          <w:trHeight w:val="1658"/>
          <w:jc w:val="center"/>
        </w:trPr>
        <w:tc>
          <w:tcPr>
            <w:tcW w:w="411" w:type="dxa"/>
            <w:vMerge/>
          </w:tcPr>
          <w:p w14:paraId="18326F0A"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61DAA3C7"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1BC9FEA2"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2F3A519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vAlign w:val="center"/>
          </w:tcPr>
          <w:p w14:paraId="6B57CA71"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283" w:type="dxa"/>
            <w:vAlign w:val="center"/>
          </w:tcPr>
          <w:p w14:paraId="21FE35AF"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307" w:type="dxa"/>
          </w:tcPr>
          <w:p w14:paraId="305E2BF4"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17" w:type="dxa"/>
            <w:shd w:val="clear" w:color="auto" w:fill="auto"/>
            <w:vAlign w:val="center"/>
          </w:tcPr>
          <w:p w14:paraId="27C8FE04"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r>
      <w:tr w:rsidR="00B37371" w14:paraId="7C260C90" w14:textId="77777777" w:rsidTr="0034520A">
        <w:trPr>
          <w:trHeight w:val="1129"/>
          <w:jc w:val="center"/>
        </w:trPr>
        <w:tc>
          <w:tcPr>
            <w:tcW w:w="411" w:type="dxa"/>
            <w:vMerge/>
          </w:tcPr>
          <w:p w14:paraId="105C842E"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484793FB"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7D04D1A8"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47A90DB3" w14:textId="4664E926"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p>
        </w:tc>
        <w:tc>
          <w:tcPr>
            <w:tcW w:w="567" w:type="dxa"/>
            <w:vAlign w:val="center"/>
          </w:tcPr>
          <w:p w14:paraId="3B7F7022"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22FD959B"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307" w:type="dxa"/>
            <w:vAlign w:val="center"/>
          </w:tcPr>
          <w:p w14:paraId="75611932"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shd w:val="clear" w:color="auto" w:fill="auto"/>
            <w:vAlign w:val="center"/>
          </w:tcPr>
          <w:p w14:paraId="291094B8"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1E144EB9" w14:textId="77777777" w:rsidTr="0034520A">
        <w:trPr>
          <w:trHeight w:val="1572"/>
          <w:jc w:val="center"/>
        </w:trPr>
        <w:tc>
          <w:tcPr>
            <w:tcW w:w="411" w:type="dxa"/>
            <w:vMerge/>
          </w:tcPr>
          <w:p w14:paraId="5ABCF994"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1EBF99FB"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3782E549"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54F52EE3" w14:textId="785740FC"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p>
        </w:tc>
        <w:tc>
          <w:tcPr>
            <w:tcW w:w="567" w:type="dxa"/>
            <w:vAlign w:val="center"/>
          </w:tcPr>
          <w:p w14:paraId="5D1497D3"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7A115FED"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307" w:type="dxa"/>
          </w:tcPr>
          <w:p w14:paraId="079A04FB" w14:textId="77777777"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shd w:val="clear" w:color="auto" w:fill="auto"/>
            <w:vAlign w:val="center"/>
          </w:tcPr>
          <w:p w14:paraId="3ABDCAA7"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69892FCB" w14:textId="77777777" w:rsidTr="0034520A">
        <w:trPr>
          <w:trHeight w:val="1255"/>
          <w:jc w:val="center"/>
        </w:trPr>
        <w:tc>
          <w:tcPr>
            <w:tcW w:w="411" w:type="dxa"/>
            <w:vMerge/>
          </w:tcPr>
          <w:p w14:paraId="0C1CD1D2"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48AA2B1F"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43452931"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4F4A09FA"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vAlign w:val="center"/>
          </w:tcPr>
          <w:p w14:paraId="666D991B"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1597801F"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307" w:type="dxa"/>
            <w:vAlign w:val="center"/>
          </w:tcPr>
          <w:p w14:paraId="701ADA88"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shd w:val="clear" w:color="auto" w:fill="auto"/>
            <w:vAlign w:val="center"/>
          </w:tcPr>
          <w:p w14:paraId="513E993A"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086E6D9B" w14:textId="77777777">
        <w:trPr>
          <w:trHeight w:val="2240"/>
          <w:jc w:val="center"/>
        </w:trPr>
        <w:tc>
          <w:tcPr>
            <w:tcW w:w="411" w:type="dxa"/>
            <w:vMerge/>
          </w:tcPr>
          <w:p w14:paraId="4EFB63E6"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1D3450A3"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7B064E22"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3BF07526"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vAlign w:val="center"/>
          </w:tcPr>
          <w:p w14:paraId="12CB03F5"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1163769E"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307" w:type="dxa"/>
            <w:vAlign w:val="center"/>
          </w:tcPr>
          <w:p w14:paraId="2FCA501C"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shd w:val="clear" w:color="auto" w:fill="auto"/>
            <w:vAlign w:val="center"/>
          </w:tcPr>
          <w:p w14:paraId="7F700B4C"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2FE04715" w14:textId="77777777" w:rsidTr="0034520A">
        <w:trPr>
          <w:trHeight w:hRule="exact" w:val="1587"/>
          <w:jc w:val="center"/>
        </w:trPr>
        <w:tc>
          <w:tcPr>
            <w:tcW w:w="411" w:type="dxa"/>
            <w:vMerge/>
          </w:tcPr>
          <w:p w14:paraId="0F6F84B1"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44422250"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382B30C1"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6BFA1FD9" w14:textId="77777777"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vAlign w:val="center"/>
          </w:tcPr>
          <w:p w14:paraId="75A4A976" w14:textId="77777777"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07655D80" w14:textId="3165021C"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①实行收支两条线，1分；②未发生截留、坐支或转移，1分。以上每发现一次违规现象扣1分，扣完为止。</w:t>
            </w:r>
          </w:p>
        </w:tc>
        <w:tc>
          <w:tcPr>
            <w:tcW w:w="3307" w:type="dxa"/>
            <w:vAlign w:val="center"/>
          </w:tcPr>
          <w:p w14:paraId="56C0A2CF" w14:textId="77777777" w:rsidR="00B37371" w:rsidRDefault="00B37371" w:rsidP="0034520A">
            <w:pPr>
              <w:widowControl/>
              <w:spacing w:before="100" w:beforeAutospacing="1" w:line="280" w:lineRule="atLeast"/>
              <w:jc w:val="center"/>
              <w:rPr>
                <w:rFonts w:ascii="仿宋_GB2312" w:eastAsia="仿宋_GB2312" w:hAnsi="宋体" w:cs="宋体"/>
                <w:kern w:val="0"/>
                <w:sz w:val="20"/>
                <w:szCs w:val="20"/>
              </w:rPr>
            </w:pPr>
          </w:p>
        </w:tc>
        <w:tc>
          <w:tcPr>
            <w:tcW w:w="617" w:type="dxa"/>
            <w:shd w:val="clear" w:color="auto" w:fill="auto"/>
            <w:vAlign w:val="center"/>
          </w:tcPr>
          <w:p w14:paraId="3732B897" w14:textId="42F3F5E9" w:rsidR="00B37371" w:rsidRDefault="00505DDB">
            <w:pPr>
              <w:widowControl/>
              <w:spacing w:before="100" w:beforeAutospacing="1" w:line="280" w:lineRule="atLeast"/>
              <w:jc w:val="center"/>
              <w:rPr>
                <w:rFonts w:ascii="宋体" w:hAnsi="宋体" w:cs="宋体"/>
                <w:color w:val="000000" w:themeColor="text1"/>
                <w:kern w:val="0"/>
                <w:sz w:val="24"/>
              </w:rPr>
            </w:pPr>
            <w:r>
              <w:rPr>
                <w:rFonts w:ascii="宋体" w:hAnsi="宋体" w:cs="宋体"/>
                <w:color w:val="000000" w:themeColor="text1"/>
                <w:kern w:val="0"/>
                <w:sz w:val="24"/>
              </w:rPr>
              <w:t>0</w:t>
            </w:r>
          </w:p>
        </w:tc>
      </w:tr>
      <w:tr w:rsidR="00B37371" w14:paraId="757E44D8" w14:textId="77777777" w:rsidTr="0034520A">
        <w:trPr>
          <w:trHeight w:hRule="exact" w:val="1573"/>
          <w:jc w:val="center"/>
        </w:trPr>
        <w:tc>
          <w:tcPr>
            <w:tcW w:w="411" w:type="dxa"/>
            <w:vMerge/>
          </w:tcPr>
          <w:p w14:paraId="4A13BC62"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722EC793"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07AB59A7"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539B09E6" w14:textId="77777777"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vAlign w:val="center"/>
          </w:tcPr>
          <w:p w14:paraId="7DD7992A" w14:textId="77777777"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531BCD94" w14:textId="77777777"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307" w:type="dxa"/>
            <w:vAlign w:val="center"/>
          </w:tcPr>
          <w:p w14:paraId="6CAA8134" w14:textId="4DBD0276" w:rsidR="00B37371" w:rsidRDefault="00000000" w:rsidP="0034520A">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w:t>
            </w:r>
            <w:r>
              <w:rPr>
                <w:rFonts w:ascii="仿宋_GB2312" w:eastAsia="仿宋_GB2312" w:hAnsi="宋体" w:cs="宋体"/>
                <w:kern w:val="0"/>
                <w:sz w:val="20"/>
                <w:szCs w:val="20"/>
              </w:rPr>
              <w:t>20</w:t>
            </w:r>
            <w:r>
              <w:rPr>
                <w:rFonts w:ascii="仿宋_GB2312" w:eastAsia="仿宋_GB2312" w:hAnsi="宋体" w:cs="宋体" w:hint="eastAsia"/>
                <w:kern w:val="0"/>
                <w:sz w:val="20"/>
                <w:szCs w:val="20"/>
              </w:rPr>
              <w:t>2</w:t>
            </w:r>
            <w:r w:rsidR="00E42CD0">
              <w:rPr>
                <w:rFonts w:ascii="仿宋_GB2312" w:eastAsia="仿宋_GB2312" w:hAnsi="宋体" w:cs="宋体"/>
                <w:kern w:val="0"/>
                <w:sz w:val="20"/>
                <w:szCs w:val="20"/>
              </w:rPr>
              <w:t>1</w:t>
            </w:r>
            <w:r>
              <w:rPr>
                <w:rFonts w:ascii="仿宋_GB2312" w:eastAsia="仿宋_GB2312" w:hAnsi="宋体" w:cs="宋体" w:hint="eastAsia"/>
                <w:kern w:val="0"/>
                <w:sz w:val="20"/>
                <w:szCs w:val="20"/>
              </w:rPr>
              <w:t>年度非税实际收入完成数/</w:t>
            </w:r>
            <w:r>
              <w:rPr>
                <w:rFonts w:ascii="仿宋_GB2312" w:eastAsia="仿宋_GB2312" w:hAnsi="宋体" w:cs="宋体"/>
                <w:kern w:val="0"/>
                <w:sz w:val="20"/>
                <w:szCs w:val="20"/>
              </w:rPr>
              <w:t>20</w:t>
            </w:r>
            <w:r>
              <w:rPr>
                <w:rFonts w:ascii="仿宋_GB2312" w:eastAsia="仿宋_GB2312" w:hAnsi="宋体" w:cs="宋体" w:hint="eastAsia"/>
                <w:kern w:val="0"/>
                <w:sz w:val="20"/>
                <w:szCs w:val="20"/>
              </w:rPr>
              <w:t>2</w:t>
            </w:r>
            <w:r w:rsidR="00E42CD0">
              <w:rPr>
                <w:rFonts w:ascii="仿宋_GB2312" w:eastAsia="仿宋_GB2312" w:hAnsi="宋体" w:cs="宋体"/>
                <w:kern w:val="0"/>
                <w:sz w:val="20"/>
                <w:szCs w:val="20"/>
              </w:rPr>
              <w:t>1</w:t>
            </w:r>
            <w:r>
              <w:rPr>
                <w:rFonts w:ascii="仿宋_GB2312" w:eastAsia="仿宋_GB2312" w:hAnsi="宋体" w:cs="宋体" w:hint="eastAsia"/>
                <w:kern w:val="0"/>
                <w:sz w:val="20"/>
                <w:szCs w:val="20"/>
              </w:rPr>
              <w:t>年度非税收入预算数）×100%，有减免因素的，以非税局确定的为准。</w:t>
            </w:r>
          </w:p>
        </w:tc>
        <w:tc>
          <w:tcPr>
            <w:tcW w:w="617" w:type="dxa"/>
            <w:shd w:val="clear" w:color="auto" w:fill="auto"/>
            <w:vAlign w:val="center"/>
          </w:tcPr>
          <w:p w14:paraId="642B8AF2" w14:textId="085D55FC" w:rsidR="00B37371" w:rsidRDefault="00505DDB">
            <w:pPr>
              <w:widowControl/>
              <w:spacing w:before="100" w:beforeAutospacing="1" w:line="280" w:lineRule="atLeast"/>
              <w:jc w:val="center"/>
              <w:rPr>
                <w:rFonts w:ascii="宋体" w:hAnsi="宋体" w:cs="宋体"/>
                <w:color w:val="000000" w:themeColor="text1"/>
                <w:kern w:val="0"/>
                <w:sz w:val="24"/>
              </w:rPr>
            </w:pPr>
            <w:r>
              <w:rPr>
                <w:rFonts w:ascii="宋体" w:hAnsi="宋体" w:cs="宋体"/>
                <w:color w:val="000000" w:themeColor="text1"/>
                <w:kern w:val="0"/>
                <w:sz w:val="24"/>
              </w:rPr>
              <w:t>0</w:t>
            </w:r>
          </w:p>
        </w:tc>
      </w:tr>
      <w:tr w:rsidR="00B37371" w14:paraId="3753BAAA" w14:textId="77777777" w:rsidTr="00F440D7">
        <w:trPr>
          <w:trHeight w:hRule="exact" w:val="2242"/>
          <w:jc w:val="center"/>
        </w:trPr>
        <w:tc>
          <w:tcPr>
            <w:tcW w:w="411" w:type="dxa"/>
            <w:vMerge w:val="restart"/>
            <w:textDirection w:val="tbRlV"/>
          </w:tcPr>
          <w:p w14:paraId="082417FF" w14:textId="77777777" w:rsidR="00B37371" w:rsidRDefault="00B37371">
            <w:pPr>
              <w:widowControl/>
              <w:spacing w:before="100" w:beforeAutospacing="1" w:line="280" w:lineRule="atLeast"/>
              <w:jc w:val="center"/>
              <w:rPr>
                <w:rFonts w:ascii="仿宋_GB2312" w:eastAsia="仿宋_GB2312" w:hAnsi="宋体" w:cs="宋体"/>
                <w:kern w:val="0"/>
                <w:sz w:val="20"/>
                <w:szCs w:val="20"/>
              </w:rPr>
            </w:pPr>
          </w:p>
          <w:p w14:paraId="6BB9391F" w14:textId="77777777" w:rsidR="00B37371" w:rsidRDefault="00B37371">
            <w:pPr>
              <w:widowControl/>
              <w:spacing w:before="100" w:beforeAutospacing="1" w:line="280" w:lineRule="atLeast"/>
              <w:jc w:val="center"/>
              <w:rPr>
                <w:rFonts w:ascii="仿宋_GB2312" w:eastAsia="仿宋_GB2312" w:hAnsi="宋体" w:cs="宋体"/>
                <w:kern w:val="0"/>
                <w:sz w:val="20"/>
                <w:szCs w:val="20"/>
              </w:rPr>
            </w:pPr>
          </w:p>
          <w:p w14:paraId="3BD14FE6"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14:paraId="67F30B49" w14:textId="77777777" w:rsidR="00B37371" w:rsidRDefault="00B37371">
            <w:pPr>
              <w:widowControl/>
              <w:spacing w:before="100" w:beforeAutospacing="1" w:line="280" w:lineRule="atLeast"/>
              <w:ind w:left="113" w:right="113"/>
              <w:jc w:val="left"/>
              <w:rPr>
                <w:rFonts w:ascii="仿宋_GB2312" w:eastAsia="仿宋_GB2312" w:hAnsi="宋体" w:cs="宋体"/>
                <w:kern w:val="0"/>
                <w:sz w:val="20"/>
                <w:szCs w:val="20"/>
              </w:rPr>
            </w:pPr>
          </w:p>
          <w:p w14:paraId="7204DC76"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3F8A9F1E"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44070C4D"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5D6FCDF9"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253DA7CB"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495AE485"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3EFDB0FC"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p w14:paraId="257B9841" w14:textId="77777777" w:rsidR="00B37371" w:rsidRDefault="00000000">
            <w:pPr>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14:paraId="118CADE3"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vAlign w:val="center"/>
          </w:tcPr>
          <w:p w14:paraId="5CF7A0C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vAlign w:val="center"/>
          </w:tcPr>
          <w:p w14:paraId="22DEC3F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vAlign w:val="center"/>
          </w:tcPr>
          <w:p w14:paraId="570F8E06"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0AC87318"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14:paraId="46F41D4F"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14:paraId="3113605F" w14:textId="3C529F6C" w:rsidR="00B37371" w:rsidRDefault="00000000" w:rsidP="0034520A">
            <w:pPr>
              <w:widowControl/>
              <w:spacing w:before="100" w:beforeAutospacing="1" w:line="280" w:lineRule="atLeas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完成率&gt;1，不得分。</w:t>
            </w:r>
          </w:p>
        </w:tc>
        <w:tc>
          <w:tcPr>
            <w:tcW w:w="3307" w:type="dxa"/>
            <w:vAlign w:val="center"/>
          </w:tcPr>
          <w:p w14:paraId="4F64F6F3" w14:textId="77777777" w:rsidR="00B37371" w:rsidRDefault="00000000">
            <w:pPr>
              <w:autoSpaceDN w:val="0"/>
              <w:spacing w:before="100" w:beforeAutospacing="1" w:line="280" w:lineRule="atLeas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shd w:val="clear" w:color="auto" w:fill="auto"/>
            <w:vAlign w:val="center"/>
          </w:tcPr>
          <w:p w14:paraId="6F62AB54"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37A16F37" w14:textId="77777777">
        <w:trPr>
          <w:trHeight w:hRule="exact" w:val="1166"/>
          <w:jc w:val="center"/>
        </w:trPr>
        <w:tc>
          <w:tcPr>
            <w:tcW w:w="411" w:type="dxa"/>
            <w:vMerge/>
          </w:tcPr>
          <w:p w14:paraId="222CDD0F" w14:textId="77777777" w:rsidR="00B37371" w:rsidRDefault="00B37371">
            <w:pPr>
              <w:spacing w:before="100" w:beforeAutospacing="1" w:line="280" w:lineRule="atLeast"/>
              <w:rPr>
                <w:rFonts w:ascii="仿宋_GB2312" w:eastAsia="仿宋_GB2312" w:hAnsi="宋体" w:cs="宋体"/>
                <w:kern w:val="0"/>
                <w:sz w:val="20"/>
                <w:szCs w:val="20"/>
              </w:rPr>
            </w:pPr>
          </w:p>
        </w:tc>
        <w:tc>
          <w:tcPr>
            <w:tcW w:w="429" w:type="dxa"/>
            <w:vMerge/>
            <w:tcBorders>
              <w:right w:val="single" w:sz="4" w:space="0" w:color="auto"/>
            </w:tcBorders>
          </w:tcPr>
          <w:p w14:paraId="2E293F00" w14:textId="77777777" w:rsidR="00B37371" w:rsidRDefault="00B37371">
            <w:pPr>
              <w:spacing w:before="100" w:beforeAutospacing="1" w:line="280" w:lineRule="atLeast"/>
              <w:rPr>
                <w:rFonts w:ascii="仿宋_GB2312" w:eastAsia="仿宋_GB2312" w:hAnsi="宋体" w:cs="宋体"/>
                <w:kern w:val="0"/>
                <w:sz w:val="20"/>
                <w:szCs w:val="20"/>
              </w:rPr>
            </w:pPr>
          </w:p>
        </w:tc>
        <w:tc>
          <w:tcPr>
            <w:tcW w:w="567" w:type="dxa"/>
            <w:vMerge/>
            <w:tcBorders>
              <w:left w:val="single" w:sz="4" w:space="0" w:color="auto"/>
            </w:tcBorders>
          </w:tcPr>
          <w:p w14:paraId="7F629F77" w14:textId="77777777" w:rsidR="00B37371" w:rsidRDefault="00B37371">
            <w:pPr>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058C887A"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vAlign w:val="center"/>
          </w:tcPr>
          <w:p w14:paraId="7B5C67B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2302D40F"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307" w:type="dxa"/>
            <w:vAlign w:val="center"/>
          </w:tcPr>
          <w:p w14:paraId="3E8E0683"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shd w:val="clear" w:color="auto" w:fill="auto"/>
            <w:vAlign w:val="center"/>
          </w:tcPr>
          <w:p w14:paraId="699C98DE"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46B45C99" w14:textId="77777777">
        <w:trPr>
          <w:trHeight w:hRule="exact" w:val="2512"/>
          <w:jc w:val="center"/>
        </w:trPr>
        <w:tc>
          <w:tcPr>
            <w:tcW w:w="411" w:type="dxa"/>
            <w:vMerge/>
          </w:tcPr>
          <w:p w14:paraId="47346068" w14:textId="77777777" w:rsidR="00B37371" w:rsidRDefault="00B37371">
            <w:pPr>
              <w:spacing w:before="100" w:beforeAutospacing="1" w:line="280" w:lineRule="atLeast"/>
              <w:rPr>
                <w:rFonts w:ascii="仿宋_GB2312" w:eastAsia="仿宋_GB2312" w:hAnsi="宋体" w:cs="宋体"/>
                <w:kern w:val="0"/>
                <w:sz w:val="20"/>
                <w:szCs w:val="20"/>
              </w:rPr>
            </w:pPr>
          </w:p>
        </w:tc>
        <w:tc>
          <w:tcPr>
            <w:tcW w:w="429" w:type="dxa"/>
            <w:vMerge/>
            <w:tcBorders>
              <w:right w:val="single" w:sz="4" w:space="0" w:color="auto"/>
            </w:tcBorders>
          </w:tcPr>
          <w:p w14:paraId="3F633DF0" w14:textId="77777777" w:rsidR="00B37371" w:rsidRDefault="00B37371">
            <w:pPr>
              <w:spacing w:before="100" w:beforeAutospacing="1" w:line="280" w:lineRule="atLeast"/>
              <w:rPr>
                <w:rFonts w:ascii="仿宋_GB2312" w:eastAsia="仿宋_GB2312" w:hAnsi="宋体" w:cs="宋体"/>
                <w:kern w:val="0"/>
                <w:sz w:val="20"/>
                <w:szCs w:val="20"/>
              </w:rPr>
            </w:pPr>
          </w:p>
        </w:tc>
        <w:tc>
          <w:tcPr>
            <w:tcW w:w="567" w:type="dxa"/>
            <w:vMerge/>
            <w:tcBorders>
              <w:left w:val="single" w:sz="4" w:space="0" w:color="auto"/>
            </w:tcBorders>
          </w:tcPr>
          <w:p w14:paraId="5D4BF6F4" w14:textId="77777777" w:rsidR="00B37371" w:rsidRDefault="00B37371">
            <w:pPr>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464DD584"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vAlign w:val="center"/>
          </w:tcPr>
          <w:p w14:paraId="330511DB"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648ABD6C"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w:t>
            </w:r>
            <w:proofErr w:type="gramStart"/>
            <w:r>
              <w:rPr>
                <w:rFonts w:ascii="仿宋_GB2312" w:eastAsia="仿宋_GB2312" w:hAnsi="宋体" w:cs="宋体" w:hint="eastAsia"/>
                <w:kern w:val="0"/>
                <w:sz w:val="20"/>
                <w:szCs w:val="20"/>
              </w:rPr>
              <w:t>公经费</w:t>
            </w:r>
            <w:proofErr w:type="gramEnd"/>
            <w:r>
              <w:rPr>
                <w:rFonts w:ascii="仿宋_GB2312" w:eastAsia="仿宋_GB2312" w:hAnsi="宋体" w:cs="宋体" w:hint="eastAsia"/>
                <w:kern w:val="0"/>
                <w:sz w:val="20"/>
                <w:szCs w:val="20"/>
              </w:rPr>
              <w:t>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307" w:type="dxa"/>
            <w:vAlign w:val="center"/>
          </w:tcPr>
          <w:p w14:paraId="3991C149"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shd w:val="clear" w:color="auto" w:fill="auto"/>
            <w:vAlign w:val="center"/>
          </w:tcPr>
          <w:p w14:paraId="27B0DA53"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3CC269D0" w14:textId="77777777">
        <w:trPr>
          <w:trHeight w:hRule="exact" w:val="2271"/>
          <w:jc w:val="center"/>
        </w:trPr>
        <w:tc>
          <w:tcPr>
            <w:tcW w:w="411" w:type="dxa"/>
            <w:vMerge/>
          </w:tcPr>
          <w:p w14:paraId="10512723" w14:textId="77777777" w:rsidR="00B37371" w:rsidRDefault="00B37371">
            <w:pPr>
              <w:spacing w:before="100" w:beforeAutospacing="1" w:line="280" w:lineRule="atLeas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14571D1E"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6D04D299"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6D103B74"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14:paraId="22C5C55B"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vAlign w:val="center"/>
          </w:tcPr>
          <w:p w14:paraId="18310369"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2B5C9455"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307" w:type="dxa"/>
            <w:vAlign w:val="center"/>
          </w:tcPr>
          <w:p w14:paraId="19B35BC5"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w:t>
            </w:r>
            <w:proofErr w:type="gramStart"/>
            <w:r>
              <w:rPr>
                <w:rFonts w:ascii="仿宋_GB2312" w:eastAsia="仿宋_GB2312" w:hAnsi="宋体" w:cs="宋体" w:hint="eastAsia"/>
                <w:kern w:val="0"/>
                <w:sz w:val="20"/>
                <w:szCs w:val="20"/>
              </w:rPr>
              <w:t>采金额</w:t>
            </w:r>
            <w:proofErr w:type="gramEnd"/>
            <w:r>
              <w:rPr>
                <w:rFonts w:ascii="仿宋_GB2312" w:eastAsia="仿宋_GB2312" w:hAnsi="宋体" w:cs="宋体" w:hint="eastAsia"/>
                <w:kern w:val="0"/>
                <w:sz w:val="20"/>
                <w:szCs w:val="20"/>
              </w:rPr>
              <w:t>以《湘财购[2012]27号》文件为标准。</w:t>
            </w:r>
          </w:p>
        </w:tc>
        <w:tc>
          <w:tcPr>
            <w:tcW w:w="617" w:type="dxa"/>
            <w:shd w:val="clear" w:color="auto" w:fill="auto"/>
            <w:vAlign w:val="center"/>
          </w:tcPr>
          <w:p w14:paraId="10D454B5"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B37371" w14:paraId="229FD66F" w14:textId="77777777" w:rsidTr="003E4A43">
        <w:trPr>
          <w:trHeight w:hRule="exact" w:val="3147"/>
          <w:jc w:val="center"/>
        </w:trPr>
        <w:tc>
          <w:tcPr>
            <w:tcW w:w="411" w:type="dxa"/>
            <w:vMerge/>
          </w:tcPr>
          <w:p w14:paraId="09622409"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14:paraId="150D2E16" w14:textId="77777777" w:rsidR="00B37371" w:rsidRDefault="00000000">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vAlign w:val="center"/>
          </w:tcPr>
          <w:p w14:paraId="35ADBA0A" w14:textId="77777777" w:rsidR="00B37371" w:rsidRDefault="00000000">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vAlign w:val="center"/>
          </w:tcPr>
          <w:p w14:paraId="64C6E66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vAlign w:val="center"/>
          </w:tcPr>
          <w:p w14:paraId="3D80DB6C"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p w14:paraId="136EA351" w14:textId="77777777" w:rsidR="00B37371" w:rsidRDefault="00B37371">
            <w:pPr>
              <w:widowControl/>
              <w:spacing w:before="100" w:beforeAutospacing="1" w:line="280" w:lineRule="atLeast"/>
              <w:jc w:val="center"/>
              <w:rPr>
                <w:rFonts w:ascii="仿宋_GB2312" w:eastAsia="仿宋_GB2312" w:hAnsi="宋体" w:cs="宋体"/>
                <w:kern w:val="0"/>
                <w:sz w:val="20"/>
                <w:szCs w:val="20"/>
              </w:rPr>
            </w:pPr>
          </w:p>
        </w:tc>
        <w:tc>
          <w:tcPr>
            <w:tcW w:w="3283" w:type="dxa"/>
            <w:tcBorders>
              <w:top w:val="single" w:sz="4" w:space="0" w:color="auto"/>
            </w:tcBorders>
            <w:vAlign w:val="center"/>
          </w:tcPr>
          <w:p w14:paraId="32EC4C8F" w14:textId="482CD99D"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②建立健全单位内部控制制度，1分；③会计人员、机构按规定设置，1分；④会计基础工作健全，1分；⑤会计档案符合规定要求，1分；</w:t>
            </w: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307" w:type="dxa"/>
            <w:tcBorders>
              <w:top w:val="single" w:sz="4" w:space="0" w:color="auto"/>
            </w:tcBorders>
          </w:tcPr>
          <w:p w14:paraId="2E41E690"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17" w:type="dxa"/>
            <w:tcBorders>
              <w:top w:val="single" w:sz="4" w:space="0" w:color="auto"/>
            </w:tcBorders>
            <w:shd w:val="clear" w:color="auto" w:fill="auto"/>
            <w:vAlign w:val="center"/>
          </w:tcPr>
          <w:p w14:paraId="3136E945"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6</w:t>
            </w:r>
          </w:p>
        </w:tc>
      </w:tr>
      <w:tr w:rsidR="00B37371" w14:paraId="3F261E49" w14:textId="77777777" w:rsidTr="00F440D7">
        <w:trPr>
          <w:trHeight w:hRule="exact" w:val="1271"/>
          <w:jc w:val="center"/>
        </w:trPr>
        <w:tc>
          <w:tcPr>
            <w:tcW w:w="411" w:type="dxa"/>
            <w:vMerge/>
          </w:tcPr>
          <w:p w14:paraId="68F2160C"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14:paraId="2A44AD44" w14:textId="77777777" w:rsidR="00B37371" w:rsidRDefault="00B37371">
            <w:pPr>
              <w:spacing w:before="100" w:beforeAutospacing="1" w:line="280" w:lineRule="atLeast"/>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vAlign w:val="center"/>
          </w:tcPr>
          <w:p w14:paraId="27B7DA8D" w14:textId="77777777" w:rsidR="00B37371" w:rsidRDefault="00B37371">
            <w:pPr>
              <w:spacing w:before="100" w:beforeAutospacing="1" w:line="280" w:lineRule="atLeast"/>
              <w:jc w:val="center"/>
              <w:rPr>
                <w:rFonts w:ascii="仿宋_GB2312" w:eastAsia="仿宋_GB2312" w:hAnsi="宋体" w:cs="宋体"/>
                <w:kern w:val="0"/>
                <w:sz w:val="20"/>
                <w:szCs w:val="20"/>
              </w:rPr>
            </w:pPr>
          </w:p>
        </w:tc>
        <w:tc>
          <w:tcPr>
            <w:tcW w:w="851" w:type="dxa"/>
            <w:tcBorders>
              <w:top w:val="single" w:sz="4" w:space="0" w:color="auto"/>
            </w:tcBorders>
            <w:vAlign w:val="center"/>
          </w:tcPr>
          <w:p w14:paraId="53482CB0" w14:textId="77777777" w:rsidR="00B37371" w:rsidRDefault="00000000">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vAlign w:val="center"/>
          </w:tcPr>
          <w:p w14:paraId="12E73122" w14:textId="77777777" w:rsidR="00B37371" w:rsidRDefault="00000000">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283" w:type="dxa"/>
            <w:tcBorders>
              <w:top w:val="single" w:sz="4" w:space="0" w:color="auto"/>
            </w:tcBorders>
            <w:vAlign w:val="center"/>
          </w:tcPr>
          <w:p w14:paraId="4A54ACFC" w14:textId="77777777" w:rsidR="00B37371" w:rsidRDefault="00000000">
            <w:pPr>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307" w:type="dxa"/>
            <w:tcBorders>
              <w:top w:val="single" w:sz="4" w:space="0" w:color="auto"/>
            </w:tcBorders>
          </w:tcPr>
          <w:p w14:paraId="2D7D0BE6"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17" w:type="dxa"/>
            <w:tcBorders>
              <w:top w:val="single" w:sz="4" w:space="0" w:color="auto"/>
            </w:tcBorders>
            <w:shd w:val="clear" w:color="auto" w:fill="auto"/>
            <w:vAlign w:val="center"/>
          </w:tcPr>
          <w:p w14:paraId="313E53EB"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r>
      <w:tr w:rsidR="00B37371" w14:paraId="251D868B" w14:textId="77777777" w:rsidTr="003E4A43">
        <w:trPr>
          <w:trHeight w:val="4805"/>
          <w:jc w:val="center"/>
        </w:trPr>
        <w:tc>
          <w:tcPr>
            <w:tcW w:w="411" w:type="dxa"/>
            <w:vMerge w:val="restart"/>
            <w:tcBorders>
              <w:top w:val="nil"/>
            </w:tcBorders>
            <w:vAlign w:val="center"/>
          </w:tcPr>
          <w:p w14:paraId="3464AE09"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vAlign w:val="center"/>
          </w:tcPr>
          <w:p w14:paraId="15756F1B" w14:textId="77777777" w:rsidR="00B37371" w:rsidRDefault="00B37371">
            <w:pPr>
              <w:spacing w:before="100" w:beforeAutospacing="1" w:line="280" w:lineRule="atLeast"/>
              <w:jc w:val="center"/>
              <w:rPr>
                <w:rFonts w:ascii="仿宋_GB2312" w:eastAsia="仿宋_GB2312" w:hAnsi="宋体" w:cs="宋体"/>
                <w:kern w:val="0"/>
                <w:sz w:val="20"/>
                <w:szCs w:val="20"/>
              </w:rPr>
            </w:pPr>
          </w:p>
        </w:tc>
        <w:tc>
          <w:tcPr>
            <w:tcW w:w="567" w:type="dxa"/>
            <w:vMerge/>
            <w:tcBorders>
              <w:left w:val="single" w:sz="4" w:space="0" w:color="auto"/>
            </w:tcBorders>
            <w:vAlign w:val="center"/>
          </w:tcPr>
          <w:p w14:paraId="55341E7F" w14:textId="77777777" w:rsidR="00B37371" w:rsidRDefault="00B37371">
            <w:pPr>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4B82D71C"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性</w:t>
            </w:r>
          </w:p>
        </w:tc>
        <w:tc>
          <w:tcPr>
            <w:tcW w:w="567" w:type="dxa"/>
            <w:vAlign w:val="center"/>
          </w:tcPr>
          <w:p w14:paraId="7583395E"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283" w:type="dxa"/>
            <w:vAlign w:val="center"/>
          </w:tcPr>
          <w:p w14:paraId="2F6004C0" w14:textId="1FB47B42"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②资金（开支）拨付有完整的审批程序和手续；③支出符合部门预算批复的用途；④资金使用无截留、挤占、挪用、虚列支出、随意借用、大额现金支付等情况。</w:t>
            </w: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无超标准发放津补贴、奖金，无用公款支付应由个人支付的款项。以上情况每出现一例不</w:t>
            </w:r>
            <w:r>
              <w:rPr>
                <w:rFonts w:ascii="仿宋_GB2312" w:eastAsia="仿宋_GB2312" w:hAnsi="宋体" w:cs="宋体" w:hint="eastAsia"/>
                <w:kern w:val="0"/>
                <w:sz w:val="20"/>
                <w:szCs w:val="20"/>
              </w:rPr>
              <w:t>符合要求的扣2分，扣完为止。</w:t>
            </w:r>
          </w:p>
        </w:tc>
        <w:tc>
          <w:tcPr>
            <w:tcW w:w="3307" w:type="dxa"/>
            <w:vAlign w:val="center"/>
          </w:tcPr>
          <w:p w14:paraId="11A30EB9"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shd w:val="clear" w:color="auto" w:fill="auto"/>
            <w:vAlign w:val="center"/>
          </w:tcPr>
          <w:p w14:paraId="377881EF" w14:textId="5ECDA793"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w:t>
            </w:r>
            <w:r w:rsidR="00505DDB">
              <w:rPr>
                <w:rFonts w:ascii="宋体" w:hAnsi="宋体" w:cs="宋体"/>
                <w:color w:val="000000" w:themeColor="text1"/>
                <w:kern w:val="0"/>
                <w:sz w:val="24"/>
              </w:rPr>
              <w:t>2</w:t>
            </w:r>
          </w:p>
        </w:tc>
      </w:tr>
      <w:tr w:rsidR="00B37371" w14:paraId="202D07DD" w14:textId="77777777" w:rsidTr="003E4A43">
        <w:trPr>
          <w:trHeight w:val="1415"/>
          <w:jc w:val="center"/>
        </w:trPr>
        <w:tc>
          <w:tcPr>
            <w:tcW w:w="411" w:type="dxa"/>
            <w:vMerge/>
            <w:tcBorders>
              <w:top w:val="nil"/>
            </w:tcBorders>
          </w:tcPr>
          <w:p w14:paraId="78BF385E"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5AE25EFD"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3962FF08"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25DE97B2"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vAlign w:val="center"/>
          </w:tcPr>
          <w:p w14:paraId="676E4D92"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283" w:type="dxa"/>
          </w:tcPr>
          <w:p w14:paraId="0DA2C5F0" w14:textId="77777777"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307" w:type="dxa"/>
            <w:vAlign w:val="center"/>
          </w:tcPr>
          <w:p w14:paraId="3890513E"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shd w:val="clear" w:color="auto" w:fill="auto"/>
            <w:vAlign w:val="center"/>
          </w:tcPr>
          <w:p w14:paraId="13899530" w14:textId="77777777"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r>
      <w:tr w:rsidR="00B37371" w14:paraId="09958C66" w14:textId="77777777">
        <w:trPr>
          <w:trHeight w:val="575"/>
          <w:jc w:val="center"/>
        </w:trPr>
        <w:tc>
          <w:tcPr>
            <w:tcW w:w="411" w:type="dxa"/>
            <w:vMerge/>
            <w:tcBorders>
              <w:top w:val="nil"/>
            </w:tcBorders>
            <w:vAlign w:val="center"/>
          </w:tcPr>
          <w:p w14:paraId="7A937050"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14:paraId="0548B4C3"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14:paraId="514B4E84"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vAlign w:val="center"/>
          </w:tcPr>
          <w:p w14:paraId="51100833"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vAlign w:val="center"/>
          </w:tcPr>
          <w:p w14:paraId="6F177C18"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73009050" w14:textId="77777777"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307" w:type="dxa"/>
            <w:vAlign w:val="center"/>
          </w:tcPr>
          <w:p w14:paraId="77AD46F8" w14:textId="77777777"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shd w:val="clear" w:color="auto" w:fill="auto"/>
            <w:vAlign w:val="center"/>
          </w:tcPr>
          <w:p w14:paraId="4D888650"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00FF68A9" w14:textId="77777777">
        <w:trPr>
          <w:trHeight w:val="2276"/>
          <w:jc w:val="center"/>
        </w:trPr>
        <w:tc>
          <w:tcPr>
            <w:tcW w:w="411" w:type="dxa"/>
            <w:vMerge/>
            <w:tcBorders>
              <w:top w:val="nil"/>
            </w:tcBorders>
          </w:tcPr>
          <w:p w14:paraId="4937D6A8"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14:paraId="7E32CE4F"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14:paraId="7E21A063"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6B12E12F"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vAlign w:val="center"/>
          </w:tcPr>
          <w:p w14:paraId="4E55C594"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283" w:type="dxa"/>
            <w:vAlign w:val="center"/>
          </w:tcPr>
          <w:p w14:paraId="4B89A232" w14:textId="640FBD1D" w:rsidR="00B37371" w:rsidRDefault="00F80394" w:rsidP="00F80394">
            <w:pPr>
              <w:pStyle w:val="1"/>
              <w:widowControl/>
              <w:spacing w:before="100" w:beforeAutospacing="1" w:line="280" w:lineRule="atLeast"/>
              <w:ind w:firstLineChars="0" w:firstLine="0"/>
              <w:jc w:val="left"/>
              <w:rPr>
                <w:rFonts w:ascii="仿宋_GB2312" w:eastAsia="仿宋_GB2312" w:hAnsi="宋体" w:cs="宋体"/>
                <w:kern w:val="0"/>
                <w:sz w:val="20"/>
                <w:szCs w:val="20"/>
              </w:rPr>
            </w:pPr>
            <w:r w:rsidRPr="00F80394">
              <w:rPr>
                <w:rFonts w:ascii="仿宋_GB2312" w:eastAsia="仿宋_GB2312" w:hAnsi="宋体" w:cs="宋体" w:hint="eastAsia"/>
                <w:kern w:val="0"/>
                <w:sz w:val="20"/>
                <w:szCs w:val="20"/>
              </w:rPr>
              <w:t>①</w:t>
            </w:r>
            <w:r>
              <w:rPr>
                <w:rFonts w:ascii="仿宋_GB2312" w:eastAsia="仿宋_GB2312" w:hAnsi="宋体" w:cs="宋体" w:hint="eastAsia"/>
                <w:kern w:val="0"/>
                <w:sz w:val="20"/>
                <w:szCs w:val="20"/>
              </w:rPr>
              <w:t>资产保存完整；②资产配置合理；③资产处置规范； ④资产账务管理合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，帐实帐卡、账</w:t>
            </w:r>
            <w:proofErr w:type="gramStart"/>
            <w:r>
              <w:rPr>
                <w:rFonts w:ascii="仿宋_GB2312" w:eastAsia="仿宋_GB2312" w:hAnsi="宋体" w:cs="宋体" w:hint="eastAsia"/>
                <w:kern w:val="0"/>
                <w:sz w:val="20"/>
                <w:szCs w:val="20"/>
              </w:rPr>
              <w:t>账</w:t>
            </w:r>
            <w:proofErr w:type="gramEnd"/>
            <w:r>
              <w:rPr>
                <w:rFonts w:ascii="仿宋_GB2312" w:eastAsia="仿宋_GB2312" w:hAnsi="宋体" w:cs="宋体" w:hint="eastAsia"/>
                <w:kern w:val="0"/>
                <w:sz w:val="20"/>
                <w:szCs w:val="20"/>
              </w:rPr>
              <w:t>、账表（决算报表等）相符；⑤资产有偿使用及处置收入及时足额上缴；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；⑧按标准购置固定资产。以上情况每出现一例不符合要求的扣2分；⑨未按时报送20</w:t>
            </w:r>
            <w:r w:rsidR="00701457">
              <w:rPr>
                <w:rFonts w:ascii="仿宋_GB2312" w:eastAsia="仿宋_GB2312" w:hAnsi="宋体" w:cs="宋体"/>
                <w:kern w:val="0"/>
                <w:sz w:val="20"/>
                <w:szCs w:val="20"/>
              </w:rPr>
              <w:t>20</w:t>
            </w:r>
            <w:r>
              <w:rPr>
                <w:rFonts w:ascii="仿宋_GB2312" w:eastAsia="仿宋_GB2312" w:hAnsi="宋体" w:cs="宋体" w:hint="eastAsia"/>
                <w:kern w:val="0"/>
                <w:sz w:val="20"/>
                <w:szCs w:val="20"/>
              </w:rPr>
              <w:t>年行政事业单位资产报表的，每延迟一天，扣1分，扣完为止。</w:t>
            </w:r>
          </w:p>
        </w:tc>
        <w:tc>
          <w:tcPr>
            <w:tcW w:w="3307" w:type="dxa"/>
            <w:vAlign w:val="center"/>
          </w:tcPr>
          <w:p w14:paraId="7A20336C"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、配置合理、处置规范、收入及时足额上缴，用以反映和考核部门（单位）资产安全运行情况。</w:t>
            </w:r>
          </w:p>
        </w:tc>
        <w:tc>
          <w:tcPr>
            <w:tcW w:w="617" w:type="dxa"/>
            <w:shd w:val="clear" w:color="auto" w:fill="auto"/>
            <w:vAlign w:val="center"/>
          </w:tcPr>
          <w:p w14:paraId="4061BF94" w14:textId="01977071"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1</w:t>
            </w:r>
            <w:r w:rsidR="00505DDB">
              <w:rPr>
                <w:rFonts w:ascii="仿宋_GB2312" w:eastAsia="仿宋_GB2312" w:hAnsi="宋体" w:cs="宋体"/>
                <w:color w:val="000000" w:themeColor="text1"/>
                <w:kern w:val="0"/>
                <w:sz w:val="20"/>
                <w:szCs w:val="20"/>
              </w:rPr>
              <w:t>4</w:t>
            </w:r>
          </w:p>
        </w:tc>
      </w:tr>
      <w:tr w:rsidR="00B37371" w14:paraId="491E7DA1" w14:textId="77777777" w:rsidTr="003E4A43">
        <w:trPr>
          <w:trHeight w:val="940"/>
          <w:jc w:val="center"/>
        </w:trPr>
        <w:tc>
          <w:tcPr>
            <w:tcW w:w="411" w:type="dxa"/>
            <w:vMerge/>
            <w:tcBorders>
              <w:top w:val="nil"/>
            </w:tcBorders>
          </w:tcPr>
          <w:p w14:paraId="615ED157"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14:paraId="0D91EE6C"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14:paraId="32744ED2"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tcPr>
          <w:p w14:paraId="3300A0DC" w14:textId="670FCFB1"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w:t>
            </w:r>
          </w:p>
        </w:tc>
        <w:tc>
          <w:tcPr>
            <w:tcW w:w="567" w:type="dxa"/>
            <w:vAlign w:val="center"/>
          </w:tcPr>
          <w:p w14:paraId="3A27F835"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tcPr>
          <w:p w14:paraId="2A69CC64" w14:textId="77777777"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307" w:type="dxa"/>
          </w:tcPr>
          <w:p w14:paraId="37D2E894" w14:textId="77777777"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shd w:val="clear" w:color="auto" w:fill="auto"/>
            <w:vAlign w:val="center"/>
          </w:tcPr>
          <w:p w14:paraId="31313DD9"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0D3215D9" w14:textId="77777777">
        <w:trPr>
          <w:trHeight w:val="1785"/>
          <w:jc w:val="center"/>
        </w:trPr>
        <w:tc>
          <w:tcPr>
            <w:tcW w:w="411" w:type="dxa"/>
            <w:vMerge/>
            <w:tcBorders>
              <w:top w:val="nil"/>
            </w:tcBorders>
          </w:tcPr>
          <w:p w14:paraId="31C6747D"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val="restart"/>
            <w:tcBorders>
              <w:right w:val="single" w:sz="4" w:space="0" w:color="auto"/>
            </w:tcBorders>
            <w:vAlign w:val="center"/>
          </w:tcPr>
          <w:p w14:paraId="256FA193" w14:textId="77777777" w:rsidR="00B37371" w:rsidRDefault="00000000">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vAlign w:val="center"/>
          </w:tcPr>
          <w:p w14:paraId="469646CA"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vAlign w:val="center"/>
          </w:tcPr>
          <w:p w14:paraId="0E268AAD"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vAlign w:val="center"/>
          </w:tcPr>
          <w:p w14:paraId="77A2D9C6"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283" w:type="dxa"/>
            <w:vAlign w:val="center"/>
          </w:tcPr>
          <w:p w14:paraId="3D897358" w14:textId="009461FA"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w:t>
            </w:r>
            <w:r w:rsidR="00701457">
              <w:rPr>
                <w:rFonts w:ascii="仿宋_GB2312" w:eastAsia="仿宋_GB2312" w:hAnsi="宋体" w:cs="宋体"/>
                <w:kern w:val="0"/>
                <w:sz w:val="20"/>
                <w:szCs w:val="20"/>
              </w:rPr>
              <w:t>1</w:t>
            </w:r>
            <w:r>
              <w:rPr>
                <w:rFonts w:ascii="仿宋_GB2312" w:eastAsia="仿宋_GB2312" w:hAnsi="宋体" w:cs="宋体" w:hint="eastAsia"/>
                <w:kern w:val="0"/>
                <w:sz w:val="20"/>
                <w:szCs w:val="20"/>
              </w:rPr>
              <w:t>年度部门整体支出绩效目标的，2分；③在规定时间内报送、公开以上目标的，2分，否则不得分。</w:t>
            </w:r>
          </w:p>
        </w:tc>
        <w:tc>
          <w:tcPr>
            <w:tcW w:w="3307" w:type="dxa"/>
            <w:vAlign w:val="center"/>
          </w:tcPr>
          <w:p w14:paraId="5D1ADEE5" w14:textId="77777777" w:rsidR="00B37371" w:rsidRDefault="00B37371">
            <w:pPr>
              <w:widowControl/>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6AE5CE8E"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8</w:t>
            </w:r>
          </w:p>
        </w:tc>
      </w:tr>
      <w:tr w:rsidR="00B37371" w14:paraId="45479C67" w14:textId="77777777">
        <w:trPr>
          <w:trHeight w:val="1786"/>
          <w:jc w:val="center"/>
        </w:trPr>
        <w:tc>
          <w:tcPr>
            <w:tcW w:w="411" w:type="dxa"/>
            <w:vMerge/>
            <w:tcBorders>
              <w:top w:val="nil"/>
              <w:bottom w:val="single" w:sz="4" w:space="0" w:color="auto"/>
            </w:tcBorders>
          </w:tcPr>
          <w:p w14:paraId="557CEDD6"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34BD19F0" w14:textId="77777777" w:rsidR="00B37371" w:rsidRDefault="00B37371">
            <w:pPr>
              <w:spacing w:before="100" w:beforeAutospacing="1" w:line="280" w:lineRule="atLeast"/>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5598D4F1"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7837044C" w14:textId="233C248F" w:rsidR="00B37371" w:rsidRDefault="00000000" w:rsidP="003E4A43">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 评价管理</w:t>
            </w:r>
          </w:p>
        </w:tc>
        <w:tc>
          <w:tcPr>
            <w:tcW w:w="567" w:type="dxa"/>
            <w:vAlign w:val="center"/>
          </w:tcPr>
          <w:p w14:paraId="71ACC381"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283" w:type="dxa"/>
          </w:tcPr>
          <w:p w14:paraId="0BD51B49" w14:textId="3510A8BF"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w:t>
            </w:r>
            <w:r w:rsidR="00701457">
              <w:rPr>
                <w:rFonts w:ascii="仿宋_GB2312" w:eastAsia="仿宋_GB2312" w:hAnsi="宋体" w:cs="宋体"/>
                <w:kern w:val="0"/>
                <w:sz w:val="20"/>
                <w:szCs w:val="20"/>
              </w:rPr>
              <w:t>20</w:t>
            </w:r>
            <w:r>
              <w:rPr>
                <w:rFonts w:ascii="仿宋_GB2312" w:eastAsia="仿宋_GB2312" w:hAnsi="宋体" w:cs="宋体" w:hint="eastAsia"/>
                <w:kern w:val="0"/>
                <w:sz w:val="20"/>
                <w:szCs w:val="20"/>
              </w:rPr>
              <w:t>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w:t>
            </w:r>
            <w:r w:rsidR="00701457">
              <w:rPr>
                <w:rFonts w:ascii="仿宋_GB2312" w:eastAsia="仿宋_GB2312" w:hAnsi="宋体" w:cs="宋体"/>
                <w:kern w:val="0"/>
                <w:sz w:val="20"/>
                <w:szCs w:val="20"/>
              </w:rPr>
              <w:t>20</w:t>
            </w:r>
            <w:r>
              <w:rPr>
                <w:rFonts w:ascii="仿宋_GB2312" w:eastAsia="仿宋_GB2312" w:hAnsi="宋体" w:cs="宋体" w:hint="eastAsia"/>
                <w:kern w:val="0"/>
                <w:sz w:val="20"/>
                <w:szCs w:val="20"/>
              </w:rPr>
              <w:t>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w:t>
            </w:r>
            <w:r w:rsidR="00701457">
              <w:rPr>
                <w:rFonts w:ascii="仿宋_GB2312" w:eastAsia="仿宋_GB2312" w:hAnsi="宋体" w:cs="宋体"/>
                <w:kern w:val="0"/>
                <w:sz w:val="20"/>
                <w:szCs w:val="20"/>
              </w:rPr>
              <w:t>20</w:t>
            </w:r>
            <w:r>
              <w:rPr>
                <w:rFonts w:ascii="仿宋_GB2312" w:eastAsia="仿宋_GB2312" w:hAnsi="宋体" w:cs="宋体" w:hint="eastAsia"/>
                <w:kern w:val="0"/>
                <w:sz w:val="20"/>
                <w:szCs w:val="20"/>
              </w:rPr>
              <w:t>年度部门整体支出绩效自评的，1分；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307" w:type="dxa"/>
            <w:vAlign w:val="center"/>
          </w:tcPr>
          <w:p w14:paraId="098476E5" w14:textId="77777777" w:rsidR="00B37371" w:rsidRDefault="00B37371">
            <w:pPr>
              <w:widowControl/>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39D1EB96"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7</w:t>
            </w:r>
          </w:p>
        </w:tc>
      </w:tr>
      <w:tr w:rsidR="00B37371" w14:paraId="594DB372" w14:textId="77777777" w:rsidTr="003E4A43">
        <w:trPr>
          <w:trHeight w:val="1092"/>
          <w:jc w:val="center"/>
        </w:trPr>
        <w:tc>
          <w:tcPr>
            <w:tcW w:w="411" w:type="dxa"/>
            <w:tcBorders>
              <w:top w:val="nil"/>
              <w:bottom w:val="single" w:sz="4" w:space="0" w:color="auto"/>
            </w:tcBorders>
          </w:tcPr>
          <w:p w14:paraId="6747FD1F"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tcPr>
          <w:p w14:paraId="4FC68912" w14:textId="77777777" w:rsidR="00B37371" w:rsidRDefault="00B37371">
            <w:pPr>
              <w:spacing w:before="100" w:beforeAutospacing="1" w:line="280" w:lineRule="atLeast"/>
              <w:jc w:val="left"/>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tcPr>
          <w:p w14:paraId="0E854638"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29E37B2E"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vAlign w:val="center"/>
          </w:tcPr>
          <w:p w14:paraId="16F96D54"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79E3EC47" w14:textId="683985EF" w:rsidR="00B37371" w:rsidRDefault="00000000">
            <w:pPr>
              <w:widowControl/>
              <w:spacing w:before="100" w:beforeAutospacing="1" w:line="280" w:lineRule="atLeast"/>
              <w:rPr>
                <w:rFonts w:ascii="仿宋" w:eastAsia="仿宋" w:hAnsi="仿宋" w:cs="宋体"/>
                <w:sz w:val="20"/>
                <w:szCs w:val="20"/>
              </w:rPr>
            </w:pPr>
            <w:r>
              <w:rPr>
                <w:rFonts w:ascii="仿宋_GB2312" w:eastAsia="仿宋_GB2312" w:hAnsi="宋体" w:cs="宋体" w:hint="eastAsia"/>
                <w:kern w:val="0"/>
                <w:sz w:val="20"/>
                <w:szCs w:val="20"/>
              </w:rPr>
              <w:t>根据20</w:t>
            </w:r>
            <w:r w:rsidR="00701457">
              <w:rPr>
                <w:rFonts w:ascii="仿宋_GB2312" w:eastAsia="仿宋_GB2312" w:hAnsi="宋体" w:cs="宋体"/>
                <w:kern w:val="0"/>
                <w:sz w:val="20"/>
                <w:szCs w:val="20"/>
              </w:rPr>
              <w:t>20</w:t>
            </w:r>
            <w:r>
              <w:rPr>
                <w:rFonts w:ascii="仿宋_GB2312" w:eastAsia="仿宋_GB2312" w:hAnsi="宋体" w:cs="宋体" w:hint="eastAsia"/>
                <w:kern w:val="0"/>
                <w:sz w:val="20"/>
                <w:szCs w:val="20"/>
              </w:rPr>
              <w:t>年度财政重点绩效评价和单位自评情况，向财政报送整改结果并整改到位的，2分，否则不得分。</w:t>
            </w:r>
          </w:p>
        </w:tc>
        <w:tc>
          <w:tcPr>
            <w:tcW w:w="3307" w:type="dxa"/>
            <w:vAlign w:val="center"/>
          </w:tcPr>
          <w:p w14:paraId="37EC6BE9" w14:textId="77777777" w:rsidR="00B37371" w:rsidRDefault="00B37371">
            <w:pPr>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03F496E6"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777CE691" w14:textId="77777777" w:rsidTr="003E4A43">
        <w:trPr>
          <w:trHeight w:val="292"/>
          <w:jc w:val="center"/>
        </w:trPr>
        <w:tc>
          <w:tcPr>
            <w:tcW w:w="411" w:type="dxa"/>
            <w:vMerge w:val="restart"/>
            <w:tcBorders>
              <w:top w:val="single" w:sz="4" w:space="0" w:color="auto"/>
            </w:tcBorders>
          </w:tcPr>
          <w:p w14:paraId="5D8F7A12" w14:textId="77777777" w:rsidR="00E42CD0" w:rsidRDefault="00E42CD0" w:rsidP="002D07E3">
            <w:pPr>
              <w:widowControl/>
              <w:spacing w:before="100" w:beforeAutospacing="1" w:line="280" w:lineRule="atLeast"/>
              <w:jc w:val="center"/>
              <w:rPr>
                <w:rFonts w:ascii="仿宋_GB2312" w:eastAsia="仿宋_GB2312" w:hAnsi="宋体" w:cs="宋体"/>
                <w:kern w:val="0"/>
                <w:sz w:val="20"/>
                <w:szCs w:val="20"/>
              </w:rPr>
            </w:pPr>
          </w:p>
          <w:p w14:paraId="14E9F79B" w14:textId="618C4712" w:rsidR="00B37371" w:rsidRDefault="00000000" w:rsidP="002D07E3">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vAlign w:val="center"/>
          </w:tcPr>
          <w:p w14:paraId="6ECCAAF4"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vAlign w:val="center"/>
          </w:tcPr>
          <w:p w14:paraId="3CC754F1"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vAlign w:val="center"/>
          </w:tcPr>
          <w:p w14:paraId="46127698"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vAlign w:val="center"/>
          </w:tcPr>
          <w:p w14:paraId="4D5C8547"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7171C962"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307" w:type="dxa"/>
            <w:vAlign w:val="center"/>
          </w:tcPr>
          <w:p w14:paraId="3547B794" w14:textId="77777777" w:rsidR="00B37371" w:rsidRDefault="00000000">
            <w:pPr>
              <w:autoSpaceDN w:val="0"/>
              <w:spacing w:before="100" w:beforeAutospacing="1" w:line="280" w:lineRule="atLeast"/>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shd w:val="clear" w:color="auto" w:fill="auto"/>
            <w:vAlign w:val="center"/>
          </w:tcPr>
          <w:p w14:paraId="1B5A6FBA"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3CA55C1F" w14:textId="77777777" w:rsidTr="00E42CD0">
        <w:trPr>
          <w:trHeight w:val="978"/>
          <w:jc w:val="center"/>
        </w:trPr>
        <w:tc>
          <w:tcPr>
            <w:tcW w:w="411" w:type="dxa"/>
            <w:vMerge/>
            <w:tcBorders>
              <w:bottom w:val="single" w:sz="4" w:space="0" w:color="auto"/>
            </w:tcBorders>
          </w:tcPr>
          <w:p w14:paraId="0DA64B21" w14:textId="77777777" w:rsidR="00B37371" w:rsidRDefault="00B37371">
            <w:pPr>
              <w:widowControl/>
              <w:spacing w:before="100" w:beforeAutospacing="1" w:line="280" w:lineRule="atLeast"/>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3F9CED9B" w14:textId="77777777" w:rsidR="00B37371" w:rsidRDefault="00B37371">
            <w:pPr>
              <w:widowControl/>
              <w:spacing w:before="100" w:beforeAutospacing="1" w:line="280" w:lineRule="atLeast"/>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02542B21" w14:textId="77777777" w:rsidR="00B37371" w:rsidRDefault="00B37371">
            <w:pPr>
              <w:widowControl/>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1B2DE2AB" w14:textId="326F1365" w:rsidR="00B37371" w:rsidRDefault="00000000" w:rsidP="003E4A43">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工作质量</w:t>
            </w:r>
          </w:p>
        </w:tc>
        <w:tc>
          <w:tcPr>
            <w:tcW w:w="567" w:type="dxa"/>
            <w:vAlign w:val="center"/>
          </w:tcPr>
          <w:p w14:paraId="4A5D6EF2" w14:textId="77777777" w:rsidR="00B37371" w:rsidRDefault="00000000">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283" w:type="dxa"/>
          </w:tcPr>
          <w:p w14:paraId="7D7615EC" w14:textId="77777777" w:rsidR="00B37371" w:rsidRDefault="00000000">
            <w:pPr>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307" w:type="dxa"/>
            <w:vAlign w:val="center"/>
          </w:tcPr>
          <w:p w14:paraId="36340109" w14:textId="77777777" w:rsidR="00B37371" w:rsidRDefault="00B37371">
            <w:pPr>
              <w:autoSpaceDN w:val="0"/>
              <w:spacing w:before="100" w:beforeAutospacing="1" w:line="280" w:lineRule="atLeast"/>
              <w:jc w:val="left"/>
              <w:textAlignment w:val="center"/>
              <w:rPr>
                <w:rFonts w:ascii="仿宋_GB2312" w:eastAsia="仿宋_GB2312" w:hAnsi="宋体" w:cs="宋体"/>
                <w:kern w:val="0"/>
                <w:sz w:val="20"/>
                <w:szCs w:val="20"/>
              </w:rPr>
            </w:pPr>
          </w:p>
        </w:tc>
        <w:tc>
          <w:tcPr>
            <w:tcW w:w="617" w:type="dxa"/>
            <w:shd w:val="clear" w:color="auto" w:fill="auto"/>
            <w:vAlign w:val="center"/>
          </w:tcPr>
          <w:p w14:paraId="04188B51" w14:textId="77777777" w:rsidR="00B37371" w:rsidRDefault="00000000">
            <w:pPr>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4EEE33EC" w14:textId="77777777" w:rsidTr="00E42CD0">
        <w:trPr>
          <w:trHeight w:val="667"/>
          <w:jc w:val="center"/>
        </w:trPr>
        <w:tc>
          <w:tcPr>
            <w:tcW w:w="411" w:type="dxa"/>
            <w:vMerge w:val="restart"/>
            <w:tcBorders>
              <w:top w:val="single" w:sz="4" w:space="0" w:color="auto"/>
              <w:bottom w:val="single" w:sz="4" w:space="0" w:color="auto"/>
            </w:tcBorders>
            <w:vAlign w:val="center"/>
          </w:tcPr>
          <w:p w14:paraId="2ECBE5DB"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proofErr w:type="gramStart"/>
            <w:r>
              <w:rPr>
                <w:rFonts w:ascii="仿宋_GB2312" w:eastAsia="仿宋_GB2312" w:hAnsi="宋体" w:cs="宋体" w:hint="eastAsia"/>
                <w:kern w:val="0"/>
                <w:sz w:val="20"/>
                <w:szCs w:val="20"/>
              </w:rPr>
              <w:lastRenderedPageBreak/>
              <w:t>效</w:t>
            </w:r>
            <w:proofErr w:type="gramEnd"/>
            <w:r>
              <w:rPr>
                <w:rFonts w:ascii="仿宋_GB2312" w:eastAsia="仿宋_GB2312" w:hAnsi="宋体" w:cs="宋体" w:hint="eastAsia"/>
                <w:kern w:val="0"/>
                <w:sz w:val="20"/>
                <w:szCs w:val="20"/>
              </w:rPr>
              <w:t xml:space="preserve">  果</w:t>
            </w:r>
          </w:p>
        </w:tc>
        <w:tc>
          <w:tcPr>
            <w:tcW w:w="429" w:type="dxa"/>
            <w:vMerge w:val="restart"/>
            <w:tcBorders>
              <w:top w:val="single" w:sz="4" w:space="0" w:color="auto"/>
              <w:bottom w:val="single" w:sz="4" w:space="0" w:color="auto"/>
            </w:tcBorders>
            <w:vAlign w:val="center"/>
          </w:tcPr>
          <w:p w14:paraId="5F3DDF2B"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vAlign w:val="center"/>
          </w:tcPr>
          <w:p w14:paraId="63A761F1"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vAlign w:val="center"/>
          </w:tcPr>
          <w:p w14:paraId="276534EB"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vAlign w:val="center"/>
          </w:tcPr>
          <w:p w14:paraId="70ABD118"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vAlign w:val="center"/>
          </w:tcPr>
          <w:p w14:paraId="0A8168A1" w14:textId="41DC9BB5" w:rsidR="00B37371" w:rsidRDefault="00000000">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w:t>
            </w:r>
            <w:r w:rsidR="00701457">
              <w:rPr>
                <w:rFonts w:ascii="仿宋_GB2312" w:eastAsia="仿宋_GB2312" w:hAnsi="宋体" w:cs="宋体"/>
                <w:kern w:val="0"/>
                <w:sz w:val="20"/>
                <w:szCs w:val="20"/>
              </w:rPr>
              <w:t>1</w:t>
            </w:r>
            <w:r>
              <w:rPr>
                <w:rFonts w:ascii="仿宋_GB2312" w:eastAsia="仿宋_GB2312" w:hAnsi="宋体" w:cs="宋体" w:hint="eastAsia"/>
                <w:kern w:val="0"/>
                <w:sz w:val="20"/>
                <w:szCs w:val="20"/>
              </w:rPr>
              <w:t>年度部门整体支出绩效目标设立情况有选择的进行评价。</w:t>
            </w:r>
          </w:p>
        </w:tc>
        <w:tc>
          <w:tcPr>
            <w:tcW w:w="617" w:type="dxa"/>
            <w:vMerge w:val="restart"/>
            <w:shd w:val="clear" w:color="auto" w:fill="auto"/>
            <w:vAlign w:val="center"/>
          </w:tcPr>
          <w:p w14:paraId="219792FA"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76954B3B" w14:textId="77777777">
        <w:trPr>
          <w:trHeight w:val="702"/>
          <w:jc w:val="center"/>
        </w:trPr>
        <w:tc>
          <w:tcPr>
            <w:tcW w:w="411" w:type="dxa"/>
            <w:vMerge/>
            <w:tcBorders>
              <w:top w:val="single" w:sz="4" w:space="0" w:color="auto"/>
              <w:bottom w:val="single" w:sz="4" w:space="0" w:color="auto"/>
            </w:tcBorders>
            <w:vAlign w:val="center"/>
          </w:tcPr>
          <w:p w14:paraId="234AB9EE"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04CBA719"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13D61013"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16335FE7"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vAlign w:val="center"/>
          </w:tcPr>
          <w:p w14:paraId="4BF2E0D5"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590" w:type="dxa"/>
            <w:gridSpan w:val="2"/>
            <w:vMerge/>
            <w:vAlign w:val="center"/>
          </w:tcPr>
          <w:p w14:paraId="3FA822E5"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17" w:type="dxa"/>
            <w:vMerge/>
            <w:shd w:val="clear" w:color="auto" w:fill="auto"/>
            <w:vAlign w:val="center"/>
          </w:tcPr>
          <w:p w14:paraId="304F8B07" w14:textId="77777777" w:rsidR="00B37371" w:rsidRDefault="00B37371">
            <w:pPr>
              <w:widowControl/>
              <w:spacing w:before="100" w:beforeAutospacing="1" w:line="280" w:lineRule="atLeast"/>
              <w:jc w:val="center"/>
              <w:rPr>
                <w:rFonts w:ascii="仿宋_GB2312" w:eastAsia="仿宋_GB2312" w:hAnsi="宋体" w:cs="宋体"/>
                <w:color w:val="000000" w:themeColor="text1"/>
                <w:kern w:val="0"/>
                <w:sz w:val="20"/>
                <w:szCs w:val="20"/>
              </w:rPr>
            </w:pPr>
          </w:p>
        </w:tc>
      </w:tr>
      <w:tr w:rsidR="00B37371" w14:paraId="4D9B636C" w14:textId="77777777">
        <w:trPr>
          <w:trHeight w:val="738"/>
          <w:jc w:val="center"/>
        </w:trPr>
        <w:tc>
          <w:tcPr>
            <w:tcW w:w="411" w:type="dxa"/>
            <w:vMerge/>
            <w:tcBorders>
              <w:top w:val="single" w:sz="4" w:space="0" w:color="auto"/>
              <w:bottom w:val="single" w:sz="4" w:space="0" w:color="auto"/>
            </w:tcBorders>
            <w:vAlign w:val="center"/>
          </w:tcPr>
          <w:p w14:paraId="5873FF68"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751A250D"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070C4FA0"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7E574FD0"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vAlign w:val="center"/>
          </w:tcPr>
          <w:p w14:paraId="769DE295"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590" w:type="dxa"/>
            <w:gridSpan w:val="2"/>
            <w:vMerge/>
            <w:vAlign w:val="center"/>
          </w:tcPr>
          <w:p w14:paraId="220A706E"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617" w:type="dxa"/>
            <w:vMerge/>
            <w:shd w:val="clear" w:color="auto" w:fill="auto"/>
            <w:vAlign w:val="center"/>
          </w:tcPr>
          <w:p w14:paraId="05880102" w14:textId="77777777" w:rsidR="00B37371" w:rsidRDefault="00B37371">
            <w:pPr>
              <w:widowControl/>
              <w:spacing w:before="100" w:beforeAutospacing="1" w:line="280" w:lineRule="atLeast"/>
              <w:jc w:val="center"/>
              <w:rPr>
                <w:rFonts w:ascii="仿宋_GB2312" w:eastAsia="仿宋_GB2312" w:hAnsi="宋体" w:cs="宋体"/>
                <w:color w:val="000000" w:themeColor="text1"/>
                <w:kern w:val="0"/>
                <w:sz w:val="20"/>
                <w:szCs w:val="20"/>
              </w:rPr>
            </w:pPr>
          </w:p>
        </w:tc>
      </w:tr>
      <w:tr w:rsidR="00B37371" w14:paraId="6ED102AC" w14:textId="77777777" w:rsidTr="003E4A43">
        <w:trPr>
          <w:trHeight w:val="1271"/>
          <w:jc w:val="center"/>
        </w:trPr>
        <w:tc>
          <w:tcPr>
            <w:tcW w:w="411" w:type="dxa"/>
            <w:vMerge/>
            <w:tcBorders>
              <w:top w:val="single" w:sz="4" w:space="0" w:color="auto"/>
              <w:bottom w:val="single" w:sz="4" w:space="0" w:color="auto"/>
            </w:tcBorders>
          </w:tcPr>
          <w:p w14:paraId="5D41FAD4"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tcPr>
          <w:p w14:paraId="474073A0"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tcPr>
          <w:p w14:paraId="0EA0AE73" w14:textId="77777777" w:rsidR="00B37371" w:rsidRDefault="00B37371">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455125C7"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vAlign w:val="center"/>
          </w:tcPr>
          <w:p w14:paraId="55231F61"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3F77AF25" w14:textId="77777777" w:rsidR="00B37371" w:rsidRDefault="00000000">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307" w:type="dxa"/>
            <w:vAlign w:val="center"/>
          </w:tcPr>
          <w:p w14:paraId="6D86EF49" w14:textId="77777777" w:rsidR="00B37371" w:rsidRDefault="00000000">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shd w:val="clear" w:color="auto" w:fill="auto"/>
            <w:vAlign w:val="center"/>
          </w:tcPr>
          <w:p w14:paraId="6C96C358" w14:textId="77777777" w:rsidR="00B37371" w:rsidRDefault="00000000">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B37371" w14:paraId="323E1D93" w14:textId="77777777">
        <w:trPr>
          <w:trHeight w:hRule="exact" w:val="1001"/>
          <w:jc w:val="center"/>
        </w:trPr>
        <w:tc>
          <w:tcPr>
            <w:tcW w:w="840" w:type="dxa"/>
            <w:gridSpan w:val="2"/>
            <w:vAlign w:val="center"/>
          </w:tcPr>
          <w:p w14:paraId="63607C7D" w14:textId="77777777" w:rsidR="00B37371" w:rsidRDefault="00000000">
            <w:pPr>
              <w:widowControl/>
              <w:spacing w:before="100" w:beforeAutospacing="1" w:line="28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vAlign w:val="center"/>
          </w:tcPr>
          <w:p w14:paraId="0794B8EE" w14:textId="77777777" w:rsidR="00B37371" w:rsidRDefault="00B37371">
            <w:pPr>
              <w:widowControl/>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6F873D0D" w14:textId="75E734FA" w:rsidR="00B37371" w:rsidRDefault="00000000">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9</w:t>
            </w:r>
            <w:r w:rsidR="00505DDB">
              <w:rPr>
                <w:rFonts w:ascii="宋体" w:hAnsi="宋体" w:cs="宋体"/>
                <w:color w:val="000000" w:themeColor="text1"/>
                <w:kern w:val="0"/>
                <w:sz w:val="24"/>
              </w:rPr>
              <w:t>1</w:t>
            </w:r>
          </w:p>
        </w:tc>
      </w:tr>
      <w:bookmarkEnd w:id="2"/>
    </w:tbl>
    <w:p w14:paraId="14016201" w14:textId="77777777" w:rsidR="00B37371" w:rsidRDefault="00B37371">
      <w:pPr>
        <w:spacing w:line="600" w:lineRule="exact"/>
        <w:rPr>
          <w:rFonts w:ascii="宋体" w:hAnsi="宋体" w:cs="宋体"/>
          <w:kern w:val="0"/>
          <w:sz w:val="32"/>
          <w:szCs w:val="32"/>
        </w:rPr>
      </w:pPr>
    </w:p>
    <w:bookmarkEnd w:id="1"/>
    <w:p w14:paraId="45886CD7" w14:textId="232D42BB" w:rsidR="00B37371" w:rsidRPr="002D07E3" w:rsidRDefault="00B37371" w:rsidP="002D07E3">
      <w:pPr>
        <w:adjustRightInd w:val="0"/>
        <w:spacing w:line="600" w:lineRule="exact"/>
        <w:ind w:right="641"/>
        <w:rPr>
          <w:rFonts w:ascii="黑体" w:eastAsia="黑体"/>
          <w:sz w:val="32"/>
          <w:szCs w:val="32"/>
        </w:rPr>
      </w:pPr>
    </w:p>
    <w:sectPr w:rsidR="00B37371" w:rsidRPr="002D07E3">
      <w:footerReference w:type="even" r:id="rId9"/>
      <w:footerReference w:type="default" r:id="rId10"/>
      <w:headerReference w:type="first" r:id="rId11"/>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9F06" w14:textId="77777777" w:rsidR="008C200E" w:rsidRDefault="008C200E">
      <w:r>
        <w:separator/>
      </w:r>
    </w:p>
  </w:endnote>
  <w:endnote w:type="continuationSeparator" w:id="0">
    <w:p w14:paraId="076B15DE" w14:textId="77777777" w:rsidR="008C200E" w:rsidRDefault="008C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00" w:usb3="00000000" w:csb0="00040000" w:csb1="00000000"/>
  </w:font>
  <w:font w:name="方正粗黑宋简体">
    <w:panose1 w:val="02000000000000000000"/>
    <w:charset w:val="86"/>
    <w:family w:val="auto"/>
    <w:pitch w:val="variable"/>
    <w:sig w:usb0="A00002BF" w:usb1="184F6CFA" w:usb2="00000012"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3A94" w14:textId="77777777" w:rsidR="00B37371" w:rsidRDefault="00000000">
    <w:pPr>
      <w:pStyle w:val="a3"/>
      <w:framePr w:wrap="around" w:vAnchor="text" w:hAnchor="margin" w:xAlign="outside" w:y="1"/>
      <w:rPr>
        <w:rStyle w:val="a6"/>
      </w:rPr>
    </w:pPr>
    <w:r>
      <w:fldChar w:fldCharType="begin"/>
    </w:r>
    <w:r>
      <w:rPr>
        <w:rStyle w:val="a6"/>
      </w:rPr>
      <w:instrText xml:space="preserve">PAGE  </w:instrText>
    </w:r>
    <w:r>
      <w:fldChar w:fldCharType="end"/>
    </w:r>
  </w:p>
  <w:p w14:paraId="65C5E48E" w14:textId="77777777" w:rsidR="00B37371" w:rsidRDefault="00B37371">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4A2A" w14:textId="77777777" w:rsidR="00B37371" w:rsidRDefault="00000000">
    <w:pPr>
      <w:pStyle w:val="a3"/>
      <w:framePr w:wrap="around" w:vAnchor="text" w:hAnchor="margin" w:xAlign="outside" w:y="1"/>
      <w:rPr>
        <w:rStyle w:val="a6"/>
        <w:rFonts w:ascii="仿宋_GB2312" w:eastAsia="仿宋_GB2312"/>
        <w:sz w:val="28"/>
        <w:szCs w:val="28"/>
      </w:rPr>
    </w:pPr>
    <w:r>
      <w:rPr>
        <w:rStyle w:val="a6"/>
        <w:rFonts w:ascii="仿宋_GB2312" w:eastAsia="仿宋_GB2312" w:hint="eastAsia"/>
        <w:sz w:val="28"/>
        <w:szCs w:val="28"/>
      </w:rPr>
      <w:t>-</w:t>
    </w:r>
    <w:r>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6"/>
        <w:rFonts w:ascii="仿宋_GB2312" w:eastAsia="仿宋_GB2312"/>
        <w:sz w:val="28"/>
        <w:szCs w:val="28"/>
      </w:rPr>
      <w:t>16</w:t>
    </w:r>
    <w:r>
      <w:rPr>
        <w:rFonts w:ascii="仿宋_GB2312" w:eastAsia="仿宋_GB2312" w:hint="eastAsia"/>
        <w:sz w:val="28"/>
        <w:szCs w:val="28"/>
      </w:rPr>
      <w:fldChar w:fldCharType="end"/>
    </w:r>
    <w:r>
      <w:rPr>
        <w:rStyle w:val="a6"/>
        <w:rFonts w:ascii="仿宋_GB2312" w:eastAsia="仿宋_GB2312" w:hint="eastAsia"/>
        <w:sz w:val="28"/>
        <w:szCs w:val="28"/>
      </w:rPr>
      <w:t>-</w:t>
    </w:r>
  </w:p>
  <w:p w14:paraId="6F1501B3" w14:textId="77777777" w:rsidR="00B37371" w:rsidRDefault="00B37371">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448E" w14:textId="77777777" w:rsidR="008C200E" w:rsidRDefault="008C200E">
      <w:r>
        <w:separator/>
      </w:r>
    </w:p>
  </w:footnote>
  <w:footnote w:type="continuationSeparator" w:id="0">
    <w:p w14:paraId="1642D50F" w14:textId="77777777" w:rsidR="008C200E" w:rsidRDefault="008C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CC86" w14:textId="77777777" w:rsidR="00B37371" w:rsidRDefault="00B37371"/>
  <w:p w14:paraId="074C183C" w14:textId="77777777" w:rsidR="00B37371" w:rsidRDefault="00B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691"/>
    <w:multiLevelType w:val="multilevel"/>
    <w:tmpl w:val="34184691"/>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16cid:durableId="169530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008B"/>
    <w:rsid w:val="0002104D"/>
    <w:rsid w:val="0002549B"/>
    <w:rsid w:val="00040519"/>
    <w:rsid w:val="00040CD5"/>
    <w:rsid w:val="000A45A6"/>
    <w:rsid w:val="000B7800"/>
    <w:rsid w:val="000E2070"/>
    <w:rsid w:val="000E2FE4"/>
    <w:rsid w:val="000F4ECB"/>
    <w:rsid w:val="0010679F"/>
    <w:rsid w:val="00172A27"/>
    <w:rsid w:val="001A1A9B"/>
    <w:rsid w:val="00267F6C"/>
    <w:rsid w:val="002802B5"/>
    <w:rsid w:val="002876B9"/>
    <w:rsid w:val="002D07E3"/>
    <w:rsid w:val="0034520A"/>
    <w:rsid w:val="00346873"/>
    <w:rsid w:val="00352008"/>
    <w:rsid w:val="003E4A43"/>
    <w:rsid w:val="00422823"/>
    <w:rsid w:val="0042780C"/>
    <w:rsid w:val="00445765"/>
    <w:rsid w:val="004E0B0F"/>
    <w:rsid w:val="004E3E18"/>
    <w:rsid w:val="00505DDB"/>
    <w:rsid w:val="005B69D8"/>
    <w:rsid w:val="005C0249"/>
    <w:rsid w:val="005F5971"/>
    <w:rsid w:val="0060104C"/>
    <w:rsid w:val="00610780"/>
    <w:rsid w:val="006B6557"/>
    <w:rsid w:val="006D4DE9"/>
    <w:rsid w:val="006F7F71"/>
    <w:rsid w:val="00701457"/>
    <w:rsid w:val="00742B8F"/>
    <w:rsid w:val="007C74EB"/>
    <w:rsid w:val="007E44A3"/>
    <w:rsid w:val="008216BC"/>
    <w:rsid w:val="008259FA"/>
    <w:rsid w:val="00880060"/>
    <w:rsid w:val="00882132"/>
    <w:rsid w:val="008B54C3"/>
    <w:rsid w:val="008C200E"/>
    <w:rsid w:val="008C28B6"/>
    <w:rsid w:val="008F7726"/>
    <w:rsid w:val="00973670"/>
    <w:rsid w:val="00986AEB"/>
    <w:rsid w:val="00996F35"/>
    <w:rsid w:val="009F7D21"/>
    <w:rsid w:val="00A20A5F"/>
    <w:rsid w:val="00A21DB3"/>
    <w:rsid w:val="00AD4EA7"/>
    <w:rsid w:val="00AD51AA"/>
    <w:rsid w:val="00B35A66"/>
    <w:rsid w:val="00B37371"/>
    <w:rsid w:val="00B85CC6"/>
    <w:rsid w:val="00B9335B"/>
    <w:rsid w:val="00BA0BB4"/>
    <w:rsid w:val="00BD12A2"/>
    <w:rsid w:val="00C134BE"/>
    <w:rsid w:val="00C16958"/>
    <w:rsid w:val="00C80CB3"/>
    <w:rsid w:val="00CA1E11"/>
    <w:rsid w:val="00D00E2D"/>
    <w:rsid w:val="00DA139C"/>
    <w:rsid w:val="00DE6A2A"/>
    <w:rsid w:val="00E21B17"/>
    <w:rsid w:val="00E42CD0"/>
    <w:rsid w:val="00E45E4B"/>
    <w:rsid w:val="00E5172F"/>
    <w:rsid w:val="00EF2239"/>
    <w:rsid w:val="00F065C8"/>
    <w:rsid w:val="00F440D7"/>
    <w:rsid w:val="00F441B0"/>
    <w:rsid w:val="00F80330"/>
    <w:rsid w:val="00F80394"/>
    <w:rsid w:val="00F94134"/>
    <w:rsid w:val="0B682AB9"/>
    <w:rsid w:val="32BE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E5CE1"/>
  <w15:docId w15:val="{720EE600-EDCF-40FB-B514-E7BEC955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Pr>
      <w:sz w:val="24"/>
    </w:rPr>
  </w:style>
  <w:style w:type="character" w:styleId="a6">
    <w:name w:val="page number"/>
    <w:basedOn w:val="a0"/>
    <w:qFormat/>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FEFA9A-0BEA-4F38-9D69-17112763B4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860</Words>
  <Characters>4908</Characters>
  <Application>Microsoft Office Word</Application>
  <DocSecurity>0</DocSecurity>
  <Lines>40</Lines>
  <Paragraphs>11</Paragraphs>
  <ScaleCrop>false</ScaleCrop>
  <Company>微软中国</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孙海忠 10.105.97.105</dc:creator>
  <cp:lastModifiedBy>王 银凤</cp:lastModifiedBy>
  <cp:revision>31</cp:revision>
  <dcterms:created xsi:type="dcterms:W3CDTF">2021-06-08T02:06:00Z</dcterms:created>
  <dcterms:modified xsi:type="dcterms:W3CDTF">2022-09-29T18:31:00Z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