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jc w:val="center"/>
        <w:rPr>
          <w:rFonts w:hint="eastAsia" w:ascii="黑体" w:eastAsia="黑体"/>
          <w:sz w:val="44"/>
          <w:szCs w:val="44"/>
        </w:rPr>
      </w:pPr>
      <w:r>
        <w:rPr>
          <w:rFonts w:hint="eastAsia" w:ascii="黑体" w:hAnsi="黑体" w:eastAsia="黑体"/>
          <w:sz w:val="44"/>
          <w:szCs w:val="44"/>
        </w:rPr>
        <w:t>项目支出绩效自评报告表</w:t>
      </w:r>
    </w:p>
    <w:p>
      <w:pPr>
        <w:spacing w:line="360" w:lineRule="auto"/>
        <w:rPr>
          <w:rFonts w:hint="eastAsia" w:ascii="楷体" w:hAnsi="楷体" w:eastAsia="楷体"/>
          <w:sz w:val="32"/>
          <w:szCs w:val="32"/>
        </w:rPr>
      </w:pPr>
    </w:p>
    <w:p>
      <w:pPr>
        <w:spacing w:line="360" w:lineRule="auto"/>
        <w:rPr>
          <w:rFonts w:hint="eastAsia" w:ascii="楷体" w:hAnsi="楷体" w:eastAsia="楷体"/>
          <w:sz w:val="32"/>
          <w:szCs w:val="32"/>
        </w:rPr>
      </w:pPr>
      <w:r>
        <w:rPr>
          <w:rFonts w:hint="eastAsia" w:ascii="楷体" w:hAnsi="楷体" w:eastAsia="楷体"/>
          <w:sz w:val="32"/>
          <w:szCs w:val="32"/>
        </w:rPr>
        <w:t xml:space="preserve">填报部门：邵阳市美术馆    </w:t>
      </w:r>
    </w:p>
    <w:tbl>
      <w:tblPr>
        <w:tblStyle w:val="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7"/>
        <w:gridCol w:w="2493"/>
        <w:gridCol w:w="1440"/>
        <w:gridCol w:w="715"/>
        <w:gridCol w:w="1215"/>
        <w:gridCol w:w="570"/>
        <w:gridCol w:w="81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基本情况</w:t>
            </w: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项目支出名称</w:t>
            </w:r>
          </w:p>
        </w:tc>
        <w:tc>
          <w:tcPr>
            <w:tcW w:w="6120" w:type="dxa"/>
            <w:gridSpan w:val="6"/>
            <w:tcBorders>
              <w:top w:val="single" w:color="auto" w:sz="4" w:space="0"/>
              <w:left w:val="nil"/>
              <w:bottom w:val="single" w:color="auto" w:sz="4" w:space="0"/>
              <w:right w:val="single" w:color="auto" w:sz="4" w:space="0"/>
            </w:tcBorders>
          </w:tcPr>
          <w:p>
            <w:pPr>
              <w:spacing w:line="360" w:lineRule="exact"/>
              <w:jc w:val="center"/>
              <w:rPr>
                <w:rFonts w:hint="eastAsia" w:ascii="楷体" w:hAnsi="楷体" w:eastAsia="楷体"/>
                <w:sz w:val="28"/>
                <w:szCs w:val="28"/>
              </w:rPr>
            </w:pPr>
            <w:r>
              <w:rPr>
                <w:rFonts w:hint="eastAsia" w:ascii="楷体" w:hAnsi="楷体" w:eastAsia="楷体"/>
                <w:sz w:val="28"/>
                <w:szCs w:val="28"/>
              </w:rPr>
              <w:t xml:space="preserve"> </w:t>
            </w:r>
            <w:r>
              <w:rPr>
                <w:rFonts w:hint="eastAsia" w:ascii="楷体" w:hAnsi="楷体" w:eastAsia="楷体"/>
                <w:sz w:val="28"/>
                <w:szCs w:val="28"/>
                <w:lang w:eastAsia="zh-CN"/>
              </w:rPr>
              <w:t>文化事业发展专项经费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项目支出主要内容</w:t>
            </w:r>
          </w:p>
        </w:tc>
        <w:tc>
          <w:tcPr>
            <w:tcW w:w="6120" w:type="dxa"/>
            <w:gridSpan w:val="6"/>
            <w:tcBorders>
              <w:top w:val="single" w:color="auto" w:sz="4" w:space="0"/>
              <w:left w:val="nil"/>
              <w:bottom w:val="single" w:color="auto" w:sz="4" w:space="0"/>
              <w:right w:val="single" w:color="auto" w:sz="4" w:space="0"/>
            </w:tcBorders>
          </w:tcPr>
          <w:p>
            <w:pPr>
              <w:spacing w:line="360" w:lineRule="exact"/>
              <w:jc w:val="center"/>
              <w:rPr>
                <w:rFonts w:hint="eastAsia" w:ascii="楷体" w:hAnsi="楷体" w:eastAsia="楷体"/>
                <w:sz w:val="28"/>
                <w:szCs w:val="28"/>
              </w:rPr>
            </w:pPr>
            <w:r>
              <w:rPr>
                <w:rFonts w:hint="eastAsia" w:ascii="楷体" w:hAnsi="楷体" w:eastAsia="楷体"/>
                <w:sz w:val="28"/>
                <w:szCs w:val="28"/>
                <w:lang w:eastAsia="zh-CN"/>
              </w:rPr>
              <w:t>文化事业发展专项经费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主管部门</w:t>
            </w:r>
          </w:p>
        </w:tc>
        <w:tc>
          <w:tcPr>
            <w:tcW w:w="6120" w:type="dxa"/>
            <w:gridSpan w:val="6"/>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rPr>
              <w:t xml:space="preserve">  邵阳市文旅广体局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单位负责人</w:t>
            </w:r>
          </w:p>
        </w:tc>
        <w:tc>
          <w:tcPr>
            <w:tcW w:w="2155" w:type="dxa"/>
            <w:gridSpan w:val="2"/>
            <w:tcBorders>
              <w:top w:val="single" w:color="auto" w:sz="4" w:space="0"/>
              <w:left w:val="nil"/>
              <w:bottom w:val="single" w:color="auto" w:sz="4" w:space="0"/>
              <w:right w:val="single" w:color="auto" w:sz="4" w:space="0"/>
            </w:tcBorders>
          </w:tcPr>
          <w:p>
            <w:pPr>
              <w:spacing w:line="540" w:lineRule="exact"/>
              <w:ind w:firstLine="360"/>
              <w:jc w:val="left"/>
              <w:rPr>
                <w:rFonts w:ascii="楷体" w:hAnsi="楷体" w:eastAsia="楷体"/>
                <w:sz w:val="28"/>
                <w:szCs w:val="28"/>
              </w:rPr>
            </w:pPr>
            <w:r>
              <w:rPr>
                <w:rFonts w:hint="eastAsia" w:ascii="楷体" w:hAnsi="楷体" w:eastAsia="楷体"/>
                <w:sz w:val="28"/>
                <w:szCs w:val="28"/>
              </w:rPr>
              <w:t>刘展艳</w:t>
            </w:r>
          </w:p>
        </w:tc>
        <w:tc>
          <w:tcPr>
            <w:tcW w:w="178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项目支出  负责人</w:t>
            </w:r>
          </w:p>
        </w:tc>
        <w:tc>
          <w:tcPr>
            <w:tcW w:w="2180" w:type="dxa"/>
            <w:gridSpan w:val="2"/>
            <w:tcBorders>
              <w:top w:val="single" w:color="auto" w:sz="4" w:space="0"/>
              <w:left w:val="nil"/>
              <w:bottom w:val="single" w:color="auto" w:sz="4" w:space="0"/>
              <w:right w:val="single" w:color="auto" w:sz="4" w:space="0"/>
            </w:tcBorders>
          </w:tcPr>
          <w:p>
            <w:pPr>
              <w:spacing w:line="540" w:lineRule="exact"/>
              <w:ind w:firstLine="320"/>
              <w:jc w:val="left"/>
              <w:rPr>
                <w:rFonts w:ascii="楷体" w:hAnsi="楷体" w:eastAsia="楷体"/>
                <w:sz w:val="28"/>
                <w:szCs w:val="28"/>
              </w:rPr>
            </w:pPr>
            <w:r>
              <w:rPr>
                <w:rFonts w:hint="eastAsia" w:ascii="楷体" w:hAnsi="楷体" w:eastAsia="楷体"/>
                <w:sz w:val="28"/>
                <w:szCs w:val="28"/>
              </w:rPr>
              <w:t>刘展艳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项目属性</w:t>
            </w:r>
          </w:p>
        </w:tc>
        <w:tc>
          <w:tcPr>
            <w:tcW w:w="6120" w:type="dxa"/>
            <w:gridSpan w:val="6"/>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rPr>
              <w:t>　□</w:t>
            </w:r>
            <w:r>
              <w:rPr>
                <w:rFonts w:hint="eastAsia" w:ascii="楷体" w:hAnsi="楷体" w:eastAsia="楷体" w:cs="楷体"/>
                <w:sz w:val="28"/>
                <w:szCs w:val="28"/>
              </w:rPr>
              <w:t>经常性</w:t>
            </w:r>
            <w:r>
              <w:rPr>
                <w:rFonts w:hint="eastAsia" w:ascii="楷体" w:hAnsi="楷体" w:eastAsia="楷体"/>
                <w:sz w:val="28"/>
                <w:szCs w:val="28"/>
              </w:rPr>
              <w:t xml:space="preserve">  </w:t>
            </w:r>
            <w:r>
              <w:rPr>
                <w:rFonts w:hint="eastAsia" w:ascii="MS Mincho" w:hAnsi="MS Mincho" w:eastAsia="MS Mincho" w:cs="MS Mincho"/>
                <w:sz w:val="28"/>
                <w:szCs w:val="28"/>
              </w:rPr>
              <w:t>☑</w:t>
            </w:r>
            <w:r>
              <w:rPr>
                <w:rFonts w:hint="eastAsia" w:ascii="楷体" w:hAnsi="楷体" w:eastAsia="楷体"/>
                <w:sz w:val="28"/>
                <w:szCs w:val="28"/>
              </w:rPr>
              <w:t>一次性  □新建  □续建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资金分配情况</w:t>
            </w:r>
          </w:p>
        </w:tc>
        <w:tc>
          <w:tcPr>
            <w:tcW w:w="6120" w:type="dxa"/>
            <w:gridSpan w:val="6"/>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rPr>
              <w:t>分配区县（市）  个；分配项目单位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资金总额及构成</w:t>
            </w:r>
          </w:p>
        </w:tc>
        <w:tc>
          <w:tcPr>
            <w:tcW w:w="6120" w:type="dxa"/>
            <w:gridSpan w:val="6"/>
            <w:tcBorders>
              <w:top w:val="single" w:color="auto" w:sz="4" w:space="0"/>
              <w:left w:val="nil"/>
              <w:bottom w:val="single" w:color="auto" w:sz="4" w:space="0"/>
              <w:right w:val="single" w:color="auto" w:sz="4" w:space="0"/>
            </w:tcBorders>
          </w:tcPr>
          <w:p>
            <w:pPr>
              <w:rPr>
                <w:rFonts w:ascii="楷体" w:hAnsi="楷体" w:eastAsia="楷体"/>
                <w:sz w:val="24"/>
                <w:szCs w:val="24"/>
              </w:rPr>
            </w:pPr>
            <w:r>
              <w:rPr>
                <w:rFonts w:hint="eastAsia" w:ascii="楷体" w:hAnsi="楷体" w:eastAsia="楷体"/>
                <w:sz w:val="24"/>
                <w:szCs w:val="24"/>
              </w:rPr>
              <w:t xml:space="preserve">总额：  万元，其中：省级财政  万元；市级财政 </w:t>
            </w:r>
            <w:r>
              <w:rPr>
                <w:rFonts w:hint="eastAsia" w:ascii="楷体" w:hAnsi="楷体" w:eastAsia="楷体"/>
                <w:sz w:val="24"/>
                <w:szCs w:val="24"/>
                <w:lang w:val="en-US" w:eastAsia="zh-CN"/>
              </w:rPr>
              <w:t>395.26</w:t>
            </w:r>
            <w:r>
              <w:rPr>
                <w:rFonts w:hint="eastAsia" w:ascii="楷体" w:hAnsi="楷体" w:eastAsia="楷体"/>
                <w:sz w:val="24"/>
                <w:szCs w:val="24"/>
              </w:rPr>
              <w:t xml:space="preserve"> 万元；区县  万元；其他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项目起止时间</w:t>
            </w:r>
          </w:p>
        </w:tc>
        <w:tc>
          <w:tcPr>
            <w:tcW w:w="6120"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  202</w:t>
            </w:r>
            <w:r>
              <w:rPr>
                <w:rFonts w:hint="eastAsia" w:ascii="楷体" w:hAnsi="楷体" w:eastAsia="楷体"/>
                <w:sz w:val="28"/>
                <w:szCs w:val="28"/>
                <w:lang w:val="en-US" w:eastAsia="zh-CN"/>
              </w:rPr>
              <w:t>1</w:t>
            </w:r>
            <w:r>
              <w:rPr>
                <w:rFonts w:hint="eastAsia" w:ascii="楷体" w:hAnsi="楷体" w:eastAsia="楷体"/>
                <w:sz w:val="28"/>
                <w:szCs w:val="28"/>
              </w:rPr>
              <w:t>年  1月起至202</w:t>
            </w:r>
            <w:r>
              <w:rPr>
                <w:rFonts w:hint="eastAsia" w:ascii="楷体" w:hAnsi="楷体" w:eastAsia="楷体"/>
                <w:sz w:val="28"/>
                <w:szCs w:val="28"/>
                <w:lang w:val="en-US" w:eastAsia="zh-CN"/>
              </w:rPr>
              <w:t>1</w:t>
            </w:r>
            <w:r>
              <w:rPr>
                <w:rFonts w:hint="eastAsia" w:ascii="楷体" w:hAnsi="楷体" w:eastAsia="楷体"/>
                <w:sz w:val="28"/>
                <w:szCs w:val="28"/>
              </w:rPr>
              <w:t xml:space="preserve"> 年 12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540" w:type="dxa"/>
            <w:vMerge w:val="restart"/>
            <w:tcBorders>
              <w:top w:val="nil"/>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组织管理情况</w:t>
            </w: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项目立项依据</w:t>
            </w:r>
          </w:p>
        </w:tc>
        <w:tc>
          <w:tcPr>
            <w:tcW w:w="6120"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宋体" w:hAnsi="宋体"/>
                <w:color w:val="000000"/>
                <w:kern w:val="0"/>
                <w:sz w:val="28"/>
                <w:szCs w:val="28"/>
              </w:rPr>
              <w:t>依据</w:t>
            </w:r>
            <w:r>
              <w:rPr>
                <w:rFonts w:ascii="仿宋_GB2312" w:hAnsi="宋体" w:cs="宋体"/>
                <w:color w:val="000000"/>
                <w:kern w:val="0"/>
                <w:sz w:val="28"/>
                <w:szCs w:val="28"/>
              </w:rPr>
              <w:t>《中华人民共和国公共文化保障法》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可行性研究     报告结论</w:t>
            </w:r>
          </w:p>
        </w:tc>
        <w:tc>
          <w:tcPr>
            <w:tcW w:w="6120" w:type="dxa"/>
            <w:gridSpan w:val="6"/>
            <w:tcBorders>
              <w:top w:val="single" w:color="auto" w:sz="4" w:space="0"/>
              <w:left w:val="nil"/>
              <w:bottom w:val="single" w:color="auto" w:sz="4" w:space="0"/>
              <w:right w:val="single" w:color="auto" w:sz="4" w:space="0"/>
            </w:tcBorders>
          </w:tcPr>
          <w:p>
            <w:pPr>
              <w:spacing w:line="360" w:lineRule="auto"/>
              <w:rPr>
                <w:rFonts w:ascii="楷体" w:hAnsi="楷体" w:eastAsia="楷体"/>
                <w:sz w:val="24"/>
                <w:szCs w:val="24"/>
              </w:rPr>
            </w:pPr>
            <w:r>
              <w:rPr>
                <w:rFonts w:hint="eastAsia" w:ascii="楷体" w:hAnsi="楷体" w:eastAsia="楷体"/>
                <w:sz w:val="24"/>
                <w:szCs w:val="24"/>
              </w:rPr>
              <w:t>有可行性研究报告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专家评审论证结论</w:t>
            </w:r>
          </w:p>
        </w:tc>
        <w:tc>
          <w:tcPr>
            <w:tcW w:w="6120" w:type="dxa"/>
            <w:gridSpan w:val="6"/>
            <w:tcBorders>
              <w:top w:val="single" w:color="auto" w:sz="4" w:space="0"/>
              <w:left w:val="nil"/>
              <w:bottom w:val="single" w:color="auto" w:sz="4" w:space="0"/>
              <w:right w:val="single" w:color="auto" w:sz="4" w:space="0"/>
            </w:tcBorders>
          </w:tcPr>
          <w:p>
            <w:pPr>
              <w:spacing w:line="360" w:lineRule="exact"/>
              <w:jc w:val="left"/>
              <w:rPr>
                <w:rFonts w:ascii="楷体" w:hAnsi="楷体" w:eastAsia="楷体"/>
                <w:sz w:val="24"/>
                <w:szCs w:val="24"/>
              </w:rPr>
            </w:pPr>
            <w:r>
              <w:rPr>
                <w:rFonts w:hint="eastAsia" w:ascii="楷体" w:hAnsi="楷体" w:eastAsia="楷体"/>
                <w:sz w:val="24"/>
                <w:szCs w:val="24"/>
              </w:rPr>
              <w:t>经市政府研究同意免费开放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是否实施政府采购</w:t>
            </w:r>
          </w:p>
          <w:p>
            <w:pPr>
              <w:spacing w:line="360" w:lineRule="exact"/>
              <w:jc w:val="center"/>
              <w:rPr>
                <w:rFonts w:ascii="楷体" w:hAnsi="楷体" w:eastAsia="楷体"/>
                <w:sz w:val="28"/>
                <w:szCs w:val="28"/>
              </w:rPr>
            </w:pPr>
            <w:r>
              <w:rPr>
                <w:rFonts w:hint="eastAsia" w:ascii="楷体" w:hAnsi="楷体" w:eastAsia="楷体"/>
                <w:sz w:val="28"/>
                <w:szCs w:val="28"/>
              </w:rPr>
              <w:t>及采购金额</w:t>
            </w:r>
          </w:p>
        </w:tc>
        <w:tc>
          <w:tcPr>
            <w:tcW w:w="6120" w:type="dxa"/>
            <w:gridSpan w:val="6"/>
            <w:tcBorders>
              <w:top w:val="single" w:color="auto" w:sz="4" w:space="0"/>
              <w:left w:val="nil"/>
              <w:bottom w:val="single" w:color="auto" w:sz="4" w:space="0"/>
              <w:right w:val="single" w:color="auto" w:sz="4" w:space="0"/>
            </w:tcBorders>
          </w:tcPr>
          <w:p>
            <w:pPr>
              <w:spacing w:line="3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MS Mincho" w:hAnsi="MS Mincho" w:eastAsia="MS Mincho" w:cs="MS Mincho"/>
                <w:sz w:val="28"/>
                <w:szCs w:val="28"/>
              </w:rPr>
              <w:t>☑</w:t>
            </w:r>
            <w:r>
              <w:rPr>
                <w:rFonts w:hint="eastAsia" w:ascii="楷体" w:hAnsi="楷体" w:eastAsia="楷体" w:cs="楷体"/>
                <w:sz w:val="28"/>
                <w:szCs w:val="28"/>
              </w:rPr>
              <w:t>否</w:t>
            </w:r>
            <w:r>
              <w:rPr>
                <w:rFonts w:hint="eastAsia" w:ascii="楷体" w:hAnsi="楷体" w:eastAsia="楷体"/>
                <w:sz w:val="28"/>
                <w:szCs w:val="28"/>
              </w:rPr>
              <w:t xml:space="preserve">   </w:t>
            </w:r>
            <w:r>
              <w:rPr>
                <w:rFonts w:hint="eastAsia" w:ascii="楷体" w:hAnsi="楷体" w:eastAsia="楷体"/>
                <w:sz w:val="28"/>
                <w:szCs w:val="28"/>
              </w:rPr>
              <w:br w:type="textWrapping"/>
            </w:r>
            <w:r>
              <w:rPr>
                <w:rFonts w:hint="eastAsia" w:ascii="楷体" w:hAnsi="楷体" w:eastAsia="楷体"/>
                <w:sz w:val="28"/>
                <w:szCs w:val="28"/>
              </w:rPr>
              <w:t>应采购金额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是否实行招投标</w:t>
            </w:r>
          </w:p>
        </w:tc>
        <w:tc>
          <w:tcPr>
            <w:tcW w:w="6120"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4"/>
                <w:szCs w:val="24"/>
              </w:rPr>
            </w:pPr>
            <w:r>
              <w:rPr>
                <w:rFonts w:hint="eastAsia" w:ascii="楷体" w:hAnsi="楷体" w:eastAsia="楷体"/>
                <w:sz w:val="24"/>
                <w:szCs w:val="24"/>
              </w:rPr>
              <w:t xml:space="preserve">□是  实行的   个项目    </w:t>
            </w:r>
            <w:r>
              <w:rPr>
                <w:rFonts w:hint="eastAsia" w:ascii="MS Mincho" w:hAnsi="MS Mincho" w:eastAsia="MS Mincho" w:cs="MS Mincho"/>
                <w:sz w:val="24"/>
                <w:szCs w:val="24"/>
              </w:rPr>
              <w:t>☑</w:t>
            </w:r>
            <w:r>
              <w:rPr>
                <w:rFonts w:hint="eastAsia" w:ascii="楷体" w:hAnsi="楷体" w:eastAsia="楷体" w:cs="楷体"/>
                <w:sz w:val="24"/>
                <w:szCs w:val="24"/>
              </w:rPr>
              <w:t>否</w:t>
            </w:r>
            <w:r>
              <w:rPr>
                <w:rFonts w:hint="eastAsia" w:ascii="楷体" w:hAnsi="楷体" w:eastAsia="楷体"/>
                <w:sz w:val="24"/>
                <w:szCs w:val="24"/>
              </w:rPr>
              <w:t xml:space="preserve">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是否实行国库   集中支付</w:t>
            </w:r>
          </w:p>
        </w:tc>
        <w:tc>
          <w:tcPr>
            <w:tcW w:w="6120" w:type="dxa"/>
            <w:gridSpan w:val="6"/>
            <w:tcBorders>
              <w:top w:val="single" w:color="auto" w:sz="4" w:space="0"/>
              <w:left w:val="nil"/>
              <w:bottom w:val="single" w:color="auto" w:sz="4" w:space="0"/>
              <w:right w:val="single" w:color="auto" w:sz="4" w:space="0"/>
            </w:tcBorders>
            <w:vAlign w:val="center"/>
          </w:tcPr>
          <w:p>
            <w:pPr>
              <w:spacing w:line="560" w:lineRule="exact"/>
              <w:rPr>
                <w:rFonts w:ascii="楷体" w:hAnsi="楷体" w:eastAsia="楷体"/>
                <w:sz w:val="28"/>
                <w:szCs w:val="28"/>
              </w:rPr>
            </w:pPr>
            <w:r>
              <w:rPr>
                <w:rFonts w:hint="eastAsia" w:ascii="MS Mincho" w:hAnsi="MS Mincho" w:eastAsia="MS Mincho" w:cs="MS Mincho"/>
                <w:sz w:val="24"/>
                <w:szCs w:val="24"/>
              </w:rPr>
              <w:t>☑</w:t>
            </w:r>
            <w:r>
              <w:rPr>
                <w:rFonts w:hint="eastAsia" w:ascii="楷体" w:hAnsi="楷体" w:eastAsia="楷体"/>
                <w:sz w:val="24"/>
                <w:szCs w:val="24"/>
              </w:rPr>
              <w:t>是  实行的   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是否实行工程代理制和投资评审制</w:t>
            </w:r>
          </w:p>
        </w:tc>
        <w:tc>
          <w:tcPr>
            <w:tcW w:w="6120" w:type="dxa"/>
            <w:gridSpan w:val="6"/>
            <w:tcBorders>
              <w:top w:val="single" w:color="auto" w:sz="4" w:space="0"/>
              <w:left w:val="nil"/>
              <w:bottom w:val="single" w:color="auto" w:sz="4" w:space="0"/>
              <w:right w:val="single" w:color="auto" w:sz="4" w:space="0"/>
            </w:tcBorders>
            <w:vAlign w:val="center"/>
          </w:tcPr>
          <w:p>
            <w:pPr>
              <w:spacing w:line="560" w:lineRule="exact"/>
              <w:rPr>
                <w:rFonts w:ascii="楷体" w:hAnsi="楷体" w:eastAsia="楷体"/>
                <w:sz w:val="28"/>
                <w:szCs w:val="28"/>
              </w:rPr>
            </w:pPr>
            <w:r>
              <w:rPr>
                <w:rFonts w:hint="eastAsia" w:ascii="楷体" w:hAnsi="楷体" w:eastAsia="楷体"/>
                <w:sz w:val="24"/>
                <w:szCs w:val="24"/>
              </w:rPr>
              <w:t xml:space="preserve">□是  实行的   个项目  </w:t>
            </w:r>
            <w:r>
              <w:rPr>
                <w:rFonts w:hint="eastAsia" w:ascii="MS Mincho" w:hAnsi="MS Mincho" w:eastAsia="MS Mincho" w:cs="MS Mincho"/>
                <w:sz w:val="24"/>
                <w:szCs w:val="24"/>
              </w:rPr>
              <w:t>☑</w:t>
            </w:r>
            <w:r>
              <w:rPr>
                <w:rFonts w:hint="eastAsia" w:ascii="楷体" w:hAnsi="楷体" w:eastAsia="楷体" w:cs="楷体"/>
                <w:sz w:val="24"/>
                <w:szCs w:val="24"/>
              </w:rPr>
              <w:t>否</w:t>
            </w:r>
            <w:r>
              <w:rPr>
                <w:rFonts w:hint="eastAsia" w:ascii="楷体" w:hAnsi="楷体" w:eastAsia="楷体"/>
                <w:sz w:val="24"/>
                <w:szCs w:val="24"/>
              </w:rPr>
              <w:t xml:space="preserve">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是否实行合同   管理制</w:t>
            </w:r>
          </w:p>
        </w:tc>
        <w:tc>
          <w:tcPr>
            <w:tcW w:w="6120"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MS Mincho" w:hAnsi="MS Mincho" w:eastAsia="MS Mincho" w:cs="MS Mincho"/>
                <w:sz w:val="24"/>
                <w:szCs w:val="24"/>
              </w:rPr>
              <w:t>☑</w:t>
            </w:r>
            <w:r>
              <w:rPr>
                <w:rFonts w:hint="eastAsia" w:ascii="楷体" w:hAnsi="楷体" w:eastAsia="楷体"/>
                <w:sz w:val="24"/>
                <w:szCs w:val="24"/>
              </w:rPr>
              <w:t>是  实行的   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是否实行财政双控账户管理</w:t>
            </w:r>
          </w:p>
          <w:p>
            <w:pPr>
              <w:spacing w:line="360" w:lineRule="exact"/>
              <w:jc w:val="center"/>
              <w:rPr>
                <w:rFonts w:ascii="楷体" w:hAnsi="楷体" w:eastAsia="楷体"/>
                <w:sz w:val="28"/>
                <w:szCs w:val="28"/>
              </w:rPr>
            </w:pPr>
            <w:r>
              <w:rPr>
                <w:rFonts w:hint="eastAsia" w:ascii="楷体" w:hAnsi="楷体" w:eastAsia="楷体"/>
                <w:sz w:val="28"/>
                <w:szCs w:val="28"/>
              </w:rPr>
              <w:t>管理情况</w:t>
            </w:r>
          </w:p>
        </w:tc>
        <w:tc>
          <w:tcPr>
            <w:tcW w:w="6120" w:type="dxa"/>
            <w:gridSpan w:val="6"/>
            <w:tcBorders>
              <w:top w:val="single" w:color="auto" w:sz="4" w:space="0"/>
              <w:left w:val="nil"/>
              <w:bottom w:val="single" w:color="auto" w:sz="4" w:space="0"/>
              <w:right w:val="single" w:color="auto" w:sz="4" w:space="0"/>
            </w:tcBorders>
            <w:vAlign w:val="center"/>
          </w:tcPr>
          <w:p>
            <w:pPr>
              <w:spacing w:line="560" w:lineRule="exact"/>
              <w:rPr>
                <w:rFonts w:ascii="楷体" w:hAnsi="楷体" w:eastAsia="楷体"/>
                <w:sz w:val="28"/>
                <w:szCs w:val="28"/>
              </w:rPr>
            </w:pPr>
            <w:r>
              <w:rPr>
                <w:rFonts w:hint="eastAsia" w:ascii="楷体" w:hAnsi="楷体" w:eastAsia="楷体"/>
                <w:sz w:val="24"/>
                <w:szCs w:val="24"/>
              </w:rPr>
              <w:t xml:space="preserve">□是  实行的   个项目  </w:t>
            </w:r>
            <w:r>
              <w:rPr>
                <w:rFonts w:hint="eastAsia" w:ascii="MS Mincho" w:hAnsi="MS Mincho" w:eastAsia="MS Mincho" w:cs="MS Mincho"/>
                <w:sz w:val="24"/>
                <w:szCs w:val="24"/>
              </w:rPr>
              <w:t>☑</w:t>
            </w:r>
            <w:r>
              <w:rPr>
                <w:rFonts w:hint="eastAsia" w:ascii="楷体" w:hAnsi="楷体" w:eastAsia="楷体" w:cs="楷体"/>
                <w:sz w:val="24"/>
                <w:szCs w:val="24"/>
              </w:rPr>
              <w:t>否</w:t>
            </w:r>
            <w:r>
              <w:rPr>
                <w:rFonts w:hint="eastAsia" w:ascii="楷体" w:hAnsi="楷体" w:eastAsia="楷体"/>
                <w:sz w:val="24"/>
                <w:szCs w:val="24"/>
              </w:rPr>
              <w:t xml:space="preserve">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是否实行财政专户</w:t>
            </w:r>
          </w:p>
          <w:p>
            <w:pPr>
              <w:spacing w:line="360" w:lineRule="exact"/>
              <w:jc w:val="center"/>
              <w:rPr>
                <w:rFonts w:ascii="楷体" w:hAnsi="楷体" w:eastAsia="楷体"/>
                <w:sz w:val="28"/>
                <w:szCs w:val="28"/>
              </w:rPr>
            </w:pPr>
            <w:r>
              <w:rPr>
                <w:rFonts w:hint="eastAsia" w:ascii="楷体" w:hAnsi="楷体" w:eastAsia="楷体"/>
                <w:sz w:val="28"/>
                <w:szCs w:val="28"/>
              </w:rPr>
              <w:t>管理</w:t>
            </w:r>
          </w:p>
        </w:tc>
        <w:tc>
          <w:tcPr>
            <w:tcW w:w="6120" w:type="dxa"/>
            <w:gridSpan w:val="6"/>
            <w:tcBorders>
              <w:top w:val="single" w:color="auto" w:sz="4" w:space="0"/>
              <w:left w:val="nil"/>
              <w:bottom w:val="single" w:color="auto" w:sz="4" w:space="0"/>
              <w:right w:val="single" w:color="auto" w:sz="4" w:space="0"/>
            </w:tcBorders>
            <w:vAlign w:val="center"/>
          </w:tcPr>
          <w:p>
            <w:pPr>
              <w:spacing w:line="560" w:lineRule="exact"/>
              <w:rPr>
                <w:rFonts w:ascii="楷体" w:hAnsi="楷体" w:eastAsia="楷体"/>
                <w:sz w:val="28"/>
                <w:szCs w:val="28"/>
              </w:rPr>
            </w:pPr>
            <w:r>
              <w:rPr>
                <w:rFonts w:hint="eastAsia" w:ascii="楷体" w:hAnsi="楷体" w:eastAsia="楷体"/>
                <w:sz w:val="24"/>
                <w:szCs w:val="24"/>
              </w:rPr>
              <w:t xml:space="preserve">□是  实行的   个项目  </w:t>
            </w:r>
            <w:r>
              <w:rPr>
                <w:rFonts w:hint="eastAsia" w:ascii="MS Mincho" w:hAnsi="MS Mincho" w:eastAsia="MS Mincho" w:cs="MS Mincho"/>
                <w:sz w:val="24"/>
                <w:szCs w:val="24"/>
              </w:rPr>
              <w:t>☑</w:t>
            </w:r>
            <w:r>
              <w:rPr>
                <w:rFonts w:hint="eastAsia" w:ascii="楷体" w:hAnsi="楷体" w:eastAsia="楷体" w:cs="楷体"/>
                <w:sz w:val="24"/>
                <w:szCs w:val="24"/>
              </w:rPr>
              <w:t>否</w:t>
            </w:r>
            <w:r>
              <w:rPr>
                <w:rFonts w:hint="eastAsia" w:ascii="楷体" w:hAnsi="楷体" w:eastAsia="楷体"/>
                <w:sz w:val="24"/>
                <w:szCs w:val="24"/>
              </w:rPr>
              <w:t xml:space="preserve">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540" w:type="dxa"/>
            <w:vMerge w:val="restart"/>
            <w:tcBorders>
              <w:top w:val="nil"/>
              <w:left w:val="single" w:color="auto" w:sz="4" w:space="0"/>
              <w:bottom w:val="single" w:color="auto" w:sz="4" w:space="0"/>
              <w:right w:val="single" w:color="auto" w:sz="4" w:space="0"/>
            </w:tcBorders>
            <w:vAlign w:val="center"/>
          </w:tcPr>
          <w:p>
            <w:pPr>
              <w:spacing w:line="440" w:lineRule="exact"/>
              <w:rPr>
                <w:rFonts w:ascii="楷体" w:hAnsi="楷体" w:eastAsia="楷体"/>
                <w:sz w:val="28"/>
                <w:szCs w:val="28"/>
              </w:rPr>
            </w:pPr>
            <w:r>
              <w:rPr>
                <w:rFonts w:hint="eastAsia" w:ascii="楷体" w:hAnsi="楷体" w:eastAsia="楷体"/>
                <w:sz w:val="28"/>
                <w:szCs w:val="28"/>
              </w:rPr>
              <w:t>项目监管情况</w:t>
            </w: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管理制度和     办法名称</w:t>
            </w:r>
          </w:p>
        </w:tc>
        <w:tc>
          <w:tcPr>
            <w:tcW w:w="6120" w:type="dxa"/>
            <w:gridSpan w:val="6"/>
            <w:tcBorders>
              <w:top w:val="single" w:color="auto" w:sz="4" w:space="0"/>
              <w:left w:val="nil"/>
              <w:bottom w:val="single" w:color="auto" w:sz="4" w:space="0"/>
              <w:right w:val="single" w:color="auto" w:sz="4" w:space="0"/>
            </w:tcBorders>
          </w:tcPr>
          <w:p>
            <w:pPr>
              <w:spacing w:line="360" w:lineRule="exact"/>
              <w:ind w:left="80" w:leftChars="38"/>
              <w:jc w:val="left"/>
              <w:rPr>
                <w:rFonts w:ascii="楷体" w:hAnsi="楷体" w:eastAsia="楷体"/>
                <w:sz w:val="24"/>
                <w:szCs w:val="24"/>
              </w:rPr>
            </w:pPr>
            <w:r>
              <w:rPr>
                <w:rFonts w:hint="eastAsia" w:ascii="楷体" w:hAnsi="楷体" w:eastAsia="楷体"/>
                <w:sz w:val="24"/>
                <w:szCs w:val="24"/>
              </w:rPr>
              <w:t>根据美术馆专项资金管理制度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具体工作措施</w:t>
            </w:r>
          </w:p>
        </w:tc>
        <w:tc>
          <w:tcPr>
            <w:tcW w:w="6120" w:type="dxa"/>
            <w:gridSpan w:val="6"/>
            <w:tcBorders>
              <w:top w:val="single" w:color="auto" w:sz="4" w:space="0"/>
              <w:left w:val="nil"/>
              <w:bottom w:val="single" w:color="auto" w:sz="4" w:space="0"/>
              <w:right w:val="single" w:color="auto" w:sz="4" w:space="0"/>
            </w:tcBorders>
          </w:tcPr>
          <w:p>
            <w:pPr>
              <w:spacing w:line="560" w:lineRule="exact"/>
              <w:jc w:val="left"/>
              <w:rPr>
                <w:rFonts w:hint="eastAsia" w:ascii="楷体" w:hAnsi="楷体" w:eastAsia="楷体"/>
                <w:sz w:val="24"/>
                <w:szCs w:val="24"/>
                <w:lang w:eastAsia="zh-CN"/>
              </w:rPr>
            </w:pPr>
            <w:r>
              <w:rPr>
                <w:rFonts w:hint="eastAsia" w:ascii="楷体" w:hAnsi="楷体" w:eastAsia="楷体"/>
                <w:sz w:val="24"/>
                <w:szCs w:val="24"/>
              </w:rPr>
              <w:t>美术馆常规展，主题展览，常年免费开放，</w:t>
            </w:r>
            <w:r>
              <w:rPr>
                <w:rFonts w:hint="eastAsia" w:ascii="楷体" w:hAnsi="楷体" w:eastAsia="楷体"/>
                <w:sz w:val="24"/>
                <w:szCs w:val="24"/>
                <w:lang w:eastAsia="zh-CN"/>
              </w:rPr>
              <w:t>典藏项目</w:t>
            </w:r>
          </w:p>
          <w:p>
            <w:pPr>
              <w:spacing w:line="560" w:lineRule="exact"/>
              <w:jc w:val="left"/>
              <w:rPr>
                <w:rFonts w:ascii="楷体" w:hAnsi="楷体" w:eastAsia="楷体"/>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项目调整内容及报批程序和手续</w:t>
            </w:r>
          </w:p>
        </w:tc>
        <w:tc>
          <w:tcPr>
            <w:tcW w:w="6120" w:type="dxa"/>
            <w:gridSpan w:val="6"/>
            <w:tcBorders>
              <w:top w:val="single" w:color="auto" w:sz="4" w:space="0"/>
              <w:left w:val="nil"/>
              <w:bottom w:val="single" w:color="auto" w:sz="4" w:space="0"/>
              <w:right w:val="single" w:color="auto" w:sz="4" w:space="0"/>
            </w:tcBorders>
          </w:tcPr>
          <w:p>
            <w:pPr>
              <w:spacing w:line="360" w:lineRule="exact"/>
              <w:jc w:val="left"/>
              <w:rPr>
                <w:rFonts w:ascii="楷体" w:hAnsi="楷体" w:eastAsia="楷体"/>
                <w:sz w:val="24"/>
                <w:szCs w:val="24"/>
              </w:rPr>
            </w:pPr>
            <w:r>
              <w:rPr>
                <w:rFonts w:hint="eastAsia" w:ascii="楷体" w:hAnsi="楷体" w:eastAsia="楷体"/>
                <w:sz w:val="28"/>
                <w:szCs w:val="28"/>
              </w:rPr>
              <w:t>如有调整，需向主管部门提出书面申请，由文旅局主管领导批准。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项目完工验收情况</w:t>
            </w:r>
          </w:p>
        </w:tc>
        <w:tc>
          <w:tcPr>
            <w:tcW w:w="6120" w:type="dxa"/>
            <w:gridSpan w:val="6"/>
            <w:tcBorders>
              <w:top w:val="single" w:color="auto" w:sz="4" w:space="0"/>
              <w:left w:val="nil"/>
              <w:bottom w:val="single" w:color="auto" w:sz="4" w:space="0"/>
              <w:right w:val="single" w:color="auto" w:sz="4" w:space="0"/>
            </w:tcBorders>
            <w:vAlign w:val="center"/>
          </w:tcPr>
          <w:p>
            <w:pPr>
              <w:spacing w:line="360" w:lineRule="exact"/>
              <w:rPr>
                <w:rFonts w:ascii="楷体" w:hAnsi="楷体" w:eastAsia="楷体"/>
                <w:sz w:val="24"/>
                <w:szCs w:val="24"/>
              </w:rPr>
            </w:pPr>
            <w:r>
              <w:rPr>
                <w:rFonts w:hint="eastAsia" w:ascii="楷体" w:hAnsi="楷体" w:eastAsia="楷体"/>
                <w:sz w:val="24"/>
                <w:szCs w:val="24"/>
              </w:rPr>
              <w:t>实行免费开放，面向社会各阶层，充分发挥美术馆公益性单位的作用，深受社会大众的欢迎。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项目监督检查情况</w:t>
            </w:r>
          </w:p>
        </w:tc>
        <w:tc>
          <w:tcPr>
            <w:tcW w:w="6120" w:type="dxa"/>
            <w:gridSpan w:val="6"/>
            <w:tcBorders>
              <w:top w:val="single" w:color="auto" w:sz="4" w:space="0"/>
              <w:left w:val="nil"/>
              <w:bottom w:val="single" w:color="auto" w:sz="4" w:space="0"/>
              <w:right w:val="single" w:color="auto" w:sz="4" w:space="0"/>
            </w:tcBorders>
          </w:tcPr>
          <w:p>
            <w:pPr>
              <w:spacing w:line="360" w:lineRule="exact"/>
              <w:jc w:val="left"/>
              <w:rPr>
                <w:rFonts w:ascii="楷体" w:hAnsi="楷体" w:eastAsia="楷体"/>
                <w:sz w:val="24"/>
                <w:szCs w:val="24"/>
              </w:rPr>
            </w:pPr>
            <w:r>
              <w:rPr>
                <w:rFonts w:hint="eastAsia" w:ascii="楷体" w:hAnsi="楷体" w:eastAsia="楷体"/>
                <w:sz w:val="24"/>
                <w:szCs w:val="24"/>
              </w:rPr>
              <w:t>绩效评价领导小组检查各项支出项目，收集整理支出相关资料，随时检查支出的必要性和有效性、合理性。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rPr>
        <w:tc>
          <w:tcPr>
            <w:tcW w:w="540" w:type="dxa"/>
            <w:vMerge w:val="restart"/>
            <w:tcBorders>
              <w:top w:val="nil"/>
              <w:left w:val="single" w:color="auto" w:sz="4" w:space="0"/>
              <w:bottom w:val="single" w:color="auto" w:sz="4" w:space="0"/>
              <w:right w:val="single" w:color="auto" w:sz="4" w:space="0"/>
            </w:tcBorders>
          </w:tcPr>
          <w:p>
            <w:pPr>
              <w:spacing w:line="0" w:lineRule="atLeast"/>
              <w:rPr>
                <w:rFonts w:ascii="楷体" w:hAnsi="楷体" w:eastAsia="楷体"/>
                <w:sz w:val="28"/>
                <w:szCs w:val="28"/>
              </w:rPr>
            </w:pPr>
            <w:r>
              <w:rPr>
                <w:rFonts w:hint="eastAsia" w:ascii="楷体" w:hAnsi="楷体" w:eastAsia="楷体"/>
                <w:sz w:val="28"/>
                <w:szCs w:val="28"/>
              </w:rPr>
              <w:t>资金管理情况</w:t>
            </w: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资金使用管理</w:t>
            </w:r>
          </w:p>
        </w:tc>
        <w:tc>
          <w:tcPr>
            <w:tcW w:w="6120" w:type="dxa"/>
            <w:gridSpan w:val="6"/>
            <w:tcBorders>
              <w:top w:val="single" w:color="auto" w:sz="4" w:space="0"/>
              <w:left w:val="nil"/>
              <w:bottom w:val="single" w:color="auto" w:sz="4" w:space="0"/>
              <w:right w:val="single" w:color="auto" w:sz="4" w:space="0"/>
            </w:tcBorders>
            <w:vAlign w:val="center"/>
          </w:tcPr>
          <w:p>
            <w:pPr>
              <w:jc w:val="left"/>
              <w:rPr>
                <w:rFonts w:ascii="楷体" w:hAnsi="楷体" w:eastAsia="楷体"/>
                <w:sz w:val="24"/>
                <w:szCs w:val="24"/>
              </w:rPr>
            </w:pPr>
            <w:r>
              <w:rPr>
                <w:rFonts w:hint="eastAsia" w:ascii="楷体" w:hAnsi="楷体" w:eastAsia="楷体"/>
                <w:sz w:val="24"/>
                <w:szCs w:val="24"/>
              </w:rPr>
              <w:t>没有虚列支出、无截留挤占挪用，无超标准开支、无超预算等情况。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财务管理制度</w:t>
            </w:r>
          </w:p>
        </w:tc>
        <w:tc>
          <w:tcPr>
            <w:tcW w:w="6120" w:type="dxa"/>
            <w:gridSpan w:val="6"/>
            <w:tcBorders>
              <w:top w:val="single" w:color="auto" w:sz="4" w:space="0"/>
              <w:left w:val="nil"/>
              <w:bottom w:val="single" w:color="auto" w:sz="4" w:space="0"/>
              <w:right w:val="single" w:color="auto" w:sz="4" w:space="0"/>
            </w:tcBorders>
            <w:vAlign w:val="center"/>
          </w:tcPr>
          <w:p>
            <w:pPr>
              <w:spacing w:line="560" w:lineRule="exact"/>
              <w:rPr>
                <w:rFonts w:ascii="楷体" w:hAnsi="楷体" w:eastAsia="楷体"/>
                <w:sz w:val="24"/>
                <w:szCs w:val="24"/>
              </w:rPr>
            </w:pPr>
            <w:r>
              <w:rPr>
                <w:rFonts w:hint="eastAsia" w:ascii="楷体" w:hAnsi="楷体" w:eastAsia="楷体"/>
                <w:sz w:val="24"/>
                <w:szCs w:val="24"/>
              </w:rPr>
              <w:t>美术馆财务管理制度、合同管理制度、收支业务管理制度、财务会审制度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540" w:type="dxa"/>
            <w:vMerge w:val="restart"/>
            <w:tcBorders>
              <w:top w:val="nil"/>
              <w:left w:val="single" w:color="auto" w:sz="4" w:space="0"/>
              <w:bottom w:val="single" w:color="auto" w:sz="4" w:space="0"/>
              <w:right w:val="single" w:color="auto" w:sz="4" w:space="0"/>
            </w:tcBorders>
            <w:vAlign w:val="center"/>
          </w:tcPr>
          <w:p>
            <w:pPr>
              <w:spacing w:line="500" w:lineRule="exact"/>
              <w:ind w:left="113" w:right="113" w:firstLine="840" w:firstLineChars="300"/>
              <w:rPr>
                <w:rFonts w:ascii="楷体" w:hAnsi="楷体" w:eastAsia="楷体"/>
                <w:sz w:val="28"/>
                <w:szCs w:val="28"/>
              </w:rPr>
            </w:pPr>
            <w:r>
              <w:rPr>
                <w:rFonts w:hint="eastAsia" w:ascii="楷体" w:hAnsi="楷体" w:eastAsia="楷体"/>
                <w:sz w:val="28"/>
                <w:szCs w:val="28"/>
              </w:rPr>
              <w:t>资金安排使用情况</w:t>
            </w:r>
          </w:p>
        </w:tc>
        <w:tc>
          <w:tcPr>
            <w:tcW w:w="2520"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内容</w:t>
            </w:r>
          </w:p>
        </w:tc>
        <w:tc>
          <w:tcPr>
            <w:tcW w:w="1440" w:type="dxa"/>
            <w:tcBorders>
              <w:top w:val="single" w:color="auto" w:sz="4" w:space="0"/>
              <w:left w:val="nil"/>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rPr>
              <w:t>应到位资金（万元）</w:t>
            </w:r>
          </w:p>
        </w:tc>
        <w:tc>
          <w:tcPr>
            <w:tcW w:w="1930"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实际到位资金（万元）</w:t>
            </w:r>
          </w:p>
        </w:tc>
        <w:tc>
          <w:tcPr>
            <w:tcW w:w="1380" w:type="dxa"/>
            <w:gridSpan w:val="2"/>
            <w:tcBorders>
              <w:top w:val="single" w:color="auto" w:sz="4" w:space="0"/>
              <w:left w:val="nil"/>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rPr>
              <w:t>实际支出（万元）</w:t>
            </w:r>
          </w:p>
        </w:tc>
        <w:tc>
          <w:tcPr>
            <w:tcW w:w="1370" w:type="dxa"/>
            <w:tcBorders>
              <w:top w:val="single" w:color="auto" w:sz="4" w:space="0"/>
              <w:left w:val="nil"/>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中央财政</w:t>
            </w:r>
          </w:p>
        </w:tc>
        <w:tc>
          <w:tcPr>
            <w:tcW w:w="144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p>
        </w:tc>
        <w:tc>
          <w:tcPr>
            <w:tcW w:w="1930"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p>
        </w:tc>
        <w:tc>
          <w:tcPr>
            <w:tcW w:w="1380"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p>
        </w:tc>
        <w:tc>
          <w:tcPr>
            <w:tcW w:w="137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省级财政</w:t>
            </w:r>
          </w:p>
        </w:tc>
        <w:tc>
          <w:tcPr>
            <w:tcW w:w="144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p>
        </w:tc>
        <w:tc>
          <w:tcPr>
            <w:tcW w:w="1930"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p>
        </w:tc>
        <w:tc>
          <w:tcPr>
            <w:tcW w:w="1380"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p>
        </w:tc>
        <w:tc>
          <w:tcPr>
            <w:tcW w:w="137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市级财政</w:t>
            </w:r>
          </w:p>
        </w:tc>
        <w:tc>
          <w:tcPr>
            <w:tcW w:w="1440" w:type="dxa"/>
            <w:tcBorders>
              <w:top w:val="single" w:color="auto" w:sz="4" w:space="0"/>
              <w:left w:val="nil"/>
              <w:bottom w:val="single" w:color="auto" w:sz="4" w:space="0"/>
              <w:right w:val="single" w:color="auto" w:sz="4" w:space="0"/>
            </w:tcBorders>
            <w:vAlign w:val="center"/>
          </w:tcPr>
          <w:p>
            <w:pPr>
              <w:spacing w:line="560" w:lineRule="exact"/>
              <w:jc w:val="center"/>
              <w:rPr>
                <w:rFonts w:hint="eastAsia" w:ascii="楷体" w:hAnsi="楷体" w:eastAsia="楷体"/>
                <w:sz w:val="28"/>
                <w:szCs w:val="28"/>
                <w:lang w:eastAsia="zh-CN"/>
              </w:rPr>
            </w:pPr>
            <w:r>
              <w:rPr>
                <w:rFonts w:hint="eastAsia" w:ascii="楷体" w:hAnsi="楷体" w:eastAsia="楷体"/>
                <w:sz w:val="28"/>
                <w:szCs w:val="28"/>
                <w:lang w:val="en-US" w:eastAsia="zh-CN"/>
              </w:rPr>
              <w:t>395.26</w:t>
            </w:r>
          </w:p>
        </w:tc>
        <w:tc>
          <w:tcPr>
            <w:tcW w:w="1930"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lang w:val="en-US" w:eastAsia="zh-CN"/>
              </w:rPr>
              <w:t>395.26</w:t>
            </w:r>
          </w:p>
        </w:tc>
        <w:tc>
          <w:tcPr>
            <w:tcW w:w="1380"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lang w:val="en-US" w:eastAsia="zh-CN"/>
              </w:rPr>
              <w:t>395.26</w:t>
            </w:r>
          </w:p>
        </w:tc>
        <w:tc>
          <w:tcPr>
            <w:tcW w:w="137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县（市区）资金</w:t>
            </w:r>
          </w:p>
        </w:tc>
        <w:tc>
          <w:tcPr>
            <w:tcW w:w="144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p>
        </w:tc>
        <w:tc>
          <w:tcPr>
            <w:tcW w:w="1930"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p>
        </w:tc>
        <w:tc>
          <w:tcPr>
            <w:tcW w:w="1380"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p>
        </w:tc>
        <w:tc>
          <w:tcPr>
            <w:tcW w:w="137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其他配套资金</w:t>
            </w:r>
          </w:p>
        </w:tc>
        <w:tc>
          <w:tcPr>
            <w:tcW w:w="144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p>
        </w:tc>
        <w:tc>
          <w:tcPr>
            <w:tcW w:w="1930"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p>
        </w:tc>
        <w:tc>
          <w:tcPr>
            <w:tcW w:w="1380"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p>
        </w:tc>
        <w:tc>
          <w:tcPr>
            <w:tcW w:w="137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520"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合  计</w:t>
            </w:r>
          </w:p>
        </w:tc>
        <w:tc>
          <w:tcPr>
            <w:tcW w:w="144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p>
        </w:tc>
        <w:tc>
          <w:tcPr>
            <w:tcW w:w="1930"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p>
        </w:tc>
        <w:tc>
          <w:tcPr>
            <w:tcW w:w="1380" w:type="dxa"/>
            <w:gridSpan w:val="2"/>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p>
        </w:tc>
        <w:tc>
          <w:tcPr>
            <w:tcW w:w="137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1"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sz w:val="28"/>
                <w:szCs w:val="28"/>
              </w:rPr>
            </w:pPr>
          </w:p>
          <w:p>
            <w:pPr>
              <w:spacing w:line="320" w:lineRule="exact"/>
              <w:jc w:val="center"/>
              <w:rPr>
                <w:rFonts w:ascii="楷体" w:hAnsi="楷体" w:eastAsia="楷体"/>
                <w:sz w:val="28"/>
                <w:szCs w:val="28"/>
              </w:rPr>
            </w:pPr>
            <w:r>
              <w:rPr>
                <w:rFonts w:hint="eastAsia" w:ascii="楷体" w:hAnsi="楷体" w:eastAsia="楷体"/>
                <w:sz w:val="28"/>
                <w:szCs w:val="28"/>
              </w:rPr>
              <w:t>产出成果</w:t>
            </w:r>
          </w:p>
        </w:tc>
        <w:tc>
          <w:tcPr>
            <w:tcW w:w="8613" w:type="dxa"/>
            <w:gridSpan w:val="7"/>
            <w:tcBorders>
              <w:top w:val="single" w:color="auto" w:sz="4" w:space="0"/>
              <w:left w:val="nil"/>
              <w:bottom w:val="single" w:color="auto" w:sz="4" w:space="0"/>
              <w:right w:val="single" w:color="auto" w:sz="4" w:space="0"/>
            </w:tcBorders>
          </w:tcPr>
          <w:p>
            <w:pPr>
              <w:rPr>
                <w:rFonts w:ascii="楷体" w:hAnsi="楷体" w:eastAsia="楷体"/>
                <w:sz w:val="30"/>
                <w:szCs w:val="30"/>
              </w:rPr>
            </w:pPr>
          </w:p>
          <w:p>
            <w:pPr>
              <w:rPr>
                <w:rFonts w:ascii="楷体" w:hAnsi="楷体" w:eastAsia="楷体"/>
                <w:sz w:val="30"/>
                <w:szCs w:val="30"/>
              </w:rPr>
            </w:pPr>
            <w:r>
              <w:rPr>
                <w:rFonts w:hint="eastAsia" w:ascii="楷体" w:hAnsi="楷体" w:eastAsia="楷体"/>
                <w:sz w:val="30"/>
                <w:szCs w:val="30"/>
              </w:rPr>
              <w:t>202</w:t>
            </w:r>
            <w:r>
              <w:rPr>
                <w:rFonts w:hint="eastAsia" w:ascii="楷体" w:hAnsi="楷体" w:eastAsia="楷体"/>
                <w:sz w:val="30"/>
                <w:szCs w:val="30"/>
                <w:lang w:val="en-US" w:eastAsia="zh-CN"/>
              </w:rPr>
              <w:t>1</w:t>
            </w:r>
            <w:r>
              <w:rPr>
                <w:rFonts w:hint="eastAsia" w:ascii="楷体" w:hAnsi="楷体" w:eastAsia="楷体"/>
                <w:sz w:val="30"/>
                <w:szCs w:val="30"/>
              </w:rPr>
              <w:t>年度美术馆共开展了</w:t>
            </w:r>
            <w:r>
              <w:rPr>
                <w:rFonts w:hint="eastAsia"/>
                <w:sz w:val="28"/>
                <w:szCs w:val="28"/>
              </w:rPr>
              <w:t>《艺术扶贫·决胜小康邵阳市书画纪实（第三期）湖南省书画精品展》</w:t>
            </w:r>
            <w:r>
              <w:rPr>
                <w:rFonts w:hint="eastAsia" w:ascii="楷体" w:hAnsi="楷体" w:eastAsia="楷体"/>
                <w:sz w:val="30"/>
                <w:szCs w:val="30"/>
              </w:rPr>
              <w:t>、</w:t>
            </w:r>
            <w:r>
              <w:rPr>
                <w:rFonts w:hint="eastAsia"/>
                <w:sz w:val="28"/>
                <w:szCs w:val="28"/>
              </w:rPr>
              <w:t>《画说邵阳·庆祝中国共产党成立100周年全国美术作品展》</w:t>
            </w:r>
            <w:r>
              <w:rPr>
                <w:rFonts w:hint="eastAsia" w:ascii="楷体" w:hAnsi="楷体" w:eastAsia="楷体"/>
                <w:sz w:val="30"/>
                <w:szCs w:val="30"/>
              </w:rPr>
              <w:t>、</w:t>
            </w:r>
            <w:r>
              <w:rPr>
                <w:rFonts w:hint="eastAsia"/>
                <w:sz w:val="28"/>
                <w:szCs w:val="28"/>
              </w:rPr>
              <w:t>《鸿图·庆祝建党100周年邵阳市书法美术摄影作品展》</w:t>
            </w:r>
            <w:r>
              <w:rPr>
                <w:rFonts w:hint="eastAsia" w:ascii="楷体" w:hAnsi="楷体" w:eastAsia="楷体"/>
                <w:sz w:val="30"/>
                <w:szCs w:val="30"/>
              </w:rPr>
              <w:t>，</w:t>
            </w:r>
            <w:r>
              <w:rPr>
                <w:rFonts w:hint="eastAsia"/>
                <w:sz w:val="28"/>
                <w:szCs w:val="28"/>
              </w:rPr>
              <w:t>《逆行·艺行邵阳市美术馆收藏精品展》</w:t>
            </w:r>
            <w:r>
              <w:rPr>
                <w:rFonts w:hint="eastAsia" w:ascii="楷体" w:hAnsi="楷体" w:eastAsia="楷体"/>
                <w:sz w:val="30"/>
                <w:szCs w:val="30"/>
              </w:rPr>
              <w:t>以及常规展览，公益性讲座等，提升广大人民群众的文化底蕴，让全市人民精神文化生活得以提高。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1"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sz w:val="28"/>
                <w:szCs w:val="28"/>
              </w:rPr>
            </w:pPr>
            <w:r>
              <w:rPr>
                <w:rFonts w:hint="eastAsia" w:ascii="楷体" w:hAnsi="楷体" w:eastAsia="楷体"/>
                <w:sz w:val="28"/>
                <w:szCs w:val="28"/>
              </w:rPr>
              <w:t>产出效益</w:t>
            </w:r>
          </w:p>
        </w:tc>
        <w:tc>
          <w:tcPr>
            <w:tcW w:w="8613" w:type="dxa"/>
            <w:gridSpan w:val="7"/>
            <w:tcBorders>
              <w:top w:val="single" w:color="auto" w:sz="4" w:space="0"/>
              <w:left w:val="nil"/>
              <w:bottom w:val="single" w:color="auto" w:sz="4" w:space="0"/>
              <w:right w:val="single" w:color="auto" w:sz="4" w:space="0"/>
            </w:tcBorders>
          </w:tcPr>
          <w:p>
            <w:pPr>
              <w:ind w:firstLine="300" w:firstLineChars="100"/>
              <w:rPr>
                <w:rFonts w:ascii="楷体" w:hAnsi="楷体" w:eastAsia="楷体"/>
                <w:sz w:val="30"/>
                <w:szCs w:val="30"/>
              </w:rPr>
            </w:pPr>
          </w:p>
          <w:p>
            <w:pPr>
              <w:rPr>
                <w:rFonts w:ascii="楷体" w:hAnsi="楷体" w:eastAsia="楷体"/>
                <w:sz w:val="30"/>
                <w:szCs w:val="30"/>
              </w:rPr>
            </w:pPr>
            <w:r>
              <w:rPr>
                <w:rFonts w:hint="eastAsia" w:ascii="楷体" w:hAnsi="楷体" w:eastAsia="楷体"/>
                <w:sz w:val="30"/>
                <w:szCs w:val="30"/>
              </w:rPr>
              <w:t>长期为广大人民群众提供优质的免费书画展览服务，充分发挥展览、收藏与公共文化推广的功能，让全市人民更加深入了解邵阳，热爱邵阳，精神文化生活得到充分的满足。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trPr>
        <w:tc>
          <w:tcPr>
            <w:tcW w:w="567"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p>
          <w:p>
            <w:pPr>
              <w:spacing w:line="320" w:lineRule="exact"/>
              <w:jc w:val="center"/>
              <w:rPr>
                <w:rFonts w:hint="eastAsia" w:ascii="楷体" w:hAnsi="楷体" w:eastAsia="楷体"/>
                <w:sz w:val="28"/>
                <w:szCs w:val="28"/>
              </w:rPr>
            </w:pPr>
          </w:p>
          <w:p>
            <w:pPr>
              <w:spacing w:line="320" w:lineRule="exact"/>
              <w:jc w:val="center"/>
              <w:rPr>
                <w:rFonts w:hint="eastAsia" w:ascii="楷体" w:hAnsi="楷体" w:eastAsia="楷体"/>
                <w:sz w:val="28"/>
                <w:szCs w:val="28"/>
              </w:rPr>
            </w:pPr>
          </w:p>
          <w:p>
            <w:pPr>
              <w:spacing w:line="320" w:lineRule="exact"/>
              <w:jc w:val="center"/>
              <w:rPr>
                <w:rFonts w:ascii="楷体" w:hAnsi="楷体" w:eastAsia="楷体"/>
                <w:sz w:val="28"/>
                <w:szCs w:val="28"/>
              </w:rPr>
            </w:pPr>
            <w:r>
              <w:rPr>
                <w:rFonts w:hint="eastAsia" w:ascii="楷体" w:hAnsi="楷体" w:eastAsia="楷体"/>
                <w:sz w:val="28"/>
                <w:szCs w:val="28"/>
              </w:rPr>
              <w:t>自评结论</w:t>
            </w:r>
          </w:p>
        </w:tc>
        <w:tc>
          <w:tcPr>
            <w:tcW w:w="8613" w:type="dxa"/>
            <w:gridSpan w:val="7"/>
            <w:tcBorders>
              <w:top w:val="single" w:color="auto" w:sz="4" w:space="0"/>
              <w:left w:val="nil"/>
              <w:bottom w:val="single" w:color="auto" w:sz="4" w:space="0"/>
              <w:right w:val="single" w:color="auto" w:sz="4" w:space="0"/>
            </w:tcBorders>
          </w:tcPr>
          <w:p>
            <w:pPr>
              <w:ind w:firstLine="300" w:firstLineChars="100"/>
              <w:rPr>
                <w:rFonts w:ascii="楷体" w:hAnsi="楷体" w:eastAsia="楷体"/>
                <w:sz w:val="30"/>
                <w:szCs w:val="30"/>
              </w:rPr>
            </w:pPr>
          </w:p>
          <w:p>
            <w:pPr>
              <w:rPr>
                <w:rFonts w:ascii="楷体" w:hAnsi="楷体" w:eastAsia="楷体"/>
                <w:sz w:val="30"/>
                <w:szCs w:val="30"/>
              </w:rPr>
            </w:pPr>
            <w:r>
              <w:rPr>
                <w:rFonts w:hint="eastAsia" w:ascii="楷体" w:hAnsi="楷体" w:eastAsia="楷体"/>
                <w:sz w:val="30"/>
                <w:szCs w:val="30"/>
              </w:rPr>
              <w:t>有效。根据资金的使用情况、项目的组织管理、产出成果及效益进行综合分析作出的评价结论，美术馆免费开放、正常运营经费</w:t>
            </w:r>
            <w:r>
              <w:rPr>
                <w:rFonts w:hint="eastAsia" w:ascii="楷体" w:hAnsi="楷体" w:eastAsia="楷体"/>
                <w:sz w:val="30"/>
                <w:szCs w:val="30"/>
                <w:lang w:val="en-US" w:eastAsia="zh-CN"/>
              </w:rPr>
              <w:t>,典藏经费</w:t>
            </w:r>
            <w:r>
              <w:rPr>
                <w:rFonts w:hint="eastAsia" w:ascii="楷体" w:hAnsi="楷体" w:eastAsia="楷体"/>
                <w:sz w:val="30"/>
                <w:szCs w:val="30"/>
              </w:rPr>
              <w:t>的使用绩效自评是“有效”。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sz w:val="28"/>
                <w:szCs w:val="28"/>
              </w:rPr>
            </w:pPr>
            <w:r>
              <w:rPr>
                <w:rFonts w:hint="eastAsia" w:ascii="楷体" w:hAnsi="楷体" w:eastAsia="楷体"/>
                <w:sz w:val="28"/>
                <w:szCs w:val="28"/>
              </w:rPr>
              <w:t>资金分配原则程序和方法</w:t>
            </w:r>
          </w:p>
        </w:tc>
        <w:tc>
          <w:tcPr>
            <w:tcW w:w="8613" w:type="dxa"/>
            <w:gridSpan w:val="7"/>
            <w:tcBorders>
              <w:top w:val="single" w:color="auto" w:sz="4" w:space="0"/>
              <w:left w:val="nil"/>
              <w:bottom w:val="single" w:color="auto" w:sz="4" w:space="0"/>
              <w:right w:val="single" w:color="auto" w:sz="4" w:space="0"/>
            </w:tcBorders>
          </w:tcPr>
          <w:p>
            <w:pPr>
              <w:rPr>
                <w:rFonts w:ascii="楷体" w:hAnsi="楷体" w:eastAsia="楷体"/>
                <w:sz w:val="30"/>
                <w:szCs w:val="30"/>
              </w:rPr>
            </w:pPr>
          </w:p>
          <w:p>
            <w:pPr>
              <w:rPr>
                <w:rFonts w:ascii="楷体" w:hAnsi="楷体" w:eastAsia="楷体"/>
                <w:sz w:val="30"/>
                <w:szCs w:val="30"/>
              </w:rPr>
            </w:pPr>
            <w:r>
              <w:rPr>
                <w:rFonts w:hint="eastAsia" w:ascii="楷体" w:hAnsi="楷体" w:eastAsia="楷体"/>
                <w:sz w:val="30"/>
                <w:szCs w:val="30"/>
              </w:rPr>
              <w:t>　 为了推广美术馆的公益一类单位的作用，共举办了几场大型的书画、摄影作品展，每个活动都按正常流程签订合同，按时验收呢，由主管领导签字审批。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sz w:val="28"/>
                <w:szCs w:val="28"/>
              </w:rPr>
            </w:pPr>
            <w:r>
              <w:rPr>
                <w:rFonts w:hint="eastAsia" w:ascii="楷体" w:hAnsi="楷体" w:eastAsia="楷体"/>
                <w:sz w:val="28"/>
                <w:szCs w:val="28"/>
              </w:rPr>
              <w:t>评价工作情况</w:t>
            </w:r>
          </w:p>
        </w:tc>
        <w:tc>
          <w:tcPr>
            <w:tcW w:w="8613" w:type="dxa"/>
            <w:gridSpan w:val="7"/>
            <w:tcBorders>
              <w:top w:val="single" w:color="auto" w:sz="4" w:space="0"/>
              <w:left w:val="nil"/>
              <w:bottom w:val="single" w:color="auto" w:sz="4" w:space="0"/>
              <w:right w:val="single" w:color="auto" w:sz="4" w:space="0"/>
            </w:tcBorders>
          </w:tcPr>
          <w:p>
            <w:pPr>
              <w:rPr>
                <w:rFonts w:ascii="楷体" w:hAnsi="楷体" w:eastAsia="楷体"/>
                <w:sz w:val="30"/>
                <w:szCs w:val="30"/>
              </w:rPr>
            </w:pPr>
            <w:r>
              <w:rPr>
                <w:rFonts w:hint="eastAsia" w:ascii="楷体" w:hAnsi="楷体" w:eastAsia="楷体"/>
                <w:sz w:val="30"/>
                <w:szCs w:val="30"/>
              </w:rPr>
              <w:t>　</w:t>
            </w:r>
          </w:p>
          <w:p>
            <w:pPr>
              <w:rPr>
                <w:rFonts w:ascii="楷体" w:hAnsi="楷体" w:eastAsia="楷体"/>
                <w:sz w:val="30"/>
                <w:szCs w:val="30"/>
              </w:rPr>
            </w:pPr>
            <w:r>
              <w:rPr>
                <w:rFonts w:hint="eastAsia" w:ascii="宋体" w:hAnsi="宋体" w:cs="宋体"/>
                <w:sz w:val="30"/>
                <w:szCs w:val="30"/>
              </w:rPr>
              <w:t> </w:t>
            </w:r>
            <w:r>
              <w:rPr>
                <w:rFonts w:hint="eastAsia" w:ascii="楷体" w:hAnsi="楷体" w:eastAsia="楷体"/>
                <w:sz w:val="30"/>
                <w:szCs w:val="30"/>
              </w:rPr>
              <w:t>根据《中共湖南省委办公厅 湖南省人民政府办公厅关于全面实施预算绩效管理的实施意见》，我馆按照市委市政府以及主管局的绩效考核要求成立了绩效考核管理小组，单位召开专题会议，认真的传达了上级的意见，组织开展全单位进行系统的绩效评价工作，收集整理相关资料，分析支出的必要性和有效性，并在此基础上提出更合理的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sz w:val="28"/>
                <w:szCs w:val="28"/>
              </w:rPr>
            </w:pPr>
            <w:r>
              <w:rPr>
                <w:rFonts w:hint="eastAsia" w:ascii="楷体" w:hAnsi="楷体" w:eastAsia="楷体"/>
                <w:sz w:val="28"/>
                <w:szCs w:val="28"/>
              </w:rPr>
              <w:t>问题与建议</w:t>
            </w:r>
          </w:p>
        </w:tc>
        <w:tc>
          <w:tcPr>
            <w:tcW w:w="8613" w:type="dxa"/>
            <w:gridSpan w:val="7"/>
            <w:tcBorders>
              <w:top w:val="single" w:color="auto" w:sz="4" w:space="0"/>
              <w:left w:val="nil"/>
              <w:bottom w:val="single" w:color="auto" w:sz="4" w:space="0"/>
              <w:right w:val="single" w:color="auto" w:sz="4" w:space="0"/>
            </w:tcBorders>
          </w:tcPr>
          <w:p>
            <w:pPr>
              <w:rPr>
                <w:rFonts w:ascii="楷体" w:hAnsi="楷体" w:eastAsia="楷体"/>
              </w:rPr>
            </w:pPr>
            <w:r>
              <w:rPr>
                <w:rFonts w:hint="eastAsia" w:ascii="楷体" w:hAnsi="楷体" w:eastAsia="楷体"/>
              </w:rPr>
              <w:t>　</w:t>
            </w:r>
          </w:p>
          <w:p>
            <w:pPr>
              <w:rPr>
                <w:rFonts w:ascii="楷体" w:hAnsi="楷体" w:eastAsia="楷体"/>
                <w:sz w:val="32"/>
                <w:szCs w:val="32"/>
              </w:rPr>
            </w:pPr>
            <w:r>
              <w:rPr>
                <w:rFonts w:hint="eastAsia" w:ascii="楷体" w:hAnsi="楷体" w:eastAsia="楷体"/>
                <w:sz w:val="32"/>
                <w:szCs w:val="32"/>
              </w:rPr>
              <w:t>为了更好的提高公共服务能力，建议财政加大投入力度。</w:t>
            </w:r>
          </w:p>
        </w:tc>
      </w:tr>
    </w:tbl>
    <w:p>
      <w:pPr>
        <w:spacing w:line="480" w:lineRule="exact"/>
        <w:rPr>
          <w:rFonts w:hint="eastAsia"/>
          <w:sz w:val="28"/>
          <w:szCs w:val="28"/>
        </w:rPr>
      </w:pPr>
      <w:r>
        <w:rPr>
          <w:rFonts w:hint="eastAsia" w:ascii="仿宋" w:hAnsi="仿宋" w:eastAsia="仿宋"/>
        </w:rPr>
        <w:t>说明：各单位根据文字数量需要调整此表。</w:t>
      </w:r>
    </w:p>
    <w:p>
      <w:pPr>
        <w:spacing w:line="480" w:lineRule="exact"/>
        <w:rPr>
          <w:rFonts w:ascii="楷体" w:hAnsi="楷体" w:eastAsia="楷体"/>
          <w:sz w:val="32"/>
          <w:szCs w:val="32"/>
        </w:rPr>
      </w:pPr>
      <w:r>
        <w:rPr>
          <w:rFonts w:hint="eastAsia" w:ascii="楷体" w:hAnsi="楷体" w:eastAsia="楷体"/>
          <w:sz w:val="32"/>
          <w:szCs w:val="32"/>
        </w:rPr>
        <w:t xml:space="preserve"> </w:t>
      </w:r>
    </w:p>
    <w:p>
      <w:pPr>
        <w:spacing w:line="480" w:lineRule="exact"/>
        <w:rPr>
          <w:rFonts w:hint="eastAsia" w:ascii="楷体" w:hAnsi="楷体" w:eastAsia="楷体"/>
          <w:sz w:val="32"/>
          <w:szCs w:val="32"/>
        </w:rPr>
      </w:pPr>
      <w:r>
        <w:rPr>
          <w:rFonts w:hint="eastAsia" w:ascii="楷体" w:hAnsi="楷体" w:eastAsia="楷体"/>
          <w:sz w:val="32"/>
          <w:szCs w:val="32"/>
        </w:rPr>
        <w:t xml:space="preserve">单位负责人：   </w:t>
      </w:r>
    </w:p>
    <w:p>
      <w:pPr>
        <w:spacing w:line="480" w:lineRule="exact"/>
        <w:rPr>
          <w:rFonts w:hint="eastAsia" w:ascii="楷体" w:hAnsi="楷体" w:eastAsia="楷体"/>
          <w:sz w:val="32"/>
          <w:szCs w:val="32"/>
        </w:rPr>
      </w:pPr>
      <w:r>
        <w:rPr>
          <w:rFonts w:hint="eastAsia" w:ascii="楷体" w:hAnsi="楷体" w:eastAsia="楷体"/>
          <w:sz w:val="32"/>
          <w:szCs w:val="32"/>
        </w:rPr>
        <w:t xml:space="preserve">项目支出负责人：   </w:t>
      </w:r>
    </w:p>
    <w:p>
      <w:pPr>
        <w:spacing w:line="480" w:lineRule="exact"/>
        <w:rPr>
          <w:rFonts w:hint="eastAsia" w:ascii="楷体" w:hAnsi="楷体" w:eastAsia="楷体"/>
          <w:sz w:val="32"/>
          <w:szCs w:val="32"/>
        </w:rPr>
      </w:pPr>
      <w:r>
        <w:rPr>
          <w:rFonts w:hint="eastAsia" w:ascii="楷体" w:hAnsi="楷体" w:eastAsia="楷体"/>
          <w:sz w:val="32"/>
          <w:szCs w:val="32"/>
        </w:rPr>
        <w:t>评价负责人：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ZTJmNGZiZGJkYmRkNWM5YzhlMjA5YWRhNjYyZmUifQ=="/>
  </w:docVars>
  <w:rsids>
    <w:rsidRoot w:val="006E5A44"/>
    <w:rsid w:val="000F5439"/>
    <w:rsid w:val="00331573"/>
    <w:rsid w:val="006E5A44"/>
    <w:rsid w:val="00964172"/>
    <w:rsid w:val="00F07228"/>
    <w:rsid w:val="07B83B8E"/>
    <w:rsid w:val="160B41B2"/>
    <w:rsid w:val="17FC2BA3"/>
    <w:rsid w:val="30D9731A"/>
    <w:rsid w:val="600D7598"/>
    <w:rsid w:val="713E1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1433</Words>
  <Characters>1467</Characters>
  <Lines>12</Lines>
  <Paragraphs>3</Paragraphs>
  <TotalTime>1</TotalTime>
  <ScaleCrop>false</ScaleCrop>
  <LinksUpToDate>false</LinksUpToDate>
  <CharactersWithSpaces>1661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2021-06-29T04:00:00Z</dcterms:created>
  <dc:creator>Administrator</dc:creator>
  <cp:lastModifiedBy>轩辕凤舞</cp:lastModifiedBy>
  <cp:lastPrinted>2021-06-29T03:56:00Z</cp:lastPrinted>
  <dcterms:modified xsi:type="dcterms:W3CDTF">2022-09-28T03:18:14Z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0A064E10D7B946F999CA7A6AAD9661BD</vt:lpwstr>
  </property>
</Properties>
</file>