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楷体" w:hAnsi="楷体" w:eastAsia="楷体" w:cs="楷体"/>
          <w:sz w:val="36"/>
        </w:rPr>
      </w:pPr>
      <w:bookmarkStart w:id="0" w:name="_GoBack"/>
      <w:bookmarkEnd w:id="0"/>
    </w:p>
    <w:p>
      <w:pPr>
        <w:spacing w:line="600" w:lineRule="exact"/>
        <w:jc w:val="center"/>
        <w:rPr>
          <w:rFonts w:hint="eastAsia" w:ascii="楷体" w:hAnsi="楷体" w:eastAsia="楷体" w:cs="楷体"/>
          <w:sz w:val="36"/>
        </w:rPr>
      </w:pPr>
    </w:p>
    <w:p>
      <w:pPr>
        <w:spacing w:line="600" w:lineRule="exact"/>
        <w:rPr>
          <w:rFonts w:ascii="宋体" w:hAnsi="宋体" w:cs="宋体"/>
          <w:kern w:val="0"/>
          <w:sz w:val="32"/>
          <w:szCs w:val="32"/>
        </w:rPr>
      </w:pPr>
      <w:r>
        <w:rPr>
          <w:rFonts w:hint="eastAsia" w:ascii="黑体" w:hAnsi="宋体" w:eastAsia="黑体" w:cs="宋体"/>
          <w:kern w:val="0"/>
          <w:sz w:val="32"/>
          <w:szCs w:val="32"/>
        </w:rPr>
        <w:t>附件1</w:t>
      </w:r>
      <w:r>
        <w:rPr>
          <w:rFonts w:ascii="黑体" w:hAnsi="宋体" w:eastAsia="黑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hint="eastAsia" w:ascii="宋体" w:hAnsi="宋体" w:cs="宋体"/>
          <w:kern w:val="0"/>
          <w:sz w:val="32"/>
          <w:szCs w:val="32"/>
          <w:lang w:eastAsia="zh-CN"/>
        </w:rPr>
        <w:t>邵阳市农业综合行政执法支队</w:t>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p>
    <w:p>
      <w:pPr>
        <w:widowControl/>
        <w:ind w:left="93"/>
        <w:jc w:val="center"/>
        <w:rPr>
          <w:rFonts w:hint="eastAsia" w:ascii="宋体" w:hAnsi="宋体" w:cs="宋体"/>
          <w:bCs/>
          <w:kern w:val="0"/>
          <w:sz w:val="32"/>
          <w:szCs w:val="32"/>
        </w:rPr>
      </w:pPr>
      <w:r>
        <w:rPr>
          <w:rFonts w:hint="eastAsia" w:ascii="宋体" w:hAnsi="宋体" w:cs="宋体"/>
          <w:bCs/>
          <w:kern w:val="0"/>
          <w:sz w:val="32"/>
          <w:szCs w:val="32"/>
        </w:rPr>
        <w:t>部门整体支出绩效评价指标评分表</w:t>
      </w:r>
    </w:p>
    <w:tbl>
      <w:tblPr>
        <w:tblStyle w:val="5"/>
        <w:tblW w:w="100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1"/>
        <w:gridCol w:w="429"/>
        <w:gridCol w:w="495"/>
        <w:gridCol w:w="923"/>
        <w:gridCol w:w="876"/>
        <w:gridCol w:w="2726"/>
        <w:gridCol w:w="3259"/>
        <w:gridCol w:w="9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blHeader/>
          <w:jc w:val="center"/>
        </w:trPr>
        <w:tc>
          <w:tcPr>
            <w:tcW w:w="411"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一级指标</w:t>
            </w:r>
          </w:p>
        </w:tc>
        <w:tc>
          <w:tcPr>
            <w:tcW w:w="429"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二级指标</w:t>
            </w:r>
          </w:p>
        </w:tc>
        <w:tc>
          <w:tcPr>
            <w:tcW w:w="495"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分值</w:t>
            </w:r>
          </w:p>
        </w:tc>
        <w:tc>
          <w:tcPr>
            <w:tcW w:w="923"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三级   指标</w:t>
            </w:r>
          </w:p>
        </w:tc>
        <w:tc>
          <w:tcPr>
            <w:tcW w:w="876"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分值</w:t>
            </w:r>
          </w:p>
        </w:tc>
        <w:tc>
          <w:tcPr>
            <w:tcW w:w="2726"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评价标准</w:t>
            </w:r>
          </w:p>
        </w:tc>
        <w:tc>
          <w:tcPr>
            <w:tcW w:w="3259"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备注</w:t>
            </w:r>
          </w:p>
        </w:tc>
        <w:tc>
          <w:tcPr>
            <w:tcW w:w="913"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2" w:hRule="atLeast"/>
          <w:jc w:val="center"/>
        </w:trPr>
        <w:tc>
          <w:tcPr>
            <w:tcW w:w="411" w:type="dxa"/>
            <w:vMerge w:val="restart"/>
            <w:noWrap w:val="0"/>
            <w:textDirection w:val="tbRlV"/>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投    入</w:t>
            </w:r>
          </w:p>
        </w:tc>
        <w:tc>
          <w:tcPr>
            <w:tcW w:w="429"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预算配置</w:t>
            </w:r>
          </w:p>
        </w:tc>
        <w:tc>
          <w:tcPr>
            <w:tcW w:w="495"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18</w:t>
            </w:r>
          </w:p>
        </w:tc>
        <w:tc>
          <w:tcPr>
            <w:tcW w:w="923" w:type="dxa"/>
            <w:noWrap w:val="0"/>
            <w:vAlign w:val="center"/>
          </w:tcPr>
          <w:p>
            <w:pPr>
              <w:widowControl/>
              <w:jc w:val="center"/>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“三公经费”</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变动率</w:t>
            </w:r>
          </w:p>
        </w:tc>
        <w:tc>
          <w:tcPr>
            <w:tcW w:w="876" w:type="dxa"/>
            <w:noWrap w:val="0"/>
            <w:vAlign w:val="center"/>
          </w:tcPr>
          <w:p>
            <w:pPr>
              <w:widowControl/>
              <w:jc w:val="center"/>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lang w:val="en-US" w:eastAsia="zh-CN"/>
              </w:rPr>
              <w:t>0</w:t>
            </w:r>
          </w:p>
        </w:tc>
        <w:tc>
          <w:tcPr>
            <w:tcW w:w="2726"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0,计3分；“三公经费”＞0，每超过一个百分点扣0.3分，扣完为止。</w:t>
            </w:r>
          </w:p>
        </w:tc>
        <w:tc>
          <w:tcPr>
            <w:tcW w:w="3259" w:type="dxa"/>
            <w:noWrap w:val="0"/>
            <w:vAlign w:val="center"/>
          </w:tcPr>
          <w:p>
            <w:pPr>
              <w:widowControl/>
              <w:jc w:val="center"/>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2020年14.71万元</w:t>
            </w:r>
          </w:p>
          <w:p>
            <w:pPr>
              <w:widowControl/>
              <w:jc w:val="center"/>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2019年11.34万元</w:t>
            </w:r>
          </w:p>
          <w:p>
            <w:pPr>
              <w:widowControl/>
              <w:jc w:val="center"/>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（14.71-11.34)/11.34*100%=29.72%</w:t>
            </w:r>
          </w:p>
          <w:p>
            <w:pPr>
              <w:widowControl/>
              <w:jc w:val="center"/>
              <w:rPr>
                <w:rFonts w:hint="default"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原因：2020年十年禁捕期间，加强执法巡查，车辆运行费比去年有所增加</w:t>
            </w:r>
          </w:p>
        </w:tc>
        <w:tc>
          <w:tcPr>
            <w:tcW w:w="913" w:type="dxa"/>
            <w:noWrap w:val="0"/>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0"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495" w:type="dxa"/>
            <w:vMerge w:val="continue"/>
            <w:noWrap w:val="0"/>
            <w:vAlign w:val="center"/>
          </w:tcPr>
          <w:p>
            <w:pPr>
              <w:widowControl/>
              <w:jc w:val="center"/>
              <w:rPr>
                <w:rFonts w:hint="eastAsia" w:ascii="仿宋_GB2312" w:hAnsi="宋体" w:eastAsia="仿宋_GB2312" w:cs="宋体"/>
                <w:kern w:val="0"/>
                <w:sz w:val="20"/>
                <w:szCs w:val="20"/>
              </w:rPr>
            </w:pPr>
          </w:p>
        </w:tc>
        <w:tc>
          <w:tcPr>
            <w:tcW w:w="923"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   管理</w:t>
            </w:r>
          </w:p>
        </w:tc>
        <w:tc>
          <w:tcPr>
            <w:tcW w:w="876"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2726"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①招待费用明确招待标准和招待人数,1分;②车辆维护、燃油使用政府定点，1分。③</w:t>
            </w:r>
            <w:r>
              <w:rPr>
                <w:rFonts w:hint="eastAsia" w:ascii="仿宋_GB2312" w:hAnsi="仿宋" w:eastAsia="仿宋_GB2312" w:cs="仿宋"/>
                <w:kern w:val="0"/>
                <w:sz w:val="20"/>
                <w:szCs w:val="20"/>
              </w:rPr>
              <w:t>制定“三公经费”管理办法，1分，每少一项扣1分，扣完为止。</w:t>
            </w:r>
          </w:p>
        </w:tc>
        <w:tc>
          <w:tcPr>
            <w:tcW w:w="3259" w:type="dxa"/>
            <w:noWrap w:val="0"/>
            <w:vAlign w:val="center"/>
          </w:tcPr>
          <w:p>
            <w:pPr>
              <w:widowControl/>
              <w:jc w:val="center"/>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招待费有明确招待标准和招待人数，车辆维护、燃油使用政府定点。</w:t>
            </w:r>
          </w:p>
          <w:p>
            <w:pPr>
              <w:widowControl/>
              <w:jc w:val="center"/>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有</w:t>
            </w:r>
            <w:r>
              <w:rPr>
                <w:rFonts w:hint="eastAsia" w:ascii="仿宋_GB2312" w:hAnsi="仿宋" w:eastAsia="仿宋_GB2312" w:cs="仿宋"/>
                <w:kern w:val="0"/>
                <w:sz w:val="20"/>
                <w:szCs w:val="20"/>
              </w:rPr>
              <w:t>“三公经费”管理办法</w:t>
            </w:r>
            <w:r>
              <w:rPr>
                <w:rFonts w:hint="eastAsia" w:ascii="仿宋_GB2312" w:hAnsi="仿宋" w:eastAsia="仿宋_GB2312" w:cs="仿宋"/>
                <w:kern w:val="0"/>
                <w:sz w:val="20"/>
                <w:szCs w:val="20"/>
                <w:lang w:eastAsia="zh-CN"/>
              </w:rPr>
              <w:t>。</w:t>
            </w:r>
          </w:p>
        </w:tc>
        <w:tc>
          <w:tcPr>
            <w:tcW w:w="913" w:type="dxa"/>
            <w:noWrap w:val="0"/>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495" w:type="dxa"/>
            <w:vMerge w:val="continue"/>
            <w:noWrap w:val="0"/>
            <w:vAlign w:val="center"/>
          </w:tcPr>
          <w:p>
            <w:pPr>
              <w:widowControl/>
              <w:jc w:val="center"/>
              <w:rPr>
                <w:rFonts w:hint="eastAsia" w:ascii="仿宋_GB2312" w:hAnsi="宋体" w:eastAsia="仿宋_GB2312" w:cs="宋体"/>
                <w:kern w:val="0"/>
                <w:sz w:val="20"/>
                <w:szCs w:val="20"/>
              </w:rPr>
            </w:pPr>
          </w:p>
        </w:tc>
        <w:tc>
          <w:tcPr>
            <w:tcW w:w="923"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招待费变动率</w:t>
            </w:r>
          </w:p>
        </w:tc>
        <w:tc>
          <w:tcPr>
            <w:tcW w:w="876" w:type="dxa"/>
            <w:noWrap w:val="0"/>
            <w:vAlign w:val="center"/>
          </w:tcPr>
          <w:p>
            <w:pPr>
              <w:widowControl/>
              <w:jc w:val="center"/>
              <w:rPr>
                <w:rFonts w:hint="default"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0.02</w:t>
            </w:r>
          </w:p>
        </w:tc>
        <w:tc>
          <w:tcPr>
            <w:tcW w:w="2726"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“公务招待费”变动率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0,计2分；“公务招待费变动率”＞0，每超过一个百分点扣0.2分，扣完为止。</w:t>
            </w:r>
          </w:p>
        </w:tc>
        <w:tc>
          <w:tcPr>
            <w:tcW w:w="3259" w:type="dxa"/>
            <w:noWrap w:val="0"/>
            <w:vAlign w:val="center"/>
          </w:tcPr>
          <w:p>
            <w:pPr>
              <w:widowControl/>
              <w:jc w:val="center"/>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2020年2.22万元</w:t>
            </w:r>
          </w:p>
          <w:p>
            <w:pPr>
              <w:widowControl/>
              <w:jc w:val="center"/>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2019年2.02万元</w:t>
            </w:r>
          </w:p>
          <w:p>
            <w:pPr>
              <w:widowControl/>
              <w:jc w:val="center"/>
              <w:rPr>
                <w:rFonts w:hint="default"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（2.22-2.02）/2.02*100%=9.9%</w:t>
            </w:r>
          </w:p>
        </w:tc>
        <w:tc>
          <w:tcPr>
            <w:tcW w:w="913" w:type="dxa"/>
            <w:noWrap w:val="0"/>
            <w:vAlign w:val="center"/>
          </w:tcPr>
          <w:p>
            <w:pPr>
              <w:widowControl/>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0"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495" w:type="dxa"/>
            <w:vMerge w:val="continue"/>
            <w:noWrap w:val="0"/>
            <w:vAlign w:val="center"/>
          </w:tcPr>
          <w:p>
            <w:pPr>
              <w:widowControl/>
              <w:jc w:val="center"/>
              <w:rPr>
                <w:rFonts w:hint="eastAsia" w:ascii="仿宋_GB2312" w:hAnsi="宋体" w:eastAsia="仿宋_GB2312" w:cs="宋体"/>
                <w:kern w:val="0"/>
                <w:sz w:val="20"/>
                <w:szCs w:val="20"/>
              </w:rPr>
            </w:pPr>
          </w:p>
        </w:tc>
        <w:tc>
          <w:tcPr>
            <w:tcW w:w="923"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公务用车购置</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运行费</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变动率</w:t>
            </w:r>
          </w:p>
        </w:tc>
        <w:tc>
          <w:tcPr>
            <w:tcW w:w="876" w:type="dxa"/>
            <w:noWrap w:val="0"/>
            <w:vAlign w:val="center"/>
          </w:tcPr>
          <w:p>
            <w:pPr>
              <w:widowControl/>
              <w:jc w:val="center"/>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lang w:val="en-US" w:eastAsia="zh-CN"/>
              </w:rPr>
              <w:t>0</w:t>
            </w:r>
          </w:p>
        </w:tc>
        <w:tc>
          <w:tcPr>
            <w:tcW w:w="2726"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“公务用车购置运行费”变动率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0,计2分；“公务用车购置运行费变动率”＞0，每超过一个百分点扣0.2分，扣完为止。</w:t>
            </w:r>
          </w:p>
        </w:tc>
        <w:tc>
          <w:tcPr>
            <w:tcW w:w="3259" w:type="dxa"/>
            <w:noWrap w:val="0"/>
            <w:vAlign w:val="center"/>
          </w:tcPr>
          <w:p>
            <w:pPr>
              <w:widowControl/>
              <w:jc w:val="center"/>
              <w:rPr>
                <w:rFonts w:hint="default"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2020年12.49万元</w:t>
            </w:r>
          </w:p>
          <w:p>
            <w:pPr>
              <w:widowControl/>
              <w:jc w:val="center"/>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2019年9.31万元</w:t>
            </w:r>
          </w:p>
          <w:p>
            <w:pPr>
              <w:widowControl/>
              <w:jc w:val="center"/>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（12.49-9.31）/9.31*100%=34.16%</w:t>
            </w:r>
          </w:p>
          <w:p>
            <w:pPr>
              <w:widowControl/>
              <w:jc w:val="center"/>
              <w:rPr>
                <w:rFonts w:hint="default"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原因：2020年十年禁捕期间，加强执法巡查，车辆运行费比去年有所增加</w:t>
            </w:r>
          </w:p>
        </w:tc>
        <w:tc>
          <w:tcPr>
            <w:tcW w:w="913" w:type="dxa"/>
            <w:noWrap w:val="0"/>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1"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495" w:type="dxa"/>
            <w:vMerge w:val="continue"/>
            <w:noWrap w:val="0"/>
            <w:vAlign w:val="center"/>
          </w:tcPr>
          <w:p>
            <w:pPr>
              <w:widowControl/>
              <w:jc w:val="center"/>
              <w:rPr>
                <w:rFonts w:hint="eastAsia" w:ascii="仿宋_GB2312" w:hAnsi="宋体" w:eastAsia="仿宋_GB2312" w:cs="宋体"/>
                <w:kern w:val="0"/>
                <w:sz w:val="20"/>
                <w:szCs w:val="20"/>
              </w:rPr>
            </w:pPr>
          </w:p>
        </w:tc>
        <w:tc>
          <w:tcPr>
            <w:tcW w:w="923"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商品 和服务支出 变动率</w:t>
            </w:r>
          </w:p>
        </w:tc>
        <w:tc>
          <w:tcPr>
            <w:tcW w:w="876"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2726"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“商品和服务支出”变动率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0,计2分；“商品和服务支出”变动率＞0，每超过一个百分点扣0.2分，扣完为止。</w:t>
            </w:r>
          </w:p>
        </w:tc>
        <w:tc>
          <w:tcPr>
            <w:tcW w:w="3259" w:type="dxa"/>
            <w:noWrap w:val="0"/>
            <w:vAlign w:val="center"/>
          </w:tcPr>
          <w:p>
            <w:pPr>
              <w:widowControl/>
              <w:jc w:val="center"/>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2019年113.58万元</w:t>
            </w:r>
          </w:p>
          <w:p>
            <w:pPr>
              <w:widowControl/>
              <w:jc w:val="center"/>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2018年133.67万元</w:t>
            </w:r>
          </w:p>
          <w:p>
            <w:pPr>
              <w:widowControl/>
              <w:jc w:val="center"/>
              <w:rPr>
                <w:rFonts w:hint="default"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（113.58-133.67）/133.67*100%=-15.03%</w:t>
            </w:r>
          </w:p>
          <w:p>
            <w:pPr>
              <w:widowControl/>
              <w:jc w:val="center"/>
              <w:rPr>
                <w:rFonts w:hint="eastAsia" w:ascii="仿宋_GB2312" w:hAnsi="宋体" w:eastAsia="仿宋_GB2312" w:cs="宋体"/>
                <w:kern w:val="0"/>
                <w:sz w:val="20"/>
                <w:szCs w:val="20"/>
              </w:rPr>
            </w:pPr>
          </w:p>
        </w:tc>
        <w:tc>
          <w:tcPr>
            <w:tcW w:w="913" w:type="dxa"/>
            <w:noWrap w:val="0"/>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0"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495" w:type="dxa"/>
            <w:vMerge w:val="continue"/>
            <w:noWrap w:val="0"/>
            <w:vAlign w:val="center"/>
          </w:tcPr>
          <w:p>
            <w:pPr>
              <w:widowControl/>
              <w:jc w:val="center"/>
              <w:rPr>
                <w:rFonts w:hint="eastAsia" w:ascii="仿宋_GB2312" w:hAnsi="宋体" w:eastAsia="仿宋_GB2312" w:cs="宋体"/>
                <w:kern w:val="0"/>
                <w:sz w:val="20"/>
                <w:szCs w:val="20"/>
              </w:rPr>
            </w:pPr>
          </w:p>
        </w:tc>
        <w:tc>
          <w:tcPr>
            <w:tcW w:w="923"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  支出  安排率</w:t>
            </w:r>
          </w:p>
        </w:tc>
        <w:tc>
          <w:tcPr>
            <w:tcW w:w="876"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2726"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重点支出安排率≥90%，计2分；80%（含）-90%，计1分；70%（含）-80%，计0.5分；低于70%不得分。</w:t>
            </w:r>
          </w:p>
        </w:tc>
        <w:tc>
          <w:tcPr>
            <w:tcW w:w="3259" w:type="dxa"/>
            <w:noWrap w:val="0"/>
            <w:vAlign w:val="center"/>
          </w:tcPr>
          <w:p>
            <w:pPr>
              <w:widowControl/>
              <w:jc w:val="center"/>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lang w:eastAsia="zh-CN"/>
              </w:rPr>
              <w:t>无</w:t>
            </w:r>
          </w:p>
        </w:tc>
        <w:tc>
          <w:tcPr>
            <w:tcW w:w="913" w:type="dxa"/>
            <w:noWrap w:val="0"/>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4"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495" w:type="dxa"/>
            <w:vMerge w:val="continue"/>
            <w:noWrap w:val="0"/>
            <w:vAlign w:val="center"/>
          </w:tcPr>
          <w:p>
            <w:pPr>
              <w:widowControl/>
              <w:jc w:val="center"/>
              <w:rPr>
                <w:rFonts w:hint="eastAsia" w:ascii="仿宋_GB2312" w:hAnsi="宋体" w:eastAsia="仿宋_GB2312" w:cs="宋体"/>
                <w:kern w:val="0"/>
                <w:sz w:val="20"/>
                <w:szCs w:val="20"/>
              </w:rPr>
            </w:pPr>
          </w:p>
        </w:tc>
        <w:tc>
          <w:tcPr>
            <w:tcW w:w="923"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 收入 管理</w:t>
            </w:r>
          </w:p>
        </w:tc>
        <w:tc>
          <w:tcPr>
            <w:tcW w:w="876"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2726"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①实行收支两条线，1分；</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②未发生截留、坐支或转移，1分。以上每发现一次违规现象扣1分，扣完为止。</w:t>
            </w:r>
          </w:p>
        </w:tc>
        <w:tc>
          <w:tcPr>
            <w:tcW w:w="3259" w:type="dxa"/>
            <w:noWrap w:val="0"/>
            <w:vAlign w:val="center"/>
          </w:tcPr>
          <w:p>
            <w:pPr>
              <w:widowControl/>
              <w:jc w:val="center"/>
              <w:rPr>
                <w:rFonts w:hint="default"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实行收支两条线，未发生截留、坐支或转移</w:t>
            </w:r>
          </w:p>
        </w:tc>
        <w:tc>
          <w:tcPr>
            <w:tcW w:w="913" w:type="dxa"/>
            <w:noWrap w:val="0"/>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9"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495" w:type="dxa"/>
            <w:vMerge w:val="continue"/>
            <w:noWrap w:val="0"/>
            <w:vAlign w:val="center"/>
          </w:tcPr>
          <w:p>
            <w:pPr>
              <w:widowControl/>
              <w:jc w:val="center"/>
              <w:rPr>
                <w:rFonts w:hint="eastAsia" w:ascii="仿宋_GB2312" w:hAnsi="宋体" w:eastAsia="仿宋_GB2312" w:cs="宋体"/>
                <w:kern w:val="0"/>
                <w:sz w:val="20"/>
                <w:szCs w:val="20"/>
              </w:rPr>
            </w:pPr>
          </w:p>
        </w:tc>
        <w:tc>
          <w:tcPr>
            <w:tcW w:w="923"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 收入 完成率</w:t>
            </w:r>
          </w:p>
        </w:tc>
        <w:tc>
          <w:tcPr>
            <w:tcW w:w="876" w:type="dxa"/>
            <w:noWrap w:val="0"/>
            <w:vAlign w:val="center"/>
          </w:tcPr>
          <w:p>
            <w:pPr>
              <w:widowControl/>
              <w:jc w:val="center"/>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lang w:val="en-US" w:eastAsia="zh-CN"/>
              </w:rPr>
              <w:t>0</w:t>
            </w:r>
          </w:p>
        </w:tc>
        <w:tc>
          <w:tcPr>
            <w:tcW w:w="2726"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非税收入完成率100%，2分，每少一个百分点，扣0.1分，扣完为止。</w:t>
            </w:r>
          </w:p>
        </w:tc>
        <w:tc>
          <w:tcPr>
            <w:tcW w:w="3259" w:type="dxa"/>
            <w:noWrap w:val="0"/>
            <w:vAlign w:val="center"/>
          </w:tcPr>
          <w:p>
            <w:pPr>
              <w:widowControl/>
              <w:jc w:val="center"/>
              <w:rPr>
                <w:rFonts w:hint="default" w:ascii="仿宋_GB2312" w:hAnsi="宋体" w:eastAsia="仿宋_GB2312" w:cs="宋体"/>
                <w:kern w:val="0"/>
                <w:sz w:val="20"/>
                <w:szCs w:val="20"/>
                <w:lang w:val="en-US"/>
              </w:rPr>
            </w:pPr>
            <w:r>
              <w:rPr>
                <w:rFonts w:hint="eastAsia" w:ascii="仿宋_GB2312" w:hAnsi="宋体" w:eastAsia="仿宋_GB2312" w:cs="宋体"/>
                <w:kern w:val="0"/>
                <w:sz w:val="20"/>
                <w:szCs w:val="20"/>
                <w:lang w:val="en-US" w:eastAsia="zh-CN"/>
              </w:rPr>
              <w:t>2020年非税收入任务60万，收入完成45.44万，完成率75.73%</w:t>
            </w:r>
          </w:p>
        </w:tc>
        <w:tc>
          <w:tcPr>
            <w:tcW w:w="913" w:type="dxa"/>
            <w:noWrap w:val="0"/>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5" w:hRule="atLeast"/>
          <w:jc w:val="center"/>
        </w:trPr>
        <w:tc>
          <w:tcPr>
            <w:tcW w:w="411" w:type="dxa"/>
            <w:vMerge w:val="restart"/>
            <w:noWrap w:val="0"/>
            <w:textDirection w:val="tbRlV"/>
            <w:vAlign w:val="center"/>
          </w:tcPr>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过    程</w:t>
            </w:r>
          </w:p>
          <w:p>
            <w:pPr>
              <w:widowControl/>
              <w:ind w:left="113" w:right="113"/>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过      程</w:t>
            </w:r>
          </w:p>
        </w:tc>
        <w:tc>
          <w:tcPr>
            <w:tcW w:w="429" w:type="dxa"/>
            <w:vMerge w:val="restart"/>
            <w:tcBorders>
              <w:righ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预算执行</w:t>
            </w:r>
          </w:p>
        </w:tc>
        <w:tc>
          <w:tcPr>
            <w:tcW w:w="495" w:type="dxa"/>
            <w:vMerge w:val="restart"/>
            <w:tcBorders>
              <w:lef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923"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  完成率</w:t>
            </w:r>
          </w:p>
        </w:tc>
        <w:tc>
          <w:tcPr>
            <w:tcW w:w="876" w:type="dxa"/>
            <w:noWrap w:val="0"/>
            <w:vAlign w:val="center"/>
          </w:tcPr>
          <w:p>
            <w:pPr>
              <w:widowControl/>
              <w:jc w:val="center"/>
              <w:rPr>
                <w:rFonts w:hint="default"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0</w:t>
            </w:r>
          </w:p>
        </w:tc>
        <w:tc>
          <w:tcPr>
            <w:tcW w:w="2726"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完成率&lt;1，计2分，</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完成率=1，计1分，</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完成率&gt;1，不得分。</w:t>
            </w:r>
          </w:p>
          <w:p>
            <w:pPr>
              <w:widowControl/>
              <w:jc w:val="center"/>
              <w:rPr>
                <w:rFonts w:hint="eastAsia" w:ascii="仿宋_GB2312" w:hAnsi="宋体" w:eastAsia="仿宋_GB2312" w:cs="宋体"/>
                <w:kern w:val="0"/>
                <w:sz w:val="20"/>
                <w:szCs w:val="20"/>
              </w:rPr>
            </w:pPr>
          </w:p>
        </w:tc>
        <w:tc>
          <w:tcPr>
            <w:tcW w:w="3259" w:type="dxa"/>
            <w:noWrap w:val="0"/>
            <w:vAlign w:val="center"/>
          </w:tcPr>
          <w:p>
            <w:pPr>
              <w:autoSpaceDN w:val="0"/>
              <w:jc w:val="center"/>
              <w:textAlignment w:val="center"/>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eastAsia="zh-CN"/>
              </w:rPr>
              <w:t>支出预算数</w:t>
            </w:r>
            <w:r>
              <w:rPr>
                <w:rFonts w:hint="eastAsia" w:ascii="仿宋_GB2312" w:hAnsi="宋体" w:eastAsia="仿宋_GB2312" w:cs="宋体"/>
                <w:kern w:val="0"/>
                <w:sz w:val="20"/>
                <w:szCs w:val="20"/>
                <w:lang w:val="en-US" w:eastAsia="zh-CN"/>
              </w:rPr>
              <w:t>=132.23万元</w:t>
            </w:r>
          </w:p>
          <w:p>
            <w:pPr>
              <w:autoSpaceDN w:val="0"/>
              <w:jc w:val="center"/>
              <w:textAlignment w:val="center"/>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预算执行数=104.38万元</w:t>
            </w:r>
          </w:p>
          <w:p>
            <w:pPr>
              <w:autoSpaceDN w:val="0"/>
              <w:jc w:val="center"/>
              <w:textAlignment w:val="center"/>
              <w:rPr>
                <w:rFonts w:hint="default"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（104.38/132.23）*100%=126.68%</w:t>
            </w:r>
          </w:p>
        </w:tc>
        <w:tc>
          <w:tcPr>
            <w:tcW w:w="913" w:type="dxa"/>
            <w:noWrap w:val="0"/>
            <w:vAlign w:val="center"/>
          </w:tcPr>
          <w:p>
            <w:pPr>
              <w:widowControl/>
              <w:jc w:val="center"/>
              <w:rPr>
                <w:rFonts w:hint="eastAsia" w:ascii="宋体" w:hAnsi="宋体" w:eastAsia="宋体" w:cs="宋体"/>
                <w:kern w:val="0"/>
                <w:sz w:val="24"/>
                <w:highlight w:val="yellow"/>
                <w:lang w:val="en-US" w:eastAsia="zh-CN"/>
              </w:rPr>
            </w:pPr>
            <w:r>
              <w:rPr>
                <w:rFonts w:hint="eastAsia" w:ascii="仿宋_GB2312" w:hAnsi="宋体" w:eastAsia="仿宋_GB2312" w:cs="宋体"/>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9" w:hRule="atLeast"/>
          <w:jc w:val="center"/>
        </w:trPr>
        <w:tc>
          <w:tcPr>
            <w:tcW w:w="411" w:type="dxa"/>
            <w:vMerge w:val="continue"/>
            <w:noWrap w:val="0"/>
            <w:vAlign w:val="center"/>
          </w:tcPr>
          <w:p>
            <w:pPr>
              <w:jc w:val="center"/>
              <w:rPr>
                <w:rFonts w:ascii="仿宋_GB2312" w:hAnsi="宋体" w:eastAsia="仿宋_GB2312" w:cs="宋体"/>
                <w:kern w:val="0"/>
                <w:sz w:val="20"/>
                <w:szCs w:val="20"/>
              </w:rPr>
            </w:pPr>
          </w:p>
        </w:tc>
        <w:tc>
          <w:tcPr>
            <w:tcW w:w="429" w:type="dxa"/>
            <w:vMerge w:val="continue"/>
            <w:tcBorders>
              <w:right w:val="single" w:color="auto" w:sz="4" w:space="0"/>
            </w:tcBorders>
            <w:noWrap w:val="0"/>
            <w:vAlign w:val="center"/>
          </w:tcPr>
          <w:p>
            <w:pPr>
              <w:jc w:val="center"/>
              <w:rPr>
                <w:rFonts w:hint="eastAsia" w:ascii="仿宋_GB2312" w:hAnsi="宋体" w:eastAsia="仿宋_GB2312" w:cs="宋体"/>
                <w:kern w:val="0"/>
                <w:sz w:val="20"/>
                <w:szCs w:val="20"/>
              </w:rPr>
            </w:pPr>
          </w:p>
        </w:tc>
        <w:tc>
          <w:tcPr>
            <w:tcW w:w="495" w:type="dxa"/>
            <w:vMerge w:val="continue"/>
            <w:tcBorders>
              <w:left w:val="single" w:color="auto" w:sz="4" w:space="0"/>
            </w:tcBorders>
            <w:noWrap w:val="0"/>
            <w:vAlign w:val="center"/>
          </w:tcPr>
          <w:p>
            <w:pPr>
              <w:jc w:val="center"/>
              <w:rPr>
                <w:rFonts w:hint="eastAsia" w:ascii="仿宋_GB2312" w:hAnsi="宋体" w:eastAsia="仿宋_GB2312" w:cs="宋体"/>
                <w:kern w:val="0"/>
                <w:sz w:val="20"/>
                <w:szCs w:val="20"/>
              </w:rPr>
            </w:pPr>
          </w:p>
        </w:tc>
        <w:tc>
          <w:tcPr>
            <w:tcW w:w="923"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资金  结余</w:t>
            </w:r>
          </w:p>
        </w:tc>
        <w:tc>
          <w:tcPr>
            <w:tcW w:w="876" w:type="dxa"/>
            <w:noWrap w:val="0"/>
            <w:vAlign w:val="center"/>
          </w:tcPr>
          <w:p>
            <w:pPr>
              <w:widowControl/>
              <w:jc w:val="center"/>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lang w:val="en-US" w:eastAsia="zh-CN"/>
              </w:rPr>
              <w:t>1</w:t>
            </w:r>
          </w:p>
        </w:tc>
        <w:tc>
          <w:tcPr>
            <w:tcW w:w="2726"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结余超过10%（不含），2分；结余在0-10%（含）的，1分；本年超支不得分。</w:t>
            </w:r>
          </w:p>
        </w:tc>
        <w:tc>
          <w:tcPr>
            <w:tcW w:w="3259" w:type="dxa"/>
            <w:noWrap w:val="0"/>
            <w:vAlign w:val="center"/>
          </w:tcPr>
          <w:p>
            <w:pPr>
              <w:widowControl/>
              <w:jc w:val="center"/>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eastAsia="zh-CN"/>
              </w:rPr>
              <w:t>本年度收入</w:t>
            </w:r>
            <w:r>
              <w:rPr>
                <w:rFonts w:hint="eastAsia" w:ascii="仿宋_GB2312" w:hAnsi="宋体" w:eastAsia="仿宋_GB2312" w:cs="宋体"/>
                <w:kern w:val="0"/>
                <w:sz w:val="20"/>
                <w:szCs w:val="20"/>
                <w:lang w:val="en-US" w:eastAsia="zh-CN"/>
              </w:rPr>
              <w:t>109.95万元</w:t>
            </w:r>
          </w:p>
          <w:p>
            <w:pPr>
              <w:widowControl/>
              <w:jc w:val="center"/>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本年度支出104.38万元</w:t>
            </w:r>
          </w:p>
          <w:p>
            <w:pPr>
              <w:widowControl/>
              <w:jc w:val="center"/>
              <w:rPr>
                <w:rFonts w:hint="default"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（109.95-104.38）/104.38*100%=5.34%</w:t>
            </w:r>
          </w:p>
        </w:tc>
        <w:tc>
          <w:tcPr>
            <w:tcW w:w="913" w:type="dxa"/>
            <w:noWrap w:val="0"/>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8" w:hRule="atLeast"/>
          <w:jc w:val="center"/>
        </w:trPr>
        <w:tc>
          <w:tcPr>
            <w:tcW w:w="411" w:type="dxa"/>
            <w:vMerge w:val="continue"/>
            <w:noWrap w:val="0"/>
            <w:vAlign w:val="center"/>
          </w:tcPr>
          <w:p>
            <w:pPr>
              <w:jc w:val="center"/>
              <w:rPr>
                <w:rFonts w:ascii="仿宋_GB2312" w:hAnsi="宋体" w:eastAsia="仿宋_GB2312" w:cs="宋体"/>
                <w:kern w:val="0"/>
                <w:sz w:val="20"/>
                <w:szCs w:val="20"/>
              </w:rPr>
            </w:pPr>
          </w:p>
        </w:tc>
        <w:tc>
          <w:tcPr>
            <w:tcW w:w="429" w:type="dxa"/>
            <w:vMerge w:val="continue"/>
            <w:tcBorders>
              <w:right w:val="single" w:color="auto" w:sz="4" w:space="0"/>
            </w:tcBorders>
            <w:noWrap w:val="0"/>
            <w:vAlign w:val="center"/>
          </w:tcPr>
          <w:p>
            <w:pPr>
              <w:jc w:val="center"/>
              <w:rPr>
                <w:rFonts w:hint="eastAsia" w:ascii="仿宋_GB2312" w:hAnsi="宋体" w:eastAsia="仿宋_GB2312" w:cs="宋体"/>
                <w:kern w:val="0"/>
                <w:sz w:val="20"/>
                <w:szCs w:val="20"/>
              </w:rPr>
            </w:pPr>
          </w:p>
        </w:tc>
        <w:tc>
          <w:tcPr>
            <w:tcW w:w="495" w:type="dxa"/>
            <w:vMerge w:val="continue"/>
            <w:tcBorders>
              <w:left w:val="single" w:color="auto" w:sz="4" w:space="0"/>
            </w:tcBorders>
            <w:noWrap w:val="0"/>
            <w:vAlign w:val="center"/>
          </w:tcPr>
          <w:p>
            <w:pPr>
              <w:jc w:val="center"/>
              <w:rPr>
                <w:rFonts w:hint="eastAsia" w:ascii="仿宋_GB2312" w:hAnsi="宋体" w:eastAsia="仿宋_GB2312" w:cs="宋体"/>
                <w:kern w:val="0"/>
                <w:sz w:val="20"/>
                <w:szCs w:val="20"/>
              </w:rPr>
            </w:pPr>
          </w:p>
        </w:tc>
        <w:tc>
          <w:tcPr>
            <w:tcW w:w="923" w:type="dxa"/>
            <w:noWrap w:val="0"/>
            <w:vAlign w:val="center"/>
          </w:tcPr>
          <w:p>
            <w:pPr>
              <w:widowControl/>
              <w:jc w:val="center"/>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“三公经费”</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控制率</w:t>
            </w:r>
          </w:p>
        </w:tc>
        <w:tc>
          <w:tcPr>
            <w:tcW w:w="876"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2726"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以100%为标准。三公经费控制率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100%，计2分；每超过一个百分点扣0.2分，扣完为止。单位没有制定“三公”经费预算，该项不得分。</w:t>
            </w:r>
          </w:p>
        </w:tc>
        <w:tc>
          <w:tcPr>
            <w:tcW w:w="3259" w:type="dxa"/>
            <w:noWrap w:val="0"/>
            <w:vAlign w:val="center"/>
          </w:tcPr>
          <w:p>
            <w:pPr>
              <w:widowControl/>
              <w:jc w:val="center"/>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rPr>
              <w:t>三公经费”预算安排数</w:t>
            </w:r>
            <w:r>
              <w:rPr>
                <w:rFonts w:hint="eastAsia" w:ascii="仿宋_GB2312" w:hAnsi="宋体" w:eastAsia="仿宋_GB2312" w:cs="宋体"/>
                <w:kern w:val="0"/>
                <w:sz w:val="20"/>
                <w:szCs w:val="20"/>
                <w:lang w:val="en-US" w:eastAsia="zh-CN"/>
              </w:rPr>
              <w:t>=91.8万元</w:t>
            </w:r>
          </w:p>
          <w:p>
            <w:pPr>
              <w:widowControl/>
              <w:jc w:val="center"/>
              <w:rPr>
                <w:rFonts w:hint="default" w:ascii="仿宋_GB2312" w:hAnsi="宋体" w:eastAsia="仿宋_GB2312" w:cs="宋体"/>
                <w:kern w:val="0"/>
                <w:sz w:val="20"/>
                <w:szCs w:val="20"/>
                <w:lang w:val="en-US" w:eastAsia="zh-CN"/>
              </w:rPr>
            </w:pPr>
            <w:r>
              <w:rPr>
                <w:rFonts w:hint="eastAsia" w:ascii="仿宋_GB2312" w:hAnsi="宋体" w:eastAsia="仿宋_GB2312" w:cs="宋体"/>
                <w:kern w:val="0"/>
                <w:sz w:val="20"/>
                <w:szCs w:val="20"/>
              </w:rPr>
              <w:t>“三公经费”实际支出数</w:t>
            </w:r>
            <w:r>
              <w:rPr>
                <w:rFonts w:hint="eastAsia" w:ascii="仿宋_GB2312" w:hAnsi="宋体" w:eastAsia="仿宋_GB2312" w:cs="宋体"/>
                <w:kern w:val="0"/>
                <w:sz w:val="20"/>
                <w:szCs w:val="20"/>
                <w:lang w:val="en-US" w:eastAsia="zh-CN"/>
              </w:rPr>
              <w:t>=14.71万元</w:t>
            </w:r>
          </w:p>
          <w:p>
            <w:pPr>
              <w:widowControl/>
              <w:jc w:val="center"/>
              <w:rPr>
                <w:rFonts w:hint="default"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（14.71/91.8）*100%=16.02%</w:t>
            </w:r>
          </w:p>
        </w:tc>
        <w:tc>
          <w:tcPr>
            <w:tcW w:w="913" w:type="dxa"/>
            <w:noWrap w:val="0"/>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1" w:hRule="atLeast"/>
          <w:jc w:val="center"/>
        </w:trPr>
        <w:tc>
          <w:tcPr>
            <w:tcW w:w="411" w:type="dxa"/>
            <w:vMerge w:val="continue"/>
            <w:noWrap w:val="0"/>
            <w:vAlign w:val="center"/>
          </w:tcPr>
          <w:p>
            <w:pPr>
              <w:jc w:val="center"/>
              <w:rPr>
                <w:rFonts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495" w:type="dxa"/>
            <w:vMerge w:val="continue"/>
            <w:tcBorders>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923"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政府</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采购</w:t>
            </w:r>
          </w:p>
        </w:tc>
        <w:tc>
          <w:tcPr>
            <w:tcW w:w="876"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2726" w:type="dxa"/>
            <w:noWrap w:val="0"/>
            <w:vAlign w:val="center"/>
          </w:tcPr>
          <w:p>
            <w:pPr>
              <w:widowControl/>
              <w:jc w:val="center"/>
              <w:rPr>
                <w:rFonts w:hint="eastAsia" w:ascii="仿宋_GB2312" w:hAnsi="宋体" w:eastAsia="仿宋_GB2312" w:cs="宋体"/>
                <w:kern w:val="0"/>
                <w:sz w:val="20"/>
                <w:szCs w:val="20"/>
              </w:rPr>
            </w:pPr>
            <w:r>
              <w:rPr>
                <w:rFonts w:hint="eastAsia" w:ascii="仿宋" w:hAnsi="仿宋" w:eastAsia="仿宋" w:cs="宋体"/>
                <w:kern w:val="0"/>
                <w:sz w:val="20"/>
                <w:szCs w:val="20"/>
              </w:rPr>
              <w:t>①编</w:t>
            </w:r>
            <w:r>
              <w:rPr>
                <w:rFonts w:hint="eastAsia" w:ascii="仿宋_GB2312" w:hAnsi="宋体" w:eastAsia="仿宋_GB2312" w:cs="宋体"/>
                <w:kern w:val="0"/>
                <w:sz w:val="20"/>
                <w:szCs w:val="20"/>
              </w:rPr>
              <w:t>制政府采购年度预算并上报的，0.5分；②追加并编制政府采购预算的，0.5分；</w:t>
            </w:r>
            <w:r>
              <w:rPr>
                <w:rFonts w:hint="eastAsia" w:ascii="仿宋" w:hAnsi="仿宋" w:eastAsia="仿宋" w:cs="宋体"/>
                <w:kern w:val="0"/>
                <w:sz w:val="20"/>
                <w:szCs w:val="20"/>
              </w:rPr>
              <w:t>③</w:t>
            </w:r>
            <w:r>
              <w:rPr>
                <w:rFonts w:hint="eastAsia" w:ascii="仿宋_GB2312" w:hAnsi="宋体" w:eastAsia="仿宋_GB2312" w:cs="宋体"/>
                <w:kern w:val="0"/>
                <w:sz w:val="20"/>
                <w:szCs w:val="20"/>
              </w:rPr>
              <w:t>政府采购执行率=100%，计1分；每少一个百分点扣0.1分，扣完为止。</w:t>
            </w:r>
          </w:p>
        </w:tc>
        <w:tc>
          <w:tcPr>
            <w:tcW w:w="3259" w:type="dxa"/>
            <w:noWrap w:val="0"/>
            <w:vAlign w:val="center"/>
          </w:tcPr>
          <w:p>
            <w:pPr>
              <w:widowControl/>
              <w:jc w:val="center"/>
              <w:rPr>
                <w:rFonts w:hint="default"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编制政府采购预算并上报，采购执行率100%</w:t>
            </w:r>
          </w:p>
        </w:tc>
        <w:tc>
          <w:tcPr>
            <w:tcW w:w="913" w:type="dxa"/>
            <w:noWrap w:val="0"/>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5" w:hRule="atLeast"/>
          <w:jc w:val="center"/>
        </w:trPr>
        <w:tc>
          <w:tcPr>
            <w:tcW w:w="411" w:type="dxa"/>
            <w:vMerge w:val="continue"/>
            <w:noWrap w:val="0"/>
            <w:vAlign w:val="center"/>
          </w:tcPr>
          <w:p>
            <w:pPr>
              <w:widowControl/>
              <w:jc w:val="center"/>
              <w:rPr>
                <w:rFonts w:ascii="仿宋_GB2312" w:hAnsi="宋体" w:eastAsia="仿宋_GB2312" w:cs="宋体"/>
                <w:kern w:val="0"/>
                <w:sz w:val="20"/>
                <w:szCs w:val="20"/>
              </w:rPr>
            </w:pPr>
          </w:p>
        </w:tc>
        <w:tc>
          <w:tcPr>
            <w:tcW w:w="429" w:type="dxa"/>
            <w:vMerge w:val="restart"/>
            <w:tcBorders>
              <w:top w:val="single" w:color="auto" w:sz="4" w:space="0"/>
              <w:right w:val="single" w:color="auto" w:sz="4" w:space="0"/>
            </w:tcBorders>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预算管理</w:t>
            </w:r>
          </w:p>
        </w:tc>
        <w:tc>
          <w:tcPr>
            <w:tcW w:w="495" w:type="dxa"/>
            <w:vMerge w:val="restart"/>
            <w:tcBorders>
              <w:top w:val="single" w:color="auto" w:sz="4" w:space="0"/>
              <w:left w:val="single" w:color="auto" w:sz="4" w:space="0"/>
            </w:tcBorders>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28</w:t>
            </w:r>
          </w:p>
        </w:tc>
        <w:tc>
          <w:tcPr>
            <w:tcW w:w="923" w:type="dxa"/>
            <w:tcBorders>
              <w:top w:val="single" w:color="auto" w:sz="4" w:space="0"/>
            </w:tcBorders>
            <w:noWrap w:val="0"/>
            <w:vAlign w:val="center"/>
          </w:tcPr>
          <w:p>
            <w:pPr>
              <w:widowControl/>
              <w:jc w:val="center"/>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管理  制度</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健全性</w:t>
            </w:r>
          </w:p>
        </w:tc>
        <w:tc>
          <w:tcPr>
            <w:tcW w:w="876" w:type="dxa"/>
            <w:tcBorders>
              <w:top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6</w:t>
            </w:r>
          </w:p>
          <w:p>
            <w:pPr>
              <w:widowControl/>
              <w:jc w:val="center"/>
              <w:rPr>
                <w:rFonts w:hint="eastAsia" w:ascii="仿宋_GB2312" w:hAnsi="宋体" w:eastAsia="仿宋_GB2312" w:cs="宋体"/>
                <w:kern w:val="0"/>
                <w:sz w:val="20"/>
                <w:szCs w:val="20"/>
              </w:rPr>
            </w:pPr>
          </w:p>
        </w:tc>
        <w:tc>
          <w:tcPr>
            <w:tcW w:w="2726" w:type="dxa"/>
            <w:tcBorders>
              <w:top w:val="single" w:color="auto" w:sz="4" w:space="0"/>
            </w:tcBorders>
            <w:noWrap w:val="0"/>
            <w:vAlign w:val="center"/>
          </w:tcPr>
          <w:p>
            <w:pPr>
              <w:widowControl/>
              <w:jc w:val="center"/>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①已制定资金管理办法、内部财务管理制度、会计核算制度等管理制度，1分；</w:t>
            </w:r>
          </w:p>
          <w:p>
            <w:pPr>
              <w:widowControl/>
              <w:jc w:val="center"/>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②建立健全单位内部控制制度，1分；</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③会计人员、机构按规定设置，1分；</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④会计基础工作健全，1分；</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⑤会计档案符合规定要求，1分；</w:t>
            </w:r>
          </w:p>
          <w:p>
            <w:pPr>
              <w:widowControl/>
              <w:jc w:val="center"/>
              <w:rPr>
                <w:rFonts w:hint="eastAsia" w:ascii="仿宋_GB2312" w:hAnsi="宋体" w:eastAsia="仿宋_GB2312" w:cs="宋体"/>
                <w:kern w:val="0"/>
                <w:sz w:val="20"/>
                <w:szCs w:val="20"/>
              </w:rPr>
            </w:pPr>
            <w:r>
              <w:rPr>
                <w:rFonts w:hint="eastAsia" w:ascii="仿宋_GB2312" w:hAnsi="仿宋" w:eastAsia="仿宋_GB2312" w:cs="仿宋"/>
                <w:kern w:val="0"/>
                <w:sz w:val="20"/>
                <w:szCs w:val="20"/>
              </w:rPr>
              <w:t>⑥项目管理规范（包括项目立项、申报、招投标、制度建立、按时完工等），1分，每发现少一项扣0.2分，扣完为止。</w:t>
            </w:r>
          </w:p>
        </w:tc>
        <w:tc>
          <w:tcPr>
            <w:tcW w:w="3259" w:type="dxa"/>
            <w:tcBorders>
              <w:top w:val="single" w:color="auto" w:sz="4" w:space="0"/>
            </w:tcBorders>
            <w:noWrap w:val="0"/>
            <w:vAlign w:val="center"/>
          </w:tcPr>
          <w:p>
            <w:pPr>
              <w:widowControl/>
              <w:jc w:val="center"/>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已制定资金管理办法、内部财务管理制度、会计核算等管理制度</w:t>
            </w:r>
            <w:r>
              <w:rPr>
                <w:rFonts w:hint="eastAsia" w:ascii="仿宋_GB2312" w:hAnsi="宋体" w:eastAsia="仿宋_GB2312" w:cs="宋体"/>
                <w:kern w:val="0"/>
                <w:sz w:val="20"/>
                <w:szCs w:val="20"/>
                <w:lang w:eastAsia="zh-CN"/>
              </w:rPr>
              <w:t>，</w:t>
            </w:r>
            <w:r>
              <w:rPr>
                <w:rFonts w:hint="eastAsia" w:ascii="仿宋_GB2312" w:hAnsi="宋体" w:eastAsia="仿宋_GB2312" w:cs="宋体"/>
                <w:kern w:val="0"/>
                <w:sz w:val="20"/>
                <w:szCs w:val="20"/>
              </w:rPr>
              <w:t>建立健全单位内部控制制度，会计人员、机构按</w:t>
            </w:r>
            <w:r>
              <w:rPr>
                <w:rFonts w:hint="eastAsia" w:ascii="仿宋_GB2312" w:hAnsi="宋体" w:eastAsia="仿宋_GB2312" w:cs="宋体"/>
                <w:kern w:val="0"/>
                <w:sz w:val="20"/>
                <w:szCs w:val="20"/>
                <w:lang w:eastAsia="zh-CN"/>
              </w:rPr>
              <w:t>规</w:t>
            </w:r>
            <w:r>
              <w:rPr>
                <w:rFonts w:hint="eastAsia" w:ascii="仿宋_GB2312" w:hAnsi="宋体" w:eastAsia="仿宋_GB2312" w:cs="宋体"/>
                <w:kern w:val="0"/>
                <w:sz w:val="20"/>
                <w:szCs w:val="20"/>
              </w:rPr>
              <w:t>定设置</w:t>
            </w:r>
            <w:r>
              <w:rPr>
                <w:rFonts w:hint="eastAsia" w:ascii="仿宋_GB2312" w:hAnsi="宋体" w:eastAsia="仿宋_GB2312" w:cs="宋体"/>
                <w:kern w:val="0"/>
                <w:sz w:val="20"/>
                <w:szCs w:val="20"/>
                <w:lang w:eastAsia="zh-CN"/>
              </w:rPr>
              <w:t>，</w:t>
            </w:r>
            <w:r>
              <w:rPr>
                <w:rFonts w:hint="eastAsia" w:ascii="仿宋_GB2312" w:hAnsi="宋体" w:eastAsia="仿宋_GB2312" w:cs="宋体"/>
                <w:kern w:val="0"/>
                <w:sz w:val="20"/>
                <w:szCs w:val="20"/>
              </w:rPr>
              <w:t>会计基础工作健全，会计档案符合规定要</w:t>
            </w:r>
            <w:r>
              <w:rPr>
                <w:rFonts w:hint="eastAsia" w:ascii="仿宋_GB2312" w:hAnsi="宋体" w:eastAsia="仿宋_GB2312" w:cs="宋体"/>
                <w:kern w:val="0"/>
                <w:sz w:val="20"/>
                <w:szCs w:val="20"/>
                <w:lang w:eastAsia="zh-CN"/>
              </w:rPr>
              <w:t>求，</w:t>
            </w:r>
            <w:r>
              <w:rPr>
                <w:rFonts w:hint="eastAsia" w:ascii="仿宋_GB2312" w:hAnsi="仿宋" w:eastAsia="仿宋_GB2312" w:cs="仿宋"/>
                <w:kern w:val="0"/>
                <w:sz w:val="20"/>
                <w:szCs w:val="20"/>
              </w:rPr>
              <w:t>项目管理规范</w:t>
            </w:r>
          </w:p>
        </w:tc>
        <w:tc>
          <w:tcPr>
            <w:tcW w:w="913" w:type="dxa"/>
            <w:tcBorders>
              <w:top w:val="single" w:color="auto" w:sz="4" w:space="0"/>
            </w:tcBorders>
            <w:noWrap w:val="0"/>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 w:hRule="atLeast"/>
          <w:jc w:val="center"/>
        </w:trPr>
        <w:tc>
          <w:tcPr>
            <w:tcW w:w="411" w:type="dxa"/>
            <w:vMerge w:val="continue"/>
            <w:noWrap w:val="0"/>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right w:val="single" w:color="auto" w:sz="4" w:space="0"/>
            </w:tcBorders>
            <w:noWrap w:val="0"/>
            <w:vAlign w:val="center"/>
          </w:tcPr>
          <w:p>
            <w:pPr>
              <w:jc w:val="center"/>
              <w:rPr>
                <w:rFonts w:hint="eastAsia" w:ascii="仿宋_GB2312" w:hAnsi="宋体" w:eastAsia="仿宋_GB2312" w:cs="宋体"/>
                <w:kern w:val="0"/>
                <w:sz w:val="20"/>
                <w:szCs w:val="20"/>
              </w:rPr>
            </w:pPr>
          </w:p>
        </w:tc>
        <w:tc>
          <w:tcPr>
            <w:tcW w:w="495" w:type="dxa"/>
            <w:vMerge w:val="continue"/>
            <w:tcBorders>
              <w:top w:val="single" w:color="auto" w:sz="4" w:space="0"/>
              <w:left w:val="single" w:color="auto" w:sz="4" w:space="0"/>
            </w:tcBorders>
            <w:noWrap w:val="0"/>
            <w:vAlign w:val="center"/>
          </w:tcPr>
          <w:p>
            <w:pPr>
              <w:jc w:val="center"/>
              <w:rPr>
                <w:rFonts w:hint="eastAsia" w:ascii="仿宋_GB2312" w:hAnsi="宋体" w:eastAsia="仿宋_GB2312" w:cs="宋体"/>
                <w:kern w:val="0"/>
                <w:sz w:val="20"/>
                <w:szCs w:val="20"/>
              </w:rPr>
            </w:pPr>
          </w:p>
        </w:tc>
        <w:tc>
          <w:tcPr>
            <w:tcW w:w="923" w:type="dxa"/>
            <w:tcBorders>
              <w:top w:val="single" w:color="auto" w:sz="4" w:space="0"/>
            </w:tcBorders>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内控制度情况</w:t>
            </w:r>
          </w:p>
        </w:tc>
        <w:tc>
          <w:tcPr>
            <w:tcW w:w="876" w:type="dxa"/>
            <w:tcBorders>
              <w:top w:val="single" w:color="auto" w:sz="4" w:space="0"/>
            </w:tcBorders>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4分</w:t>
            </w:r>
          </w:p>
        </w:tc>
        <w:tc>
          <w:tcPr>
            <w:tcW w:w="2726" w:type="dxa"/>
            <w:tcBorders>
              <w:top w:val="single" w:color="auto" w:sz="4" w:space="0"/>
            </w:tcBorders>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内部控制制度完全执行，4分，执行过程中，某个环节（节点）执行不到位的，每个环节（节点）扣1分，扣完为止。</w:t>
            </w:r>
          </w:p>
        </w:tc>
        <w:tc>
          <w:tcPr>
            <w:tcW w:w="3259" w:type="dxa"/>
            <w:tcBorders>
              <w:top w:val="single" w:color="auto" w:sz="4" w:space="0"/>
            </w:tcBorders>
            <w:noWrap w:val="0"/>
            <w:vAlign w:val="center"/>
          </w:tcPr>
          <w:p>
            <w:pPr>
              <w:widowControl/>
              <w:jc w:val="center"/>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内部控制制度</w:t>
            </w:r>
            <w:r>
              <w:rPr>
                <w:rFonts w:hint="eastAsia" w:ascii="仿宋_GB2312" w:hAnsi="宋体" w:eastAsia="仿宋_GB2312" w:cs="宋体"/>
                <w:kern w:val="0"/>
                <w:sz w:val="20"/>
                <w:szCs w:val="20"/>
                <w:lang w:eastAsia="zh-CN"/>
              </w:rPr>
              <w:t>按规定</w:t>
            </w:r>
            <w:r>
              <w:rPr>
                <w:rFonts w:hint="eastAsia" w:ascii="仿宋_GB2312" w:hAnsi="宋体" w:eastAsia="仿宋_GB2312" w:cs="宋体"/>
                <w:kern w:val="0"/>
                <w:sz w:val="20"/>
                <w:szCs w:val="20"/>
              </w:rPr>
              <w:t>完全执行</w:t>
            </w:r>
          </w:p>
        </w:tc>
        <w:tc>
          <w:tcPr>
            <w:tcW w:w="913" w:type="dxa"/>
            <w:tcBorders>
              <w:top w:val="single" w:color="auto" w:sz="4" w:space="0"/>
            </w:tcBorders>
            <w:noWrap w:val="0"/>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7" w:hRule="atLeast"/>
          <w:jc w:val="center"/>
        </w:trPr>
        <w:tc>
          <w:tcPr>
            <w:tcW w:w="411" w:type="dxa"/>
            <w:vMerge w:val="restart"/>
            <w:tcBorders>
              <w:top w:val="nil"/>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过程</w:t>
            </w:r>
          </w:p>
        </w:tc>
        <w:tc>
          <w:tcPr>
            <w:tcW w:w="429" w:type="dxa"/>
            <w:vMerge w:val="continue"/>
            <w:tcBorders>
              <w:right w:val="single" w:color="auto" w:sz="4" w:space="0"/>
            </w:tcBorders>
            <w:noWrap w:val="0"/>
            <w:vAlign w:val="center"/>
          </w:tcPr>
          <w:p>
            <w:pPr>
              <w:jc w:val="center"/>
              <w:rPr>
                <w:rFonts w:hint="eastAsia" w:ascii="仿宋_GB2312" w:hAnsi="宋体" w:eastAsia="仿宋_GB2312" w:cs="宋体"/>
                <w:kern w:val="0"/>
                <w:sz w:val="20"/>
                <w:szCs w:val="20"/>
              </w:rPr>
            </w:pPr>
          </w:p>
        </w:tc>
        <w:tc>
          <w:tcPr>
            <w:tcW w:w="495" w:type="dxa"/>
            <w:vMerge w:val="continue"/>
            <w:tcBorders>
              <w:left w:val="single" w:color="auto" w:sz="4" w:space="0"/>
            </w:tcBorders>
            <w:noWrap w:val="0"/>
            <w:vAlign w:val="center"/>
          </w:tcPr>
          <w:p>
            <w:pPr>
              <w:jc w:val="center"/>
              <w:rPr>
                <w:rFonts w:hint="eastAsia" w:ascii="仿宋_GB2312" w:hAnsi="宋体" w:eastAsia="仿宋_GB2312" w:cs="宋体"/>
                <w:kern w:val="0"/>
                <w:sz w:val="20"/>
                <w:szCs w:val="20"/>
              </w:rPr>
            </w:pPr>
          </w:p>
        </w:tc>
        <w:tc>
          <w:tcPr>
            <w:tcW w:w="923" w:type="dxa"/>
            <w:noWrap w:val="0"/>
            <w:vAlign w:val="center"/>
          </w:tcPr>
          <w:p>
            <w:pPr>
              <w:widowControl/>
              <w:jc w:val="center"/>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资金  使用</w:t>
            </w:r>
          </w:p>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合规性</w:t>
            </w:r>
          </w:p>
        </w:tc>
        <w:tc>
          <w:tcPr>
            <w:tcW w:w="876"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14</w:t>
            </w:r>
          </w:p>
        </w:tc>
        <w:tc>
          <w:tcPr>
            <w:tcW w:w="2726" w:type="dxa"/>
            <w:noWrap w:val="0"/>
            <w:vAlign w:val="center"/>
          </w:tcPr>
          <w:p>
            <w:pPr>
              <w:widowControl/>
              <w:jc w:val="center"/>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①支出符合国家财经法规和财务管理制度规定以及有关专项资金管理办法的规定；</w:t>
            </w:r>
          </w:p>
          <w:p>
            <w:pPr>
              <w:widowControl/>
              <w:jc w:val="center"/>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②资金（开支）拨付有完整的审批程序和手续；</w:t>
            </w:r>
          </w:p>
          <w:p>
            <w:pPr>
              <w:widowControl/>
              <w:jc w:val="center"/>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③支出符合部门预算批复的用途；</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④资金使用无截留、挤占、挪用、虚列支出、随意借用、大额现金支付等情况。</w:t>
            </w:r>
          </w:p>
          <w:p>
            <w:pPr>
              <w:widowControl/>
              <w:jc w:val="center"/>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⑤</w:t>
            </w:r>
            <w:r>
              <w:rPr>
                <w:rFonts w:hint="eastAsia" w:ascii="仿宋_GB2312" w:hAnsi="仿宋" w:eastAsia="仿宋_GB2312" w:cs="仿宋"/>
                <w:kern w:val="0"/>
                <w:sz w:val="20"/>
                <w:szCs w:val="20"/>
              </w:rPr>
              <w:t>重大财务事项经由集体研究决策；</w:t>
            </w:r>
          </w:p>
          <w:p>
            <w:pPr>
              <w:widowControl/>
              <w:jc w:val="center"/>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⑥</w:t>
            </w:r>
            <w:r>
              <w:rPr>
                <w:rFonts w:hint="eastAsia" w:ascii="仿宋_GB2312" w:hAnsi="仿宋" w:eastAsia="仿宋_GB2312" w:cs="仿宋"/>
                <w:kern w:val="0"/>
                <w:sz w:val="20"/>
                <w:szCs w:val="20"/>
              </w:rPr>
              <w:t>专项资金做到专款专用；</w:t>
            </w:r>
          </w:p>
          <w:p>
            <w:pPr>
              <w:widowControl/>
              <w:jc w:val="center"/>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⑦</w:t>
            </w:r>
            <w:r>
              <w:rPr>
                <w:rFonts w:hint="eastAsia" w:ascii="仿宋_GB2312" w:hAnsi="仿宋" w:eastAsia="仿宋_GB2312" w:cs="仿宋"/>
                <w:kern w:val="0"/>
                <w:sz w:val="20"/>
                <w:szCs w:val="20"/>
              </w:rPr>
              <w:t>原始凭证的取得真实有效；</w:t>
            </w:r>
          </w:p>
          <w:p>
            <w:pPr>
              <w:widowControl/>
              <w:jc w:val="center"/>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⑧</w:t>
            </w:r>
            <w:r>
              <w:rPr>
                <w:rFonts w:hint="eastAsia" w:ascii="仿宋_GB2312" w:hAnsi="仿宋" w:eastAsia="仿宋_GB2312" w:cs="仿宋"/>
                <w:kern w:val="0"/>
                <w:sz w:val="20"/>
                <w:szCs w:val="20"/>
              </w:rPr>
              <w:t>无超范围、超预算开支；</w:t>
            </w:r>
          </w:p>
          <w:p>
            <w:pPr>
              <w:widowControl/>
              <w:jc w:val="center"/>
              <w:rPr>
                <w:rFonts w:hint="eastAsia" w:ascii="仿宋_GB2312" w:hAnsi="仿宋" w:eastAsia="仿宋_GB2312" w:cs="仿宋"/>
                <w:kern w:val="0"/>
                <w:sz w:val="20"/>
                <w:szCs w:val="20"/>
                <w:lang w:eastAsia="zh-CN"/>
              </w:rPr>
            </w:pPr>
            <w:r>
              <w:rPr>
                <w:rFonts w:hint="eastAsia" w:ascii="仿宋" w:hAnsi="仿宋" w:eastAsia="仿宋" w:cs="仿宋"/>
                <w:kern w:val="0"/>
                <w:sz w:val="20"/>
                <w:szCs w:val="20"/>
              </w:rPr>
              <w:t>⑨</w:t>
            </w:r>
            <w:r>
              <w:rPr>
                <w:rFonts w:hint="eastAsia" w:ascii="仿宋_GB2312" w:hAnsi="仿宋" w:eastAsia="仿宋_GB2312" w:cs="仿宋"/>
                <w:kern w:val="0"/>
                <w:sz w:val="20"/>
                <w:szCs w:val="20"/>
              </w:rPr>
              <w:t>无超标准发放津补贴、奖金，无用公款支付应由个人支付的款项。</w:t>
            </w:r>
          </w:p>
          <w:p>
            <w:pPr>
              <w:widowControl/>
              <w:jc w:val="center"/>
              <w:rPr>
                <w:rFonts w:ascii="仿宋_GB2312" w:hAnsi="宋体" w:eastAsia="仿宋_GB2312" w:cs="宋体"/>
                <w:kern w:val="0"/>
                <w:sz w:val="20"/>
                <w:szCs w:val="20"/>
              </w:rPr>
            </w:pPr>
            <w:r>
              <w:rPr>
                <w:rFonts w:hint="eastAsia" w:ascii="仿宋_GB2312" w:hAnsi="仿宋" w:eastAsia="仿宋_GB2312" w:cs="仿宋"/>
                <w:kern w:val="0"/>
                <w:sz w:val="20"/>
                <w:szCs w:val="20"/>
              </w:rPr>
              <w:t>以上情况每出现一例不</w:t>
            </w:r>
            <w:r>
              <w:rPr>
                <w:rFonts w:hint="eastAsia" w:ascii="仿宋_GB2312" w:hAnsi="宋体" w:eastAsia="仿宋_GB2312" w:cs="宋体"/>
                <w:kern w:val="0"/>
                <w:sz w:val="20"/>
                <w:szCs w:val="20"/>
              </w:rPr>
              <w:t>符合要求的扣2分，扣完为止。</w:t>
            </w:r>
          </w:p>
        </w:tc>
        <w:tc>
          <w:tcPr>
            <w:tcW w:w="3259" w:type="dxa"/>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①</w:t>
            </w:r>
            <w:r>
              <w:rPr>
                <w:rFonts w:hint="eastAsia" w:ascii="仿宋_GB2312" w:hAnsi="宋体" w:eastAsia="仿宋_GB2312" w:cs="宋体"/>
                <w:kern w:val="0"/>
                <w:sz w:val="20"/>
                <w:szCs w:val="20"/>
                <w:lang w:eastAsia="zh-CN"/>
              </w:rPr>
              <w:t>单位</w:t>
            </w:r>
            <w:r>
              <w:rPr>
                <w:rFonts w:hint="eastAsia" w:ascii="仿宋_GB2312" w:hAnsi="宋体" w:eastAsia="仿宋_GB2312" w:cs="宋体"/>
                <w:kern w:val="0"/>
                <w:sz w:val="20"/>
                <w:szCs w:val="20"/>
              </w:rPr>
              <w:t>支出符合国家财经法规和财务管理制度规定以及有关专项资金管理办法的规定；</w:t>
            </w:r>
          </w:p>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②资金（开支）拨付有完整的审批程序和手续；</w:t>
            </w:r>
          </w:p>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③支出符合部门预算批复的用途；</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④资金使用无截留、挤占、挪用、虚列支出、随意借用、大额现金支付等情况。</w:t>
            </w:r>
          </w:p>
          <w:p>
            <w:pPr>
              <w:widowControl/>
              <w:jc w:val="left"/>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⑤</w:t>
            </w:r>
            <w:r>
              <w:rPr>
                <w:rFonts w:hint="eastAsia" w:ascii="仿宋_GB2312" w:hAnsi="仿宋" w:eastAsia="仿宋_GB2312" w:cs="仿宋"/>
                <w:kern w:val="0"/>
                <w:sz w:val="20"/>
                <w:szCs w:val="20"/>
              </w:rPr>
              <w:t>重大财务事项经由集体研究决策；</w:t>
            </w:r>
          </w:p>
          <w:p>
            <w:pPr>
              <w:widowControl/>
              <w:jc w:val="left"/>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⑥</w:t>
            </w:r>
            <w:r>
              <w:rPr>
                <w:rFonts w:hint="eastAsia" w:ascii="仿宋_GB2312" w:hAnsi="仿宋" w:eastAsia="仿宋_GB2312" w:cs="仿宋"/>
                <w:kern w:val="0"/>
                <w:sz w:val="20"/>
                <w:szCs w:val="20"/>
              </w:rPr>
              <w:t>专项资金做到专款专用；</w:t>
            </w:r>
          </w:p>
          <w:p>
            <w:pPr>
              <w:widowControl/>
              <w:jc w:val="left"/>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⑦</w:t>
            </w:r>
            <w:r>
              <w:rPr>
                <w:rFonts w:hint="eastAsia" w:ascii="仿宋_GB2312" w:hAnsi="仿宋" w:eastAsia="仿宋_GB2312" w:cs="仿宋"/>
                <w:kern w:val="0"/>
                <w:sz w:val="20"/>
                <w:szCs w:val="20"/>
              </w:rPr>
              <w:t>原始凭证的取得真实有效；</w:t>
            </w:r>
          </w:p>
          <w:p>
            <w:pPr>
              <w:widowControl/>
              <w:jc w:val="left"/>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⑧</w:t>
            </w:r>
            <w:r>
              <w:rPr>
                <w:rFonts w:hint="eastAsia" w:ascii="仿宋_GB2312" w:hAnsi="仿宋" w:eastAsia="仿宋_GB2312" w:cs="仿宋"/>
                <w:kern w:val="0"/>
                <w:sz w:val="20"/>
                <w:szCs w:val="20"/>
              </w:rPr>
              <w:t>无超范围、超预算开支；</w:t>
            </w:r>
          </w:p>
          <w:p>
            <w:pPr>
              <w:widowControl/>
              <w:jc w:val="left"/>
              <w:rPr>
                <w:rFonts w:hint="eastAsia" w:ascii="仿宋_GB2312" w:hAnsi="仿宋" w:eastAsia="仿宋_GB2312" w:cs="仿宋"/>
                <w:kern w:val="0"/>
                <w:sz w:val="20"/>
                <w:szCs w:val="20"/>
                <w:lang w:eastAsia="zh-CN"/>
              </w:rPr>
            </w:pPr>
            <w:r>
              <w:rPr>
                <w:rFonts w:hint="eastAsia" w:ascii="仿宋" w:hAnsi="仿宋" w:eastAsia="仿宋" w:cs="仿宋"/>
                <w:kern w:val="0"/>
                <w:sz w:val="20"/>
                <w:szCs w:val="20"/>
              </w:rPr>
              <w:t>⑨</w:t>
            </w:r>
            <w:r>
              <w:rPr>
                <w:rFonts w:hint="eastAsia" w:ascii="仿宋_GB2312" w:hAnsi="仿宋" w:eastAsia="仿宋_GB2312" w:cs="仿宋"/>
                <w:kern w:val="0"/>
                <w:sz w:val="20"/>
                <w:szCs w:val="20"/>
              </w:rPr>
              <w:t>无超标准发放津补贴、奖金，无用公款支付应由个人支付的款项。</w:t>
            </w:r>
          </w:p>
          <w:p>
            <w:pPr>
              <w:widowControl/>
              <w:jc w:val="left"/>
              <w:rPr>
                <w:rFonts w:hint="eastAsia" w:ascii="仿宋_GB2312" w:hAnsi="仿宋" w:eastAsia="仿宋_GB2312" w:cs="仿宋"/>
                <w:kern w:val="0"/>
                <w:sz w:val="20"/>
                <w:szCs w:val="20"/>
                <w:lang w:eastAsia="zh-CN"/>
              </w:rPr>
            </w:pPr>
          </w:p>
        </w:tc>
        <w:tc>
          <w:tcPr>
            <w:tcW w:w="913" w:type="dxa"/>
            <w:noWrap w:val="0"/>
            <w:vAlign w:val="center"/>
          </w:tcPr>
          <w:p>
            <w:pPr>
              <w:widowControl/>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6" w:hRule="atLeast"/>
          <w:jc w:val="center"/>
        </w:trPr>
        <w:tc>
          <w:tcPr>
            <w:tcW w:w="411" w:type="dxa"/>
            <w:vMerge w:val="continue"/>
            <w:tcBorders>
              <w:top w:val="nil"/>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p>
        </w:tc>
        <w:tc>
          <w:tcPr>
            <w:tcW w:w="495" w:type="dxa"/>
            <w:vMerge w:val="continue"/>
            <w:tcBorders>
              <w:left w:val="single" w:color="auto" w:sz="4" w:space="0"/>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923" w:type="dxa"/>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预决算信息公开性和完善性</w:t>
            </w:r>
          </w:p>
        </w:tc>
        <w:tc>
          <w:tcPr>
            <w:tcW w:w="876" w:type="dxa"/>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4</w:t>
            </w:r>
          </w:p>
        </w:tc>
        <w:tc>
          <w:tcPr>
            <w:tcW w:w="2726" w:type="dxa"/>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①按规定内容公开预决算信息，1分；②按规定时限公开预决算信息，1分；③基础数据信息和会计信息资料真实、完整，1分；</w:t>
            </w:r>
            <w:r>
              <w:rPr>
                <w:rFonts w:hint="eastAsia" w:ascii="微软雅黑" w:hAnsi="微软雅黑" w:eastAsia="微软雅黑" w:cs="宋体"/>
                <w:kern w:val="0"/>
                <w:sz w:val="20"/>
                <w:szCs w:val="20"/>
              </w:rPr>
              <w:t>④</w:t>
            </w:r>
            <w:r>
              <w:rPr>
                <w:rFonts w:hint="eastAsia" w:ascii="仿宋_GB2312" w:hAnsi="宋体" w:eastAsia="仿宋_GB2312" w:cs="宋体"/>
                <w:kern w:val="0"/>
                <w:sz w:val="20"/>
                <w:szCs w:val="20"/>
              </w:rPr>
              <w:t>基础数据信息和汇集信息资料准确，1分。</w:t>
            </w:r>
          </w:p>
        </w:tc>
        <w:tc>
          <w:tcPr>
            <w:tcW w:w="3259" w:type="dxa"/>
            <w:noWrap w:val="0"/>
            <w:vAlign w:val="center"/>
          </w:tcPr>
          <w:p>
            <w:pPr>
              <w:widowControl/>
              <w:jc w:val="center"/>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lang w:eastAsia="zh-CN"/>
              </w:rPr>
              <w:t>按规定公开预算决算，</w:t>
            </w:r>
            <w:r>
              <w:rPr>
                <w:rFonts w:hint="eastAsia" w:ascii="仿宋_GB2312" w:hAnsi="宋体" w:eastAsia="仿宋_GB2312" w:cs="宋体"/>
                <w:kern w:val="0"/>
                <w:sz w:val="20"/>
                <w:szCs w:val="20"/>
              </w:rPr>
              <w:t>基础数据信息和会计信息资料真实、完整</w:t>
            </w:r>
          </w:p>
        </w:tc>
        <w:tc>
          <w:tcPr>
            <w:tcW w:w="913" w:type="dxa"/>
            <w:noWrap w:val="0"/>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jc w:val="center"/>
        </w:trPr>
        <w:tc>
          <w:tcPr>
            <w:tcW w:w="411" w:type="dxa"/>
            <w:vMerge w:val="continue"/>
            <w:tcBorders>
              <w:top w:val="nil"/>
            </w:tcBorders>
            <w:noWrap w:val="0"/>
            <w:vAlign w:val="center"/>
          </w:tcPr>
          <w:p>
            <w:pPr>
              <w:widowControl/>
              <w:jc w:val="center"/>
              <w:rPr>
                <w:rFonts w:ascii="仿宋_GB2312" w:hAnsi="宋体" w:eastAsia="仿宋_GB2312" w:cs="宋体"/>
                <w:kern w:val="0"/>
                <w:sz w:val="20"/>
                <w:szCs w:val="20"/>
              </w:rPr>
            </w:pPr>
          </w:p>
        </w:tc>
        <w:tc>
          <w:tcPr>
            <w:tcW w:w="429" w:type="dxa"/>
            <w:vMerge w:val="restart"/>
            <w:tcBorders>
              <w:top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资产管理</w:t>
            </w:r>
          </w:p>
        </w:tc>
        <w:tc>
          <w:tcPr>
            <w:tcW w:w="495" w:type="dxa"/>
            <w:vMerge w:val="restart"/>
            <w:tcBorders>
              <w:top w:val="single" w:color="auto" w:sz="4" w:space="0"/>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w:t>
            </w:r>
          </w:p>
        </w:tc>
        <w:tc>
          <w:tcPr>
            <w:tcW w:w="923" w:type="dxa"/>
            <w:noWrap w:val="0"/>
            <w:vAlign w:val="center"/>
          </w:tcPr>
          <w:p>
            <w:pPr>
              <w:widowControl/>
              <w:jc w:val="center"/>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管理  制度</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健全性</w:t>
            </w:r>
          </w:p>
        </w:tc>
        <w:tc>
          <w:tcPr>
            <w:tcW w:w="876"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2726" w:type="dxa"/>
            <w:noWrap w:val="0"/>
            <w:vAlign w:val="center"/>
          </w:tcPr>
          <w:p>
            <w:pPr>
              <w:widowControl/>
              <w:jc w:val="center"/>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①已制定资产管理制度，1分；</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②相关资产管理制度得到有效执行，1分。</w:t>
            </w:r>
          </w:p>
        </w:tc>
        <w:tc>
          <w:tcPr>
            <w:tcW w:w="3259" w:type="dxa"/>
            <w:noWrap w:val="0"/>
            <w:vAlign w:val="center"/>
          </w:tcPr>
          <w:p>
            <w:pPr>
              <w:widowControl/>
              <w:jc w:val="center"/>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lang w:eastAsia="zh-CN"/>
              </w:rPr>
              <w:t>已制定</w:t>
            </w:r>
            <w:r>
              <w:rPr>
                <w:rFonts w:hint="eastAsia" w:ascii="仿宋_GB2312" w:hAnsi="宋体" w:eastAsia="仿宋_GB2312" w:cs="宋体"/>
                <w:kern w:val="0"/>
                <w:sz w:val="20"/>
                <w:szCs w:val="20"/>
              </w:rPr>
              <w:t>资产管理</w:t>
            </w:r>
            <w:r>
              <w:rPr>
                <w:rFonts w:hint="eastAsia" w:ascii="仿宋_GB2312" w:hAnsi="宋体" w:eastAsia="仿宋_GB2312" w:cs="宋体"/>
                <w:kern w:val="0"/>
                <w:sz w:val="20"/>
                <w:szCs w:val="20"/>
                <w:lang w:eastAsia="zh-CN"/>
              </w:rPr>
              <w:t>及相关资产管理</w:t>
            </w:r>
            <w:r>
              <w:rPr>
                <w:rFonts w:hint="eastAsia" w:ascii="仿宋_GB2312" w:hAnsi="宋体" w:eastAsia="仿宋_GB2312" w:cs="宋体"/>
                <w:kern w:val="0"/>
                <w:sz w:val="20"/>
                <w:szCs w:val="20"/>
              </w:rPr>
              <w:t>制度</w:t>
            </w:r>
          </w:p>
        </w:tc>
        <w:tc>
          <w:tcPr>
            <w:tcW w:w="913" w:type="dxa"/>
            <w:noWrap w:val="0"/>
            <w:vAlign w:val="center"/>
          </w:tcPr>
          <w:p>
            <w:pPr>
              <w:widowControl/>
              <w:jc w:val="center"/>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3" w:hRule="atLeast"/>
          <w:jc w:val="center"/>
        </w:trPr>
        <w:tc>
          <w:tcPr>
            <w:tcW w:w="411" w:type="dxa"/>
            <w:vMerge w:val="continue"/>
            <w:tcBorders>
              <w:top w:val="nil"/>
            </w:tcBorders>
            <w:noWrap w:val="0"/>
            <w:vAlign w:val="center"/>
          </w:tcPr>
          <w:p>
            <w:pPr>
              <w:widowControl/>
              <w:jc w:val="center"/>
              <w:rPr>
                <w:rFonts w:hint="eastAsia" w:ascii="仿宋_GB2312" w:hAnsi="宋体" w:eastAsia="仿宋_GB2312" w:cs="宋体"/>
                <w:kern w:val="0"/>
                <w:sz w:val="20"/>
                <w:szCs w:val="20"/>
              </w:rPr>
            </w:pPr>
          </w:p>
        </w:tc>
        <w:tc>
          <w:tcPr>
            <w:tcW w:w="429" w:type="dxa"/>
            <w:vMerge w:val="continue"/>
            <w:tcBorders>
              <w:top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495" w:type="dxa"/>
            <w:vMerge w:val="continue"/>
            <w:tcBorders>
              <w:top w:val="single" w:color="auto" w:sz="4" w:space="0"/>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923" w:type="dxa"/>
            <w:noWrap w:val="0"/>
            <w:vAlign w:val="center"/>
          </w:tcPr>
          <w:p>
            <w:pPr>
              <w:widowControl/>
              <w:jc w:val="center"/>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资产  管理</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安全性</w:t>
            </w:r>
          </w:p>
        </w:tc>
        <w:tc>
          <w:tcPr>
            <w:tcW w:w="876"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16</w:t>
            </w:r>
          </w:p>
        </w:tc>
        <w:tc>
          <w:tcPr>
            <w:tcW w:w="2726" w:type="dxa"/>
            <w:noWrap w:val="0"/>
            <w:vAlign w:val="center"/>
          </w:tcPr>
          <w:p>
            <w:pPr>
              <w:widowControl/>
              <w:jc w:val="center"/>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 xml:space="preserve">①资产保存完整；②资产配置合理；③资产处置规范； </w:t>
            </w:r>
          </w:p>
          <w:p>
            <w:pPr>
              <w:widowControl/>
              <w:jc w:val="center"/>
              <w:rPr>
                <w:rFonts w:hint="eastAsia" w:ascii="仿宋_GB2312" w:hAnsi="仿宋" w:eastAsia="仿宋_GB2312" w:cs="仿宋"/>
                <w:kern w:val="0"/>
                <w:sz w:val="20"/>
                <w:szCs w:val="20"/>
                <w:lang w:eastAsia="zh-CN"/>
              </w:rPr>
            </w:pPr>
            <w:r>
              <w:rPr>
                <w:rFonts w:hint="eastAsia" w:ascii="仿宋_GB2312" w:hAnsi="宋体" w:eastAsia="仿宋_GB2312" w:cs="宋体"/>
                <w:kern w:val="0"/>
                <w:sz w:val="20"/>
                <w:szCs w:val="20"/>
              </w:rPr>
              <w:t>④资产账务管理合规，帐实帐卡、账账、账表（决算报表等）相符；⑤资产有偿使用及处置收入及时足额上缴；</w:t>
            </w:r>
            <w:r>
              <w:rPr>
                <w:rFonts w:hint="eastAsia" w:ascii="仿宋_GB2312" w:hAnsi="仿宋" w:eastAsia="仿宋_GB2312" w:cs="仿宋"/>
                <w:kern w:val="0"/>
                <w:sz w:val="20"/>
                <w:szCs w:val="20"/>
              </w:rPr>
              <w:t>⑥清查盘点：每年至少清查盘点一次；⑦产权明晰，权证齐全；⑧按标准购置固定资产。</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以上情况每出现一例不符合要求的扣2分；</w:t>
            </w:r>
            <w:r>
              <w:rPr>
                <w:rFonts w:hint="eastAsia" w:ascii="微软雅黑" w:hAnsi="微软雅黑" w:eastAsia="微软雅黑" w:cs="宋体"/>
                <w:kern w:val="0"/>
                <w:sz w:val="20"/>
                <w:szCs w:val="20"/>
              </w:rPr>
              <w:t>⑨未</w:t>
            </w:r>
            <w:r>
              <w:rPr>
                <w:rFonts w:hint="eastAsia" w:ascii="仿宋_GB2312" w:hAnsi="宋体" w:eastAsia="仿宋_GB2312" w:cs="宋体"/>
                <w:kern w:val="0"/>
                <w:sz w:val="20"/>
                <w:szCs w:val="20"/>
              </w:rPr>
              <w:t>按时报送201</w:t>
            </w:r>
            <w:r>
              <w:rPr>
                <w:rFonts w:hint="eastAsia" w:ascii="仿宋_GB2312" w:hAnsi="宋体" w:eastAsia="仿宋_GB2312" w:cs="宋体"/>
                <w:kern w:val="0"/>
                <w:sz w:val="20"/>
                <w:szCs w:val="20"/>
                <w:lang w:val="en-US" w:eastAsia="zh-CN"/>
              </w:rPr>
              <w:t>9</w:t>
            </w:r>
            <w:r>
              <w:rPr>
                <w:rFonts w:hint="eastAsia" w:ascii="仿宋_GB2312" w:hAnsi="宋体" w:eastAsia="仿宋_GB2312" w:cs="宋体"/>
                <w:kern w:val="0"/>
                <w:sz w:val="20"/>
                <w:szCs w:val="20"/>
              </w:rPr>
              <w:t>年行政事业单位资产报表的，每延迟一天，扣1分，扣完为止。</w:t>
            </w:r>
          </w:p>
        </w:tc>
        <w:tc>
          <w:tcPr>
            <w:tcW w:w="3259" w:type="dxa"/>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 xml:space="preserve">①资产保存完整；②资产配置合理；③资产处置规范； </w:t>
            </w:r>
          </w:p>
          <w:p>
            <w:pPr>
              <w:widowControl/>
              <w:jc w:val="left"/>
              <w:rPr>
                <w:rFonts w:hint="eastAsia" w:ascii="仿宋_GB2312" w:hAnsi="仿宋" w:eastAsia="仿宋_GB2312" w:cs="仿宋"/>
                <w:kern w:val="0"/>
                <w:sz w:val="20"/>
                <w:szCs w:val="20"/>
                <w:lang w:eastAsia="zh-CN"/>
              </w:rPr>
            </w:pPr>
            <w:r>
              <w:rPr>
                <w:rFonts w:hint="eastAsia" w:ascii="仿宋_GB2312" w:hAnsi="宋体" w:eastAsia="仿宋_GB2312" w:cs="宋体"/>
                <w:kern w:val="0"/>
                <w:sz w:val="20"/>
                <w:szCs w:val="20"/>
              </w:rPr>
              <w:t>④资产账务管理合规，帐实帐卡、账账、账表（决算报表等）相符；⑤资产有偿使用及处置收入及时足额上缴；</w:t>
            </w:r>
            <w:r>
              <w:rPr>
                <w:rFonts w:hint="eastAsia" w:ascii="仿宋_GB2312" w:hAnsi="仿宋" w:eastAsia="仿宋_GB2312" w:cs="仿宋"/>
                <w:kern w:val="0"/>
                <w:sz w:val="20"/>
                <w:szCs w:val="20"/>
              </w:rPr>
              <w:t>⑥清查盘点：每年至少清查盘点一次；⑦产权明晰，权证齐全；⑧按标准购置固定资产。</w:t>
            </w:r>
          </w:p>
          <w:p>
            <w:pPr>
              <w:widowControl/>
              <w:jc w:val="left"/>
              <w:rPr>
                <w:rFonts w:hint="eastAsia" w:ascii="仿宋_GB2312" w:hAnsi="宋体" w:eastAsia="仿宋_GB2312" w:cs="宋体"/>
                <w:kern w:val="0"/>
                <w:sz w:val="20"/>
                <w:szCs w:val="20"/>
                <w:lang w:val="en-US" w:eastAsia="zh-CN" w:bidi="ar-SA"/>
              </w:rPr>
            </w:pPr>
            <w:r>
              <w:rPr>
                <w:rFonts w:hint="eastAsia" w:ascii="微软雅黑" w:hAnsi="微软雅黑" w:eastAsia="微软雅黑" w:cs="宋体"/>
                <w:kern w:val="0"/>
                <w:sz w:val="20"/>
                <w:szCs w:val="20"/>
              </w:rPr>
              <w:t>⑨</w:t>
            </w:r>
            <w:r>
              <w:rPr>
                <w:rFonts w:hint="eastAsia" w:ascii="仿宋_GB2312" w:hAnsi="宋体" w:eastAsia="仿宋_GB2312" w:cs="宋体"/>
                <w:kern w:val="0"/>
                <w:sz w:val="20"/>
                <w:szCs w:val="20"/>
              </w:rPr>
              <w:t>按时报送201</w:t>
            </w:r>
            <w:r>
              <w:rPr>
                <w:rFonts w:hint="eastAsia" w:ascii="仿宋_GB2312" w:hAnsi="宋体" w:eastAsia="仿宋_GB2312" w:cs="宋体"/>
                <w:kern w:val="0"/>
                <w:sz w:val="20"/>
                <w:szCs w:val="20"/>
                <w:lang w:val="en-US" w:eastAsia="zh-CN"/>
              </w:rPr>
              <w:t>9</w:t>
            </w:r>
            <w:r>
              <w:rPr>
                <w:rFonts w:hint="eastAsia" w:ascii="仿宋_GB2312" w:hAnsi="宋体" w:eastAsia="仿宋_GB2312" w:cs="宋体"/>
                <w:kern w:val="0"/>
                <w:sz w:val="20"/>
                <w:szCs w:val="20"/>
              </w:rPr>
              <w:t>年行政事业单位资产报表</w:t>
            </w:r>
            <w:r>
              <w:rPr>
                <w:rFonts w:hint="eastAsia" w:ascii="仿宋_GB2312" w:hAnsi="宋体" w:eastAsia="仿宋_GB2312" w:cs="宋体"/>
                <w:kern w:val="0"/>
                <w:sz w:val="20"/>
                <w:szCs w:val="20"/>
                <w:lang w:eastAsia="zh-CN"/>
              </w:rPr>
              <w:t>。</w:t>
            </w:r>
          </w:p>
        </w:tc>
        <w:tc>
          <w:tcPr>
            <w:tcW w:w="913" w:type="dxa"/>
            <w:noWrap w:val="0"/>
            <w:vAlign w:val="center"/>
          </w:tcPr>
          <w:p>
            <w:pPr>
              <w:widowControl/>
              <w:jc w:val="center"/>
              <w:rPr>
                <w:rFonts w:hint="default"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411" w:type="dxa"/>
            <w:vMerge w:val="continue"/>
            <w:tcBorders>
              <w:top w:val="nil"/>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495" w:type="dxa"/>
            <w:vMerge w:val="continue"/>
            <w:tcBorders>
              <w:top w:val="single" w:color="auto" w:sz="4" w:space="0"/>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923" w:type="dxa"/>
            <w:noWrap w:val="0"/>
            <w:vAlign w:val="center"/>
          </w:tcPr>
          <w:p>
            <w:pPr>
              <w:widowControl/>
              <w:jc w:val="center"/>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固定  资产</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利用率</w:t>
            </w:r>
          </w:p>
        </w:tc>
        <w:tc>
          <w:tcPr>
            <w:tcW w:w="876"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2726"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固定资产利用率,100%,2分,每低于一个百分点扣0.2分，扣完为止。</w:t>
            </w:r>
          </w:p>
        </w:tc>
        <w:tc>
          <w:tcPr>
            <w:tcW w:w="3259" w:type="dxa"/>
            <w:noWrap w:val="0"/>
            <w:vAlign w:val="center"/>
          </w:tcPr>
          <w:p>
            <w:pPr>
              <w:widowControl/>
              <w:jc w:val="center"/>
              <w:rPr>
                <w:rFonts w:hint="default" w:ascii="仿宋_GB2312" w:hAnsi="宋体" w:eastAsia="仿宋_GB2312" w:cs="宋体"/>
                <w:kern w:val="0"/>
                <w:sz w:val="20"/>
                <w:szCs w:val="20"/>
                <w:lang w:val="en-US" w:eastAsia="zh-CN"/>
              </w:rPr>
            </w:pPr>
            <w:r>
              <w:rPr>
                <w:rFonts w:hint="eastAsia" w:ascii="仿宋_GB2312" w:hAnsi="宋体" w:eastAsia="仿宋_GB2312" w:cs="宋体"/>
                <w:kern w:val="0"/>
                <w:sz w:val="20"/>
                <w:szCs w:val="20"/>
              </w:rPr>
              <w:t>固定资产利用率</w:t>
            </w:r>
            <w:r>
              <w:rPr>
                <w:rFonts w:hint="eastAsia" w:ascii="仿宋_GB2312" w:hAnsi="宋体" w:eastAsia="仿宋_GB2312" w:cs="宋体"/>
                <w:kern w:val="0"/>
                <w:sz w:val="20"/>
                <w:szCs w:val="20"/>
                <w:lang w:eastAsia="zh-CN"/>
              </w:rPr>
              <w:t>达</w:t>
            </w:r>
            <w:r>
              <w:rPr>
                <w:rFonts w:hint="eastAsia" w:ascii="仿宋_GB2312" w:hAnsi="宋体" w:eastAsia="仿宋_GB2312" w:cs="宋体"/>
                <w:kern w:val="0"/>
                <w:sz w:val="20"/>
                <w:szCs w:val="20"/>
                <w:lang w:val="en-US" w:eastAsia="zh-CN"/>
              </w:rPr>
              <w:t>100%</w:t>
            </w:r>
          </w:p>
        </w:tc>
        <w:tc>
          <w:tcPr>
            <w:tcW w:w="913" w:type="dxa"/>
            <w:noWrap w:val="0"/>
            <w:vAlign w:val="center"/>
          </w:tcPr>
          <w:p>
            <w:pPr>
              <w:widowControl/>
              <w:jc w:val="center"/>
              <w:rPr>
                <w:rFonts w:hint="default"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5" w:hRule="atLeast"/>
          <w:jc w:val="center"/>
        </w:trPr>
        <w:tc>
          <w:tcPr>
            <w:tcW w:w="411" w:type="dxa"/>
            <w:vMerge w:val="continue"/>
            <w:tcBorders>
              <w:top w:val="nil"/>
            </w:tcBorders>
            <w:noWrap w:val="0"/>
            <w:vAlign w:val="center"/>
          </w:tcPr>
          <w:p>
            <w:pPr>
              <w:widowControl/>
              <w:jc w:val="center"/>
              <w:rPr>
                <w:rFonts w:ascii="仿宋_GB2312" w:hAnsi="宋体" w:eastAsia="仿宋_GB2312" w:cs="宋体"/>
                <w:kern w:val="0"/>
                <w:sz w:val="20"/>
                <w:szCs w:val="20"/>
              </w:rPr>
            </w:pPr>
          </w:p>
        </w:tc>
        <w:tc>
          <w:tcPr>
            <w:tcW w:w="429" w:type="dxa"/>
            <w:vMerge w:val="restart"/>
            <w:tcBorders>
              <w:right w:val="single" w:color="auto" w:sz="4" w:space="0"/>
            </w:tcBorders>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绩效管理</w:t>
            </w:r>
          </w:p>
        </w:tc>
        <w:tc>
          <w:tcPr>
            <w:tcW w:w="495" w:type="dxa"/>
            <w:vMerge w:val="restart"/>
            <w:tcBorders>
              <w:top w:val="single" w:color="auto" w:sz="4" w:space="0"/>
              <w:lef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17</w:t>
            </w:r>
          </w:p>
        </w:tc>
        <w:tc>
          <w:tcPr>
            <w:tcW w:w="923"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目标 管理</w:t>
            </w:r>
          </w:p>
        </w:tc>
        <w:tc>
          <w:tcPr>
            <w:tcW w:w="876"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2726"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①本单位所有专项、项目资金均实行目标管理的，各2分,每少一个专项、项目的，扣1分，扣完为止；②编制并报送201</w:t>
            </w:r>
            <w:r>
              <w:rPr>
                <w:rFonts w:hint="eastAsia" w:ascii="仿宋_GB2312" w:hAnsi="宋体" w:eastAsia="仿宋_GB2312" w:cs="宋体"/>
                <w:kern w:val="0"/>
                <w:sz w:val="20"/>
                <w:szCs w:val="20"/>
                <w:lang w:val="en-US" w:eastAsia="zh-CN"/>
              </w:rPr>
              <w:t>9</w:t>
            </w:r>
            <w:r>
              <w:rPr>
                <w:rFonts w:hint="eastAsia" w:ascii="仿宋_GB2312" w:hAnsi="宋体" w:eastAsia="仿宋_GB2312" w:cs="宋体"/>
                <w:kern w:val="0"/>
                <w:sz w:val="20"/>
                <w:szCs w:val="20"/>
              </w:rPr>
              <w:t>年度部门整体支出绩效目标的，2分；</w:t>
            </w:r>
            <w:r>
              <w:rPr>
                <w:rFonts w:hint="eastAsia" w:ascii="微软雅黑" w:hAnsi="微软雅黑" w:eastAsia="微软雅黑" w:cs="宋体"/>
                <w:kern w:val="0"/>
                <w:sz w:val="20"/>
                <w:szCs w:val="20"/>
              </w:rPr>
              <w:t>③</w:t>
            </w:r>
            <w:r>
              <w:rPr>
                <w:rFonts w:hint="eastAsia" w:ascii="仿宋_GB2312" w:hAnsi="宋体" w:eastAsia="仿宋_GB2312" w:cs="宋体"/>
                <w:kern w:val="0"/>
                <w:sz w:val="20"/>
                <w:szCs w:val="20"/>
              </w:rPr>
              <w:t>在规定时间内报送、公开以上目标的，2分，否则不得分。</w:t>
            </w:r>
          </w:p>
        </w:tc>
        <w:tc>
          <w:tcPr>
            <w:tcW w:w="3259" w:type="dxa"/>
            <w:noWrap w:val="0"/>
            <w:vAlign w:val="center"/>
          </w:tcPr>
          <w:p>
            <w:pPr>
              <w:widowControl/>
              <w:jc w:val="center"/>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lang w:eastAsia="zh-CN"/>
              </w:rPr>
              <w:t>单位所有专项均按要求实施，及时编剧并报送</w:t>
            </w:r>
            <w:r>
              <w:rPr>
                <w:rFonts w:hint="eastAsia" w:ascii="仿宋_GB2312" w:hAnsi="宋体" w:eastAsia="仿宋_GB2312" w:cs="宋体"/>
                <w:kern w:val="0"/>
                <w:sz w:val="20"/>
                <w:szCs w:val="20"/>
              </w:rPr>
              <w:t>20</w:t>
            </w:r>
            <w:r>
              <w:rPr>
                <w:rFonts w:hint="eastAsia" w:ascii="仿宋_GB2312" w:hAnsi="宋体" w:eastAsia="仿宋_GB2312" w:cs="宋体"/>
                <w:kern w:val="0"/>
                <w:sz w:val="20"/>
                <w:szCs w:val="20"/>
                <w:lang w:val="en-US" w:eastAsia="zh-CN"/>
              </w:rPr>
              <w:t>20</w:t>
            </w:r>
            <w:r>
              <w:rPr>
                <w:rFonts w:hint="eastAsia" w:ascii="仿宋_GB2312" w:hAnsi="宋体" w:eastAsia="仿宋_GB2312" w:cs="宋体"/>
                <w:kern w:val="0"/>
                <w:sz w:val="20"/>
                <w:szCs w:val="20"/>
              </w:rPr>
              <w:t>年度部门整体支出绩效目标</w:t>
            </w:r>
            <w:r>
              <w:rPr>
                <w:rFonts w:hint="eastAsia" w:ascii="仿宋_GB2312" w:hAnsi="宋体" w:eastAsia="仿宋_GB2312" w:cs="宋体"/>
                <w:kern w:val="0"/>
                <w:sz w:val="20"/>
                <w:szCs w:val="20"/>
                <w:lang w:eastAsia="zh-CN"/>
              </w:rPr>
              <w:t>，并在规定时间内报送、公开</w:t>
            </w:r>
          </w:p>
        </w:tc>
        <w:tc>
          <w:tcPr>
            <w:tcW w:w="913" w:type="dxa"/>
            <w:noWrap w:val="0"/>
            <w:vAlign w:val="center"/>
          </w:tcPr>
          <w:p>
            <w:pPr>
              <w:widowControl/>
              <w:jc w:val="center"/>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6" w:hRule="atLeast"/>
          <w:jc w:val="center"/>
        </w:trPr>
        <w:tc>
          <w:tcPr>
            <w:tcW w:w="411" w:type="dxa"/>
            <w:vMerge w:val="continue"/>
            <w:tcBorders>
              <w:top w:val="nil"/>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0"/>
            <w:vAlign w:val="center"/>
          </w:tcPr>
          <w:p>
            <w:pPr>
              <w:jc w:val="center"/>
              <w:rPr>
                <w:rFonts w:hint="eastAsia" w:ascii="仿宋_GB2312" w:hAnsi="宋体" w:eastAsia="仿宋_GB2312" w:cs="宋体"/>
                <w:kern w:val="0"/>
                <w:sz w:val="20"/>
                <w:szCs w:val="20"/>
              </w:rPr>
            </w:pPr>
          </w:p>
        </w:tc>
        <w:tc>
          <w:tcPr>
            <w:tcW w:w="495" w:type="dxa"/>
            <w:vMerge w:val="continue"/>
            <w:tcBorders>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923"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绩效 评价</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管理</w:t>
            </w:r>
          </w:p>
        </w:tc>
        <w:tc>
          <w:tcPr>
            <w:tcW w:w="876"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7</w:t>
            </w:r>
          </w:p>
        </w:tc>
        <w:tc>
          <w:tcPr>
            <w:tcW w:w="2726" w:type="dxa"/>
            <w:noWrap w:val="0"/>
            <w:vAlign w:val="center"/>
          </w:tcPr>
          <w:p>
            <w:pPr>
              <w:widowControl/>
              <w:jc w:val="center"/>
              <w:rPr>
                <w:rFonts w:hint="eastAsia" w:ascii="仿宋_GB2312" w:hAnsi="宋体" w:eastAsia="仿宋_GB2312" w:cs="宋体"/>
                <w:kern w:val="0"/>
                <w:sz w:val="20"/>
                <w:szCs w:val="20"/>
              </w:rPr>
            </w:pPr>
            <w:r>
              <w:rPr>
                <w:rFonts w:hint="eastAsia" w:ascii="仿宋" w:hAnsi="仿宋" w:eastAsia="仿宋" w:cs="宋体"/>
                <w:kern w:val="0"/>
                <w:sz w:val="20"/>
                <w:szCs w:val="20"/>
              </w:rPr>
              <w:t>①</w:t>
            </w:r>
            <w:r>
              <w:rPr>
                <w:rFonts w:hint="eastAsia" w:ascii="仿宋_GB2312" w:hAnsi="宋体" w:eastAsia="仿宋_GB2312" w:cs="宋体"/>
                <w:kern w:val="0"/>
                <w:sz w:val="20"/>
                <w:szCs w:val="20"/>
              </w:rPr>
              <w:t>开展201</w:t>
            </w:r>
            <w:r>
              <w:rPr>
                <w:rFonts w:hint="eastAsia" w:ascii="仿宋_GB2312" w:hAnsi="宋体" w:eastAsia="仿宋_GB2312" w:cs="宋体"/>
                <w:kern w:val="0"/>
                <w:sz w:val="20"/>
                <w:szCs w:val="20"/>
                <w:lang w:val="en-US" w:eastAsia="zh-CN"/>
              </w:rPr>
              <w:t>9</w:t>
            </w:r>
            <w:r>
              <w:rPr>
                <w:rFonts w:hint="eastAsia" w:ascii="仿宋_GB2312" w:hAnsi="宋体" w:eastAsia="仿宋_GB2312" w:cs="宋体"/>
                <w:kern w:val="0"/>
                <w:sz w:val="20"/>
                <w:szCs w:val="20"/>
              </w:rPr>
              <w:t>年度专项资金绩效自评的，2分，每少一个专项资金的自评扣1分，扣完为止；</w:t>
            </w:r>
            <w:r>
              <w:rPr>
                <w:rFonts w:hint="eastAsia" w:ascii="仿宋" w:hAnsi="仿宋" w:eastAsia="仿宋" w:cs="宋体"/>
                <w:kern w:val="0"/>
                <w:sz w:val="20"/>
                <w:szCs w:val="20"/>
              </w:rPr>
              <w:t>②</w:t>
            </w:r>
            <w:r>
              <w:rPr>
                <w:rFonts w:hint="eastAsia" w:ascii="仿宋_GB2312" w:hAnsi="宋体" w:eastAsia="仿宋_GB2312" w:cs="宋体"/>
                <w:kern w:val="0"/>
                <w:sz w:val="20"/>
                <w:szCs w:val="20"/>
              </w:rPr>
              <w:t>开展201</w:t>
            </w:r>
            <w:r>
              <w:rPr>
                <w:rFonts w:hint="eastAsia" w:ascii="仿宋_GB2312" w:hAnsi="宋体" w:eastAsia="仿宋_GB2312" w:cs="宋体"/>
                <w:kern w:val="0"/>
                <w:sz w:val="20"/>
                <w:szCs w:val="20"/>
                <w:lang w:val="en-US" w:eastAsia="zh-CN"/>
              </w:rPr>
              <w:t>9</w:t>
            </w:r>
            <w:r>
              <w:rPr>
                <w:rFonts w:hint="eastAsia" w:ascii="仿宋_GB2312" w:hAnsi="宋体" w:eastAsia="仿宋_GB2312" w:cs="宋体"/>
                <w:kern w:val="0"/>
                <w:sz w:val="20"/>
                <w:szCs w:val="20"/>
              </w:rPr>
              <w:t>年度已完工项目绩效自评的，2分，每少一个项目扣1分，扣完为止；</w:t>
            </w:r>
            <w:r>
              <w:rPr>
                <w:rFonts w:hint="eastAsia" w:ascii="仿宋" w:hAnsi="仿宋" w:eastAsia="仿宋" w:cs="宋体"/>
                <w:kern w:val="0"/>
                <w:sz w:val="20"/>
                <w:szCs w:val="20"/>
              </w:rPr>
              <w:t>③</w:t>
            </w:r>
            <w:r>
              <w:rPr>
                <w:rFonts w:hint="eastAsia" w:ascii="仿宋_GB2312" w:hAnsi="宋体" w:eastAsia="仿宋_GB2312" w:cs="宋体"/>
                <w:kern w:val="0"/>
                <w:sz w:val="20"/>
                <w:szCs w:val="20"/>
              </w:rPr>
              <w:t>开展201</w:t>
            </w:r>
            <w:r>
              <w:rPr>
                <w:rFonts w:hint="eastAsia" w:ascii="仿宋_GB2312" w:hAnsi="宋体" w:eastAsia="仿宋_GB2312" w:cs="宋体"/>
                <w:kern w:val="0"/>
                <w:sz w:val="20"/>
                <w:szCs w:val="20"/>
                <w:lang w:val="en-US" w:eastAsia="zh-CN"/>
              </w:rPr>
              <w:t>9</w:t>
            </w:r>
            <w:r>
              <w:rPr>
                <w:rFonts w:hint="eastAsia" w:ascii="仿宋_GB2312" w:hAnsi="宋体" w:eastAsia="仿宋_GB2312" w:cs="宋体"/>
                <w:kern w:val="0"/>
                <w:sz w:val="20"/>
                <w:szCs w:val="20"/>
              </w:rPr>
              <w:t>年度部门整体支出绩效自评的，1分；</w:t>
            </w:r>
            <w:r>
              <w:rPr>
                <w:rFonts w:hint="eastAsia" w:ascii="仿宋" w:hAnsi="仿宋" w:eastAsia="仿宋" w:cs="宋体"/>
                <w:kern w:val="0"/>
                <w:sz w:val="20"/>
                <w:szCs w:val="20"/>
              </w:rPr>
              <w:t>④</w:t>
            </w:r>
            <w:r>
              <w:rPr>
                <w:rFonts w:hint="eastAsia" w:ascii="仿宋_GB2312" w:hAnsi="宋体" w:eastAsia="仿宋_GB2312" w:cs="宋体"/>
                <w:kern w:val="0"/>
                <w:sz w:val="20"/>
                <w:szCs w:val="20"/>
              </w:rPr>
              <w:t>在规定时间内报送、公开以上自评报告材料的，2分。</w:t>
            </w:r>
          </w:p>
        </w:tc>
        <w:tc>
          <w:tcPr>
            <w:tcW w:w="3259" w:type="dxa"/>
            <w:noWrap w:val="0"/>
            <w:vAlign w:val="center"/>
          </w:tcPr>
          <w:p>
            <w:pPr>
              <w:widowControl/>
              <w:jc w:val="center"/>
              <w:rPr>
                <w:rFonts w:hint="default"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2020年五个专项资金绩效及部门整体支出绩效都已开展绩效自评，并在规定时间内报送、公开</w:t>
            </w:r>
          </w:p>
        </w:tc>
        <w:tc>
          <w:tcPr>
            <w:tcW w:w="913" w:type="dxa"/>
            <w:noWrap w:val="0"/>
            <w:vAlign w:val="center"/>
          </w:tcPr>
          <w:p>
            <w:pPr>
              <w:widowControl/>
              <w:jc w:val="center"/>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5" w:hRule="atLeast"/>
          <w:jc w:val="center"/>
        </w:trPr>
        <w:tc>
          <w:tcPr>
            <w:tcW w:w="411" w:type="dxa"/>
            <w:tcBorders>
              <w:top w:val="nil"/>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429" w:type="dxa"/>
            <w:tcBorders>
              <w:top w:val="nil"/>
              <w:bottom w:val="single" w:color="auto" w:sz="4" w:space="0"/>
              <w:right w:val="single" w:color="auto" w:sz="4" w:space="0"/>
            </w:tcBorders>
            <w:noWrap w:val="0"/>
            <w:vAlign w:val="center"/>
          </w:tcPr>
          <w:p>
            <w:pPr>
              <w:jc w:val="center"/>
              <w:rPr>
                <w:rFonts w:hint="eastAsia" w:ascii="仿宋_GB2312" w:hAnsi="宋体" w:eastAsia="仿宋_GB2312" w:cs="宋体"/>
                <w:kern w:val="0"/>
                <w:sz w:val="20"/>
                <w:szCs w:val="20"/>
              </w:rPr>
            </w:pPr>
          </w:p>
        </w:tc>
        <w:tc>
          <w:tcPr>
            <w:tcW w:w="495" w:type="dxa"/>
            <w:tcBorders>
              <w:top w:val="nil"/>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923"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评价 结果 运用</w:t>
            </w:r>
          </w:p>
        </w:tc>
        <w:tc>
          <w:tcPr>
            <w:tcW w:w="876"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2726" w:type="dxa"/>
            <w:noWrap w:val="0"/>
            <w:vAlign w:val="center"/>
          </w:tcPr>
          <w:p>
            <w:pPr>
              <w:widowControl/>
              <w:jc w:val="center"/>
              <w:rPr>
                <w:rFonts w:hint="eastAsia" w:ascii="仿宋" w:hAnsi="仿宋" w:eastAsia="仿宋" w:cs="宋体"/>
                <w:sz w:val="20"/>
                <w:szCs w:val="20"/>
              </w:rPr>
            </w:pPr>
            <w:r>
              <w:rPr>
                <w:rFonts w:hint="eastAsia" w:ascii="仿宋_GB2312" w:hAnsi="宋体" w:eastAsia="仿宋_GB2312" w:cs="宋体"/>
                <w:kern w:val="0"/>
                <w:sz w:val="20"/>
                <w:szCs w:val="20"/>
              </w:rPr>
              <w:t>根据201</w:t>
            </w:r>
            <w:r>
              <w:rPr>
                <w:rFonts w:hint="eastAsia" w:ascii="仿宋_GB2312" w:hAnsi="宋体" w:eastAsia="仿宋_GB2312" w:cs="宋体"/>
                <w:kern w:val="0"/>
                <w:sz w:val="20"/>
                <w:szCs w:val="20"/>
                <w:lang w:val="en-US" w:eastAsia="zh-CN"/>
              </w:rPr>
              <w:t>9</w:t>
            </w:r>
            <w:r>
              <w:rPr>
                <w:rFonts w:hint="eastAsia" w:ascii="仿宋_GB2312" w:hAnsi="宋体" w:eastAsia="仿宋_GB2312" w:cs="宋体"/>
                <w:kern w:val="0"/>
                <w:sz w:val="20"/>
                <w:szCs w:val="20"/>
              </w:rPr>
              <w:t>年度财政重点绩效评价和单位自评情况，向财政报送整改结果并整改到位的，2分，否则不得分。</w:t>
            </w:r>
          </w:p>
        </w:tc>
        <w:tc>
          <w:tcPr>
            <w:tcW w:w="3259" w:type="dxa"/>
            <w:noWrap w:val="0"/>
            <w:vAlign w:val="center"/>
          </w:tcPr>
          <w:p>
            <w:pPr>
              <w:jc w:val="center"/>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lang w:eastAsia="zh-CN"/>
              </w:rPr>
              <w:t>已整改</w:t>
            </w:r>
          </w:p>
        </w:tc>
        <w:tc>
          <w:tcPr>
            <w:tcW w:w="913" w:type="dxa"/>
            <w:noWrap w:val="0"/>
            <w:vAlign w:val="center"/>
          </w:tcPr>
          <w:p>
            <w:pPr>
              <w:widowControl/>
              <w:jc w:val="center"/>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jc w:val="center"/>
        </w:trPr>
        <w:tc>
          <w:tcPr>
            <w:tcW w:w="411" w:type="dxa"/>
            <w:vMerge w:val="restart"/>
            <w:tcBorders>
              <w:top w:val="single" w:color="auto" w:sz="4" w:space="0"/>
            </w:tcBorders>
            <w:noWrap w:val="0"/>
            <w:textDirection w:val="tbRlV"/>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产   出</w:t>
            </w:r>
          </w:p>
        </w:tc>
        <w:tc>
          <w:tcPr>
            <w:tcW w:w="429" w:type="dxa"/>
            <w:vMerge w:val="restart"/>
            <w:tcBorders>
              <w:top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职责履行</w:t>
            </w:r>
          </w:p>
        </w:tc>
        <w:tc>
          <w:tcPr>
            <w:tcW w:w="495" w:type="dxa"/>
            <w:vMerge w:val="restart"/>
            <w:tcBorders>
              <w:top w:val="single" w:color="auto" w:sz="4" w:space="0"/>
              <w:lef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5</w:t>
            </w:r>
          </w:p>
        </w:tc>
        <w:tc>
          <w:tcPr>
            <w:tcW w:w="923"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　工作　完成率</w:t>
            </w:r>
          </w:p>
        </w:tc>
        <w:tc>
          <w:tcPr>
            <w:tcW w:w="876"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2726"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该项得分=重点工作完成率×2</w:t>
            </w:r>
          </w:p>
        </w:tc>
        <w:tc>
          <w:tcPr>
            <w:tcW w:w="3259" w:type="dxa"/>
            <w:noWrap w:val="0"/>
            <w:vAlign w:val="center"/>
          </w:tcPr>
          <w:p>
            <w:pPr>
              <w:autoSpaceDN w:val="0"/>
              <w:jc w:val="center"/>
              <w:textAlignment w:val="center"/>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lang w:eastAsia="zh-CN"/>
              </w:rPr>
              <w:t>无</w:t>
            </w:r>
          </w:p>
        </w:tc>
        <w:tc>
          <w:tcPr>
            <w:tcW w:w="913" w:type="dxa"/>
            <w:noWrap w:val="0"/>
            <w:vAlign w:val="center"/>
          </w:tcPr>
          <w:p>
            <w:pPr>
              <w:widowControl/>
              <w:jc w:val="center"/>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411" w:type="dxa"/>
            <w:vMerge w:val="continue"/>
            <w:tcBorders>
              <w:bottom w:val="single" w:color="auto" w:sz="4" w:space="0"/>
            </w:tcBorders>
            <w:noWrap w:val="0"/>
            <w:textDirection w:val="tbRlV"/>
            <w:vAlign w:val="center"/>
          </w:tcPr>
          <w:p>
            <w:pPr>
              <w:widowControl/>
              <w:jc w:val="center"/>
              <w:rPr>
                <w:rFonts w:hint="eastAsia"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495" w:type="dxa"/>
            <w:vMerge w:val="continue"/>
            <w:tcBorders>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923" w:type="dxa"/>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工作</w:t>
            </w:r>
          </w:p>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质量</w:t>
            </w:r>
          </w:p>
        </w:tc>
        <w:tc>
          <w:tcPr>
            <w:tcW w:w="876" w:type="dxa"/>
            <w:noWrap w:val="0"/>
            <w:vAlign w:val="center"/>
          </w:tcPr>
          <w:p>
            <w:pPr>
              <w:jc w:val="center"/>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lang w:val="en-US" w:eastAsia="zh-CN"/>
              </w:rPr>
              <w:t>2</w:t>
            </w:r>
          </w:p>
        </w:tc>
        <w:tc>
          <w:tcPr>
            <w:tcW w:w="2726" w:type="dxa"/>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以绩效考核评估结果为标准，优秀，计3分；良好，2分；合格，1分；不合格，0分。</w:t>
            </w:r>
          </w:p>
        </w:tc>
        <w:tc>
          <w:tcPr>
            <w:tcW w:w="3259" w:type="dxa"/>
            <w:noWrap w:val="0"/>
            <w:vAlign w:val="center"/>
          </w:tcPr>
          <w:p>
            <w:pPr>
              <w:autoSpaceDN w:val="0"/>
              <w:jc w:val="center"/>
              <w:textAlignment w:val="center"/>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lang w:eastAsia="zh-CN"/>
              </w:rPr>
              <w:t>良好</w:t>
            </w:r>
          </w:p>
        </w:tc>
        <w:tc>
          <w:tcPr>
            <w:tcW w:w="913" w:type="dxa"/>
            <w:noWrap w:val="0"/>
            <w:vAlign w:val="center"/>
          </w:tcPr>
          <w:p>
            <w:pPr>
              <w:jc w:val="center"/>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411" w:type="dxa"/>
            <w:vMerge w:val="restart"/>
            <w:tcBorders>
              <w:top w:val="single" w:color="auto" w:sz="4" w:space="0"/>
              <w:bottom w:val="single" w:color="auto" w:sz="4" w:space="0"/>
            </w:tcBorders>
            <w:noWrap w:val="0"/>
            <w:textDirection w:val="tbRlV"/>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效  果</w:t>
            </w:r>
          </w:p>
        </w:tc>
        <w:tc>
          <w:tcPr>
            <w:tcW w:w="429" w:type="dxa"/>
            <w:vMerge w:val="restart"/>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履职效益</w:t>
            </w:r>
          </w:p>
        </w:tc>
        <w:tc>
          <w:tcPr>
            <w:tcW w:w="495" w:type="dxa"/>
            <w:vMerge w:val="restart"/>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w:t>
            </w:r>
          </w:p>
        </w:tc>
        <w:tc>
          <w:tcPr>
            <w:tcW w:w="923"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经济  效益</w:t>
            </w:r>
          </w:p>
        </w:tc>
        <w:tc>
          <w:tcPr>
            <w:tcW w:w="876"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5985" w:type="dxa"/>
            <w:gridSpan w:val="2"/>
            <w:vMerge w:val="restart"/>
            <w:noWrap w:val="0"/>
            <w:vAlign w:val="center"/>
          </w:tcPr>
          <w:p>
            <w:pPr>
              <w:widowControl/>
              <w:jc w:val="center"/>
              <w:rPr>
                <w:rFonts w:hint="eastAsia" w:ascii="仿宋_GB2312" w:hAnsi="宋体" w:eastAsia="楷体" w:cs="宋体"/>
                <w:kern w:val="0"/>
                <w:sz w:val="20"/>
                <w:szCs w:val="20"/>
                <w:lang w:eastAsia="zh-CN"/>
              </w:rPr>
            </w:pPr>
            <w:r>
              <w:rPr>
                <w:rFonts w:hint="eastAsia" w:ascii="仿宋_GB2312" w:hAnsi="宋体" w:eastAsia="仿宋_GB2312" w:cs="宋体"/>
                <w:kern w:val="0"/>
                <w:sz w:val="20"/>
                <w:szCs w:val="20"/>
              </w:rPr>
              <w:t>规范机械化生猪屠宰、打击各类电鱼、毒鱼、炸鱼</w:t>
            </w:r>
            <w:r>
              <w:rPr>
                <w:rFonts w:hint="eastAsia" w:ascii="仿宋_GB2312" w:hAnsi="宋体" w:eastAsia="仿宋_GB2312" w:cs="宋体"/>
                <w:kern w:val="0"/>
                <w:sz w:val="20"/>
                <w:szCs w:val="20"/>
                <w:lang w:eastAsia="zh-CN"/>
              </w:rPr>
              <w:t>，生猪屠宰操作技术加强、鱼渔守法意识加强；打击不法生产者，规范农资市场经营秩序，农资产品质量加强；保护渔业发展、维护生态平衡、保障猪肉产品质量安全、污染少，使用的农药、化肥对环境污染减少、生态环境越来越好；进一步加强农资产品质量，规范农业投入品管理，减少环境污染、打击非法屠宰，进一步加强生猪品质质量，确保全年农业领域内安全投诉情况减少。</w:t>
            </w:r>
          </w:p>
        </w:tc>
        <w:tc>
          <w:tcPr>
            <w:tcW w:w="913" w:type="dxa"/>
            <w:vMerge w:val="restart"/>
            <w:noWrap w:val="0"/>
            <w:vAlign w:val="center"/>
          </w:tcPr>
          <w:p>
            <w:pPr>
              <w:widowControl/>
              <w:jc w:val="center"/>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411" w:type="dxa"/>
            <w:vMerge w:val="continue"/>
            <w:tcBorders>
              <w:top w:val="single" w:color="auto" w:sz="4" w:space="0"/>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495"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923"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社会  效益</w:t>
            </w:r>
          </w:p>
        </w:tc>
        <w:tc>
          <w:tcPr>
            <w:tcW w:w="876" w:type="dxa"/>
            <w:vMerge w:val="continue"/>
            <w:noWrap w:val="0"/>
            <w:vAlign w:val="center"/>
          </w:tcPr>
          <w:p>
            <w:pPr>
              <w:widowControl/>
              <w:jc w:val="center"/>
              <w:rPr>
                <w:rFonts w:hint="eastAsia" w:ascii="仿宋_GB2312" w:hAnsi="宋体" w:eastAsia="仿宋_GB2312" w:cs="宋体"/>
                <w:kern w:val="0"/>
                <w:sz w:val="20"/>
                <w:szCs w:val="20"/>
              </w:rPr>
            </w:pPr>
          </w:p>
        </w:tc>
        <w:tc>
          <w:tcPr>
            <w:tcW w:w="5985" w:type="dxa"/>
            <w:gridSpan w:val="2"/>
            <w:vMerge w:val="continue"/>
            <w:noWrap w:val="0"/>
            <w:vAlign w:val="center"/>
          </w:tcPr>
          <w:p>
            <w:pPr>
              <w:widowControl/>
              <w:jc w:val="center"/>
              <w:rPr>
                <w:rFonts w:hint="eastAsia" w:ascii="仿宋_GB2312" w:hAnsi="宋体" w:eastAsia="仿宋_GB2312" w:cs="宋体"/>
                <w:kern w:val="0"/>
                <w:sz w:val="20"/>
                <w:szCs w:val="20"/>
              </w:rPr>
            </w:pPr>
          </w:p>
        </w:tc>
        <w:tc>
          <w:tcPr>
            <w:tcW w:w="913" w:type="dxa"/>
            <w:vMerge w:val="continue"/>
            <w:noWrap w:val="0"/>
            <w:vAlign w:val="center"/>
          </w:tcPr>
          <w:p>
            <w:pPr>
              <w:widowControl/>
              <w:jc w:val="center"/>
              <w:rPr>
                <w:rFonts w:hint="eastAsia"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411" w:type="dxa"/>
            <w:vMerge w:val="continue"/>
            <w:tcBorders>
              <w:top w:val="single" w:color="auto" w:sz="4" w:space="0"/>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495"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923"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生态  效益</w:t>
            </w:r>
          </w:p>
        </w:tc>
        <w:tc>
          <w:tcPr>
            <w:tcW w:w="876" w:type="dxa"/>
            <w:vMerge w:val="continue"/>
            <w:noWrap w:val="0"/>
            <w:vAlign w:val="center"/>
          </w:tcPr>
          <w:p>
            <w:pPr>
              <w:widowControl/>
              <w:jc w:val="center"/>
              <w:rPr>
                <w:rFonts w:hint="eastAsia" w:ascii="仿宋_GB2312" w:hAnsi="宋体" w:eastAsia="仿宋_GB2312" w:cs="宋体"/>
                <w:kern w:val="0"/>
                <w:sz w:val="20"/>
                <w:szCs w:val="20"/>
              </w:rPr>
            </w:pPr>
          </w:p>
        </w:tc>
        <w:tc>
          <w:tcPr>
            <w:tcW w:w="5985" w:type="dxa"/>
            <w:gridSpan w:val="2"/>
            <w:vMerge w:val="continue"/>
            <w:noWrap w:val="0"/>
            <w:vAlign w:val="center"/>
          </w:tcPr>
          <w:p>
            <w:pPr>
              <w:widowControl/>
              <w:jc w:val="center"/>
              <w:rPr>
                <w:rFonts w:hint="eastAsia" w:ascii="仿宋_GB2312" w:hAnsi="宋体" w:eastAsia="仿宋_GB2312" w:cs="宋体"/>
                <w:kern w:val="0"/>
                <w:sz w:val="20"/>
                <w:szCs w:val="20"/>
              </w:rPr>
            </w:pPr>
          </w:p>
        </w:tc>
        <w:tc>
          <w:tcPr>
            <w:tcW w:w="913" w:type="dxa"/>
            <w:vMerge w:val="continue"/>
            <w:noWrap w:val="0"/>
            <w:vAlign w:val="center"/>
          </w:tcPr>
          <w:p>
            <w:pPr>
              <w:widowControl/>
              <w:jc w:val="center"/>
              <w:rPr>
                <w:rFonts w:hint="eastAsia"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0" w:hRule="atLeast"/>
          <w:jc w:val="center"/>
        </w:trPr>
        <w:tc>
          <w:tcPr>
            <w:tcW w:w="411" w:type="dxa"/>
            <w:vMerge w:val="continue"/>
            <w:tcBorders>
              <w:top w:val="single" w:color="auto" w:sz="4" w:space="0"/>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495"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923"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社会公众或服务对象满意度</w:t>
            </w:r>
          </w:p>
        </w:tc>
        <w:tc>
          <w:tcPr>
            <w:tcW w:w="876"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2726" w:type="dxa"/>
            <w:noWrap w:val="0"/>
            <w:vAlign w:val="center"/>
          </w:tcPr>
          <w:p>
            <w:pPr>
              <w:widowControl/>
              <w:jc w:val="center"/>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90%（含）以上计2分；</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80%（含）-90%，计1分；70%（含）-80%，计0.5分；低于70%,计0分。</w:t>
            </w:r>
          </w:p>
        </w:tc>
        <w:tc>
          <w:tcPr>
            <w:tcW w:w="3259"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社会公众或服务对象是指部门（单位）履行职责而影响到的部门，群体或个人，一般采取社会调查的方式(不少于30份)。</w:t>
            </w:r>
          </w:p>
        </w:tc>
        <w:tc>
          <w:tcPr>
            <w:tcW w:w="913" w:type="dxa"/>
            <w:noWrap w:val="0"/>
            <w:vAlign w:val="center"/>
          </w:tcPr>
          <w:p>
            <w:pPr>
              <w:widowControl/>
              <w:jc w:val="center"/>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840" w:type="dxa"/>
            <w:gridSpan w:val="2"/>
            <w:noWrap w:val="0"/>
            <w:vAlign w:val="center"/>
          </w:tcPr>
          <w:p>
            <w:pPr>
              <w:widowControl/>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合计</w:t>
            </w:r>
          </w:p>
        </w:tc>
        <w:tc>
          <w:tcPr>
            <w:tcW w:w="8279" w:type="dxa"/>
            <w:gridSpan w:val="5"/>
            <w:noWrap w:val="0"/>
            <w:vAlign w:val="center"/>
          </w:tcPr>
          <w:p>
            <w:pPr>
              <w:widowControl/>
              <w:jc w:val="center"/>
              <w:rPr>
                <w:rFonts w:hint="eastAsia" w:ascii="仿宋_GB2312" w:hAnsi="宋体" w:eastAsia="仿宋_GB2312" w:cs="宋体"/>
                <w:kern w:val="0"/>
                <w:sz w:val="20"/>
                <w:szCs w:val="20"/>
              </w:rPr>
            </w:pPr>
          </w:p>
        </w:tc>
        <w:tc>
          <w:tcPr>
            <w:tcW w:w="913" w:type="dxa"/>
            <w:noWrap w:val="0"/>
            <w:vAlign w:val="center"/>
          </w:tcPr>
          <w:p>
            <w:pPr>
              <w:widowControl/>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87.02</w:t>
            </w:r>
          </w:p>
        </w:tc>
      </w:tr>
    </w:tbl>
    <w:p>
      <w:pPr>
        <w:widowControl/>
        <w:spacing w:line="560" w:lineRule="atLeast"/>
        <w:jc w:val="left"/>
        <w:rPr>
          <w:rFonts w:hint="eastAsia" w:ascii="黑体" w:eastAsia="黑体"/>
          <w:sz w:val="32"/>
          <w:szCs w:val="32"/>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7"/>
        <w:rFonts w:hint="eastAsia" w:ascii="仿宋_GB2312" w:eastAsia="仿宋_GB2312"/>
        <w:sz w:val="28"/>
        <w:szCs w:val="28"/>
      </w:rPr>
    </w:pPr>
    <w:r>
      <w:rPr>
        <w:rStyle w:val="7"/>
        <w:rFonts w:hint="eastAsia" w:ascii="仿宋_GB2312" w:eastAsia="仿宋_GB2312"/>
        <w:sz w:val="28"/>
        <w:szCs w:val="28"/>
      </w:rPr>
      <w:t>-</w:t>
    </w:r>
    <w:r>
      <w:rPr>
        <w:rFonts w:hint="eastAsia" w:ascii="仿宋_GB2312" w:eastAsia="仿宋_GB2312"/>
        <w:sz w:val="28"/>
        <w:szCs w:val="28"/>
      </w:rPr>
      <w:fldChar w:fldCharType="begin"/>
    </w:r>
    <w:r>
      <w:rPr>
        <w:rStyle w:val="7"/>
        <w:rFonts w:hint="eastAsia" w:ascii="仿宋_GB2312" w:eastAsia="仿宋_GB2312"/>
        <w:sz w:val="28"/>
        <w:szCs w:val="28"/>
      </w:rPr>
      <w:instrText xml:space="preserve">PAGE  </w:instrText>
    </w:r>
    <w:r>
      <w:rPr>
        <w:rFonts w:hint="eastAsia" w:ascii="仿宋_GB2312" w:eastAsia="仿宋_GB2312"/>
        <w:sz w:val="28"/>
        <w:szCs w:val="28"/>
      </w:rPr>
      <w:fldChar w:fldCharType="separate"/>
    </w:r>
    <w:r>
      <w:rPr>
        <w:rStyle w:val="7"/>
        <w:rFonts w:ascii="仿宋_GB2312" w:eastAsia="仿宋_GB2312"/>
        <w:sz w:val="28"/>
        <w:szCs w:val="28"/>
      </w:rPr>
      <w:t>2</w:t>
    </w:r>
    <w:r>
      <w:rPr>
        <w:rFonts w:hint="eastAsia" w:ascii="仿宋_GB2312" w:eastAsia="仿宋_GB2312"/>
        <w:sz w:val="28"/>
        <w:szCs w:val="28"/>
      </w:rPr>
      <w:fldChar w:fldCharType="end"/>
    </w:r>
    <w:r>
      <w:rPr>
        <w:rStyle w:val="7"/>
        <w:rFonts w:hint="eastAsia" w:ascii="仿宋_GB2312" w:eastAsia="仿宋_GB2312"/>
        <w:sz w:val="28"/>
        <w:szCs w:val="28"/>
      </w:rPr>
      <w:t>-</w: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7"/>
      </w:rPr>
    </w:pPr>
    <w:r>
      <w:fldChar w:fldCharType="begin"/>
    </w:r>
    <w:r>
      <w:rPr>
        <w:rStyle w:val="7"/>
      </w:rPr>
      <w:instrText xml:space="preserve">PAGE  </w:instrText>
    </w:r>
    <w:r>
      <w:fldChar w:fldCharType="separate"/>
    </w:r>
    <w:r>
      <w:fldChar w:fldCharType="end"/>
    </w:r>
  </w:p>
  <w:p>
    <w:pPr>
      <w:pStyle w:val="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223B54"/>
    <w:rsid w:val="02F131DA"/>
    <w:rsid w:val="12D0725A"/>
    <w:rsid w:val="12F52FC7"/>
    <w:rsid w:val="16E31AAB"/>
    <w:rsid w:val="1A223B54"/>
    <w:rsid w:val="1CC02F4B"/>
    <w:rsid w:val="267614B2"/>
    <w:rsid w:val="26963332"/>
    <w:rsid w:val="27BF1E40"/>
    <w:rsid w:val="391E69C1"/>
    <w:rsid w:val="4A037C55"/>
    <w:rsid w:val="4BBC5806"/>
    <w:rsid w:val="4CA507C1"/>
    <w:rsid w:val="4FBA5AE4"/>
    <w:rsid w:val="56707D31"/>
    <w:rsid w:val="64F23497"/>
    <w:rsid w:val="66C41350"/>
    <w:rsid w:val="67415C4D"/>
    <w:rsid w:val="70B02A72"/>
    <w:rsid w:val="741841E8"/>
    <w:rsid w:val="76A17D99"/>
    <w:rsid w:val="78FA1240"/>
    <w:rsid w:val="7AA83161"/>
    <w:rsid w:val="7C0A56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3077</Words>
  <Characters>3502</Characters>
  <Lines>0</Lines>
  <Paragraphs>0</Paragraphs>
  <TotalTime>214</TotalTime>
  <ScaleCrop>false</ScaleCrop>
  <LinksUpToDate>false</LinksUpToDate>
  <CharactersWithSpaces>3572</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2019-05-23T02:44:00Z</dcterms:created>
  <dc:creator>Administrator</dc:creator>
  <cp:lastModifiedBy>Administrator</cp:lastModifiedBy>
  <cp:lastPrinted>2021-06-28T08:45:00Z</cp:lastPrinted>
  <dcterms:modified xsi:type="dcterms:W3CDTF">2022-07-18T09:49:50Z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EEBF2FE4C0DC440B889DF39CE79367E8</vt:lpwstr>
  </property>
</Properties>
</file>