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afterAutospacing="0" w:line="600" w:lineRule="exact"/>
        <w:jc w:val="center"/>
        <w:textAlignment w:val="auto"/>
        <w:rPr>
          <w:rStyle w:val="4"/>
          <w:rFonts w:hint="eastAsia" w:ascii="黑体" w:hAnsi="黑体" w:eastAsia="黑体" w:cs="黑体"/>
          <w:sz w:val="32"/>
          <w:szCs w:val="32"/>
        </w:rPr>
      </w:pPr>
      <w:r>
        <w:rPr>
          <w:rStyle w:val="4"/>
          <w:rFonts w:hint="eastAsia" w:ascii="黑体" w:hAnsi="黑体" w:eastAsia="黑体" w:cs="黑体"/>
          <w:sz w:val="32"/>
          <w:szCs w:val="32"/>
        </w:rPr>
        <w:t>邵阳市就业服务中心</w:t>
      </w:r>
    </w:p>
    <w:p>
      <w:pPr>
        <w:keepNext w:val="0"/>
        <w:keepLines w:val="0"/>
        <w:pageBreakBefore w:val="0"/>
        <w:widowControl/>
        <w:suppressLineNumbers w:val="0"/>
        <w:kinsoku/>
        <w:wordWrap/>
        <w:overflowPunct/>
        <w:topLinePunct w:val="0"/>
        <w:autoSpaceDE/>
        <w:autoSpaceDN/>
        <w:bidi w:val="0"/>
        <w:adjustRightInd/>
        <w:spacing w:afterAutospacing="0" w:line="600" w:lineRule="exact"/>
        <w:jc w:val="center"/>
        <w:textAlignment w:val="auto"/>
        <w:rPr>
          <w:rStyle w:val="4"/>
          <w:rFonts w:hint="eastAsia" w:ascii="黑体" w:hAnsi="黑体" w:eastAsia="黑体" w:cs="黑体"/>
          <w:sz w:val="32"/>
          <w:szCs w:val="32"/>
        </w:rPr>
      </w:pPr>
      <w:r>
        <w:rPr>
          <w:rStyle w:val="4"/>
          <w:rFonts w:hint="eastAsia" w:ascii="黑体" w:hAnsi="黑体" w:eastAsia="黑体" w:cs="黑体"/>
          <w:sz w:val="32"/>
          <w:szCs w:val="32"/>
        </w:rPr>
        <w:t>2020年度部门整体支出绩效评价报告</w:t>
      </w:r>
    </w:p>
    <w:p>
      <w:pPr>
        <w:keepNext w:val="0"/>
        <w:keepLines w:val="0"/>
        <w:pageBreakBefore w:val="0"/>
        <w:widowControl/>
        <w:suppressLineNumbers w:val="0"/>
        <w:kinsoku/>
        <w:wordWrap/>
        <w:overflowPunct/>
        <w:topLinePunct w:val="0"/>
        <w:autoSpaceDE/>
        <w:autoSpaceDN/>
        <w:bidi w:val="0"/>
        <w:adjustRightInd/>
        <w:spacing w:afterAutospacing="0" w:line="600" w:lineRule="exact"/>
        <w:jc w:val="center"/>
        <w:textAlignment w:val="auto"/>
        <w:rPr>
          <w:rStyle w:val="4"/>
          <w:rFonts w:hint="eastAsia" w:ascii="黑体" w:hAnsi="黑体" w:eastAsia="黑体" w:cs="黑体"/>
          <w:sz w:val="44"/>
          <w:szCs w:val="44"/>
        </w:rPr>
      </w:pP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一、部门概况</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（一）部门基本情况</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1、部门在职人员情况：我中心在编在职人数21人，退休人员14人。</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afterAutospacing="0" w:line="600" w:lineRule="exact"/>
        <w:ind w:left="0" w:firstLine="64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机构设置：我中心是由原邵阳市公共就业和人才服务局、原邵阳市创业贷款担保中心、原邵阳市就业培训中心、原邵阳市人力资源管理服务中心合并组建，原邵阳市创业贷款担保中心属于财政全额拨款正科级事业单位，由于市财政不允许增加预算单位，其经费预算及支出均在原市公共就业和人才服务局，原邵阳市人力资源管理服务中心属于邵阳市人力资源和社会保障局二级单位，无独立经费预算及支出。共设有七个部室，分别是综合部、就业服务部、创业服务部、职业培训部、农民工工作服务部、人力资源服务部以及人事代理部。本单位无下属二级机构。</w:t>
      </w:r>
      <w:r>
        <w:rPr>
          <w:rStyle w:val="4"/>
          <w:rFonts w:hint="eastAsia" w:ascii="仿宋" w:hAnsi="仿宋" w:eastAsia="仿宋" w:cs="宋体"/>
          <w:sz w:val="30"/>
          <w:szCs w:val="30"/>
        </w:rPr>
        <w:t xml:space="preserve"> </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color w:val="333333"/>
          <w:sz w:val="30"/>
          <w:szCs w:val="30"/>
        </w:rPr>
        <w:t>3、主要职能</w:t>
      </w:r>
      <w:r>
        <w:rPr>
          <w:rStyle w:val="4"/>
          <w:rFonts w:hint="eastAsia" w:ascii="仿宋" w:hAnsi="仿宋" w:eastAsia="仿宋" w:cs="仿宋"/>
          <w:sz w:val="30"/>
          <w:szCs w:val="30"/>
        </w:rPr>
        <w:t>：</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（1）为实施全市就业服务发展规划提供服务保障，承担市本级公共就业服务体系建设的相关事务性工作。</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（2）承担组织落实全市促进就业各项政策措施的事务性工作，为高校毕业生、城乡劳动者及就业困难人员等群体提供政策咨询、岗位信息、职业指导、就业援助等公共就业服务。</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（3）为公共就业服务信息化建设提供技术支持和服务保障，承担就业失业相关统计分析、就业失业信息监测等工作。</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（4）承担组织落实全市创业带动就业政策措施的事务性工作，为各类群体提供创业培训和创业指导等创业服务。</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（5）承担组织落实全市职业技能培训的事务性工作，为培训机构和用人单位开展就业前培训、在岗培训提供培训服务。</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（6）提供创业担保贷款等服务工作。</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（7）推动相关政策落实，维护农民工合法权益，协调处理涉及农民工的重点难点问题和重大事件。</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8）承担组织落实人力资源有关事务性工作，进一步完善人力资源市场建设，提供人才就业政策咨询、职业指导和职业介绍；发布和承办各类公益性人才交流和就业服务活动，促进人力资源合理流动、有效配置；为企事业单位、流动人员提供人事档案管理及人事代理服务；组织建立人事人才服务网站。</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（9）承担市人力资源和社会保障局交办的其他工作。</w:t>
      </w:r>
    </w:p>
    <w:p>
      <w:pPr>
        <w:keepNext w:val="0"/>
        <w:keepLines w:val="0"/>
        <w:pageBreakBefore w:val="0"/>
        <w:widowControl/>
        <w:suppressLineNumbers w:val="0"/>
        <w:kinsoku/>
        <w:wordWrap/>
        <w:overflowPunct/>
        <w:topLinePunct w:val="0"/>
        <w:autoSpaceDE/>
        <w:autoSpaceDN/>
        <w:bidi w:val="0"/>
        <w:adjustRightInd/>
        <w:snapToGrid w:val="0"/>
        <w:spacing w:afterAutospacing="0" w:line="600" w:lineRule="exact"/>
        <w:ind w:left="0" w:firstLine="600" w:firstLineChars="200"/>
        <w:jc w:val="both"/>
        <w:textAlignment w:val="auto"/>
        <w:rPr>
          <w:rFonts w:hint="eastAsia" w:ascii="仿宋" w:hAnsi="仿宋" w:eastAsia="仿宋" w:cs="宋体"/>
          <w:color w:val="333333"/>
          <w:kern w:val="0"/>
          <w:sz w:val="30"/>
          <w:szCs w:val="30"/>
        </w:rPr>
      </w:pPr>
      <w:r>
        <w:rPr>
          <w:rStyle w:val="4"/>
          <w:rFonts w:hint="eastAsia" w:ascii="仿宋" w:hAnsi="仿宋" w:eastAsia="仿宋" w:cs="仿宋"/>
          <w:color w:val="333333"/>
          <w:sz w:val="30"/>
          <w:szCs w:val="30"/>
        </w:rPr>
        <w:t>4、重点工作计划</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（1）完善基层服务设施建设。在就业补助资金充裕的基础上，加强公共就业服务基层平台建设，推动农村基层平台工程建设，进一步扩大公共就业服务平台覆盖范围。</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（2）严格落实就业目标任务。严格按照就业目标管理责任制度要求，抓好农村劳动力新增转移就业、零就业家庭动态清零、失业率等目标考核内容，确保全年目标任务的顺利完成。</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3）巩固好就业扶贫成效。严格按照省人社厅就业扶贫目标任务抓落实，着力推进就业扶贫车间、四个就业途径等目标任务建设，特别对贫困家庭“两后生”培训进度缓慢状态，督促县市区对照目标任务，做到“两后生”底数清，符合要求的力争参加培训，各项目标任务如期完成。</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40"/>
        <w:jc w:val="both"/>
        <w:textAlignment w:val="auto"/>
        <w:rPr>
          <w:rFonts w:hint="eastAsia" w:ascii="仿宋" w:hAnsi="仿宋" w:eastAsia="仿宋" w:cs="宋体"/>
          <w:kern w:val="0"/>
          <w:sz w:val="30"/>
          <w:szCs w:val="30"/>
        </w:rPr>
      </w:pPr>
      <w:r>
        <w:rPr>
          <w:rStyle w:val="4"/>
          <w:rFonts w:hint="eastAsia" w:ascii="仿宋" w:hAnsi="仿宋" w:eastAsia="仿宋" w:cs="仿宋"/>
          <w:sz w:val="30"/>
          <w:szCs w:val="30"/>
        </w:rPr>
        <w:t>（4）开展好就业服务活动。在实地调研企业和基层就业服务部门的基础上，按照市场需求开展公共就业服务活动，大力宣传公共就业政策，组织好春风行动招聘、民营企业招聘周、就业扶贫行动日等专项活动，不定期组织农民工专场招聘会，提供优质公共就业服务。</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shd w:val="clear" w:fill="FFFFFF"/>
        </w:rPr>
        <w:t>（二）部门整体支出规模、使用方向和主要内容、涉及范围：2020年</w:t>
      </w:r>
      <w:r>
        <w:rPr>
          <w:rFonts w:hint="eastAsia" w:ascii="仿宋" w:hAnsi="仿宋" w:eastAsia="仿宋" w:cs="仿宋"/>
          <w:color w:val="000000"/>
          <w:kern w:val="0"/>
          <w:sz w:val="30"/>
          <w:szCs w:val="30"/>
        </w:rPr>
        <w:t>支出526.87万元，其中基本支出517.28万元，包括人员经费294.24万元，日常公用经费223.04万元。资金主要用于工资福利支出和商品与服务支出，涉及公共就业服务、驻村扶贫、政策宣传等方面。</w:t>
      </w:r>
    </w:p>
    <w:p>
      <w:pPr>
        <w:keepNext w:val="0"/>
        <w:keepLines w:val="0"/>
        <w:pageBreakBefore w:val="0"/>
        <w:widowControl/>
        <w:numPr>
          <w:ilvl w:val="0"/>
          <w:numId w:val="2"/>
        </w:numPr>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部门整体支出管理及使用情况</w:t>
      </w:r>
    </w:p>
    <w:p>
      <w:pPr>
        <w:keepNext w:val="0"/>
        <w:keepLines w:val="0"/>
        <w:pageBreakBefore w:val="0"/>
        <w:widowControl/>
        <w:numPr>
          <w:ilvl w:val="0"/>
          <w:numId w:val="3"/>
        </w:numPr>
        <w:suppressLineNumbers w:val="0"/>
        <w:kinsoku/>
        <w:wordWrap/>
        <w:overflowPunct/>
        <w:topLinePunct w:val="0"/>
        <w:autoSpaceDE/>
        <w:autoSpaceDN/>
        <w:bidi w:val="0"/>
        <w:adjustRightInd/>
        <w:spacing w:afterAutospacing="0" w:line="600" w:lineRule="exact"/>
        <w:ind w:left="640" w:firstLine="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预算执行情况</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600" w:leftChars="250" w:firstLine="150" w:firstLineChars="5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本年收入740.58万元，其中一般公共预算财政拨款收</w:t>
      </w:r>
    </w:p>
    <w:p>
      <w:pPr>
        <w:keepNext w:val="0"/>
        <w:keepLines w:val="0"/>
        <w:pageBreakBefore w:val="0"/>
        <w:widowControl/>
        <w:suppressLineNumbers w:val="0"/>
        <w:kinsoku/>
        <w:wordWrap/>
        <w:overflowPunct/>
        <w:topLinePunct w:val="0"/>
        <w:autoSpaceDE/>
        <w:autoSpaceDN/>
        <w:bidi w:val="0"/>
        <w:adjustRightInd/>
        <w:spacing w:afterAutospacing="0" w:line="600" w:lineRule="exact"/>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入312.51万元，其他收入428.07万元。本年支出526.87万元，其中：基本支出517.28万元。整体支出在全年的预算范围内，三公经费严格控制在预算范围内。</w:t>
      </w:r>
    </w:p>
    <w:p>
      <w:pPr>
        <w:keepNext w:val="0"/>
        <w:keepLines w:val="0"/>
        <w:pageBreakBefore w:val="0"/>
        <w:widowControl/>
        <w:numPr>
          <w:ilvl w:val="0"/>
          <w:numId w:val="3"/>
        </w:numPr>
        <w:suppressLineNumbers w:val="0"/>
        <w:kinsoku/>
        <w:wordWrap/>
        <w:overflowPunct/>
        <w:topLinePunct w:val="0"/>
        <w:autoSpaceDE/>
        <w:autoSpaceDN/>
        <w:bidi w:val="0"/>
        <w:adjustRightInd/>
        <w:spacing w:afterAutospacing="0" w:line="600" w:lineRule="exact"/>
        <w:ind w:left="640" w:firstLine="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基本支出</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64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基本支出包括工资福利支出247.81万元，商品和服务</w:t>
      </w:r>
    </w:p>
    <w:p>
      <w:pPr>
        <w:keepNext w:val="0"/>
        <w:keepLines w:val="0"/>
        <w:pageBreakBefore w:val="0"/>
        <w:widowControl/>
        <w:suppressLineNumbers w:val="0"/>
        <w:kinsoku/>
        <w:wordWrap/>
        <w:overflowPunct/>
        <w:topLinePunct w:val="0"/>
        <w:autoSpaceDE/>
        <w:autoSpaceDN/>
        <w:bidi w:val="0"/>
        <w:adjustRightInd/>
        <w:spacing w:afterAutospacing="0" w:line="600" w:lineRule="exact"/>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支出225.70万元，对个人和家庭的补助支出46.43万元，资本性支出6.92万元。基本支出控制在预算内，主要用于工资、津补贴、公车改革补助、奖金、社保、住房公积金、会议费、物业费、电费、办公费、劳务费、公务接待费、差旅费等费用。“三公”经费使用和管理情况：“三公”经费2020年预算数为4.00万元，决算数为0.55万元，其中，因公出国（境）费</w:t>
      </w:r>
      <w:r>
        <w:rPr>
          <w:rFonts w:hint="eastAsia" w:ascii="仿宋" w:hAnsi="仿宋" w:eastAsia="仿宋" w:cs="仿宋"/>
          <w:color w:val="000000"/>
          <w:kern w:val="0"/>
          <w:sz w:val="30"/>
          <w:szCs w:val="30"/>
          <w:shd w:val="clear" w:fill="FFFFFF"/>
        </w:rPr>
        <w:t>0万</w:t>
      </w:r>
      <w:r>
        <w:rPr>
          <w:rFonts w:hint="eastAsia" w:ascii="仿宋" w:hAnsi="仿宋" w:eastAsia="仿宋" w:cs="仿宋"/>
          <w:color w:val="000000"/>
          <w:kern w:val="0"/>
          <w:sz w:val="30"/>
          <w:szCs w:val="30"/>
        </w:rPr>
        <w:t>元，公务用车购置及运行费</w:t>
      </w:r>
      <w:r>
        <w:rPr>
          <w:rFonts w:hint="eastAsia" w:ascii="仿宋" w:hAnsi="仿宋" w:eastAsia="仿宋" w:cs="仿宋"/>
          <w:color w:val="000000"/>
          <w:kern w:val="0"/>
          <w:sz w:val="30"/>
          <w:szCs w:val="30"/>
          <w:shd w:val="clear" w:fill="FFFFFF"/>
        </w:rPr>
        <w:t>0万元</w:t>
      </w:r>
      <w:r>
        <w:rPr>
          <w:rFonts w:hint="eastAsia" w:ascii="仿宋" w:hAnsi="仿宋" w:eastAsia="仿宋" w:cs="仿宋"/>
          <w:color w:val="000000"/>
          <w:kern w:val="0"/>
          <w:sz w:val="30"/>
          <w:szCs w:val="30"/>
        </w:rPr>
        <w:t>（公务用车购置费</w:t>
      </w:r>
      <w:r>
        <w:rPr>
          <w:rFonts w:hint="eastAsia" w:ascii="仿宋" w:hAnsi="仿宋" w:eastAsia="仿宋" w:cs="仿宋"/>
          <w:color w:val="000000"/>
          <w:kern w:val="0"/>
          <w:sz w:val="30"/>
          <w:szCs w:val="30"/>
          <w:shd w:val="clear" w:fill="FFFFFF"/>
        </w:rPr>
        <w:t>0万元</w:t>
      </w:r>
      <w:r>
        <w:rPr>
          <w:rFonts w:hint="eastAsia" w:ascii="仿宋" w:hAnsi="仿宋" w:eastAsia="仿宋" w:cs="仿宋"/>
          <w:color w:val="000000"/>
          <w:kern w:val="0"/>
          <w:sz w:val="30"/>
          <w:szCs w:val="30"/>
        </w:rPr>
        <w:t>，公务用车运行费</w:t>
      </w:r>
      <w:r>
        <w:rPr>
          <w:rFonts w:hint="eastAsia" w:ascii="仿宋" w:hAnsi="仿宋" w:eastAsia="仿宋" w:cs="仿宋"/>
          <w:color w:val="000000"/>
          <w:kern w:val="0"/>
          <w:sz w:val="30"/>
          <w:szCs w:val="30"/>
          <w:shd w:val="clear" w:fill="FFFFFF"/>
        </w:rPr>
        <w:t>0万</w:t>
      </w:r>
      <w:r>
        <w:rPr>
          <w:rFonts w:hint="eastAsia" w:ascii="仿宋" w:hAnsi="仿宋" w:eastAsia="仿宋" w:cs="仿宋"/>
          <w:color w:val="000000"/>
          <w:kern w:val="0"/>
          <w:sz w:val="30"/>
          <w:szCs w:val="30"/>
        </w:rPr>
        <w:t>元），公务接待费0.55万元，完成预算的13.75%，决算数小于年初预算数的主要原因是从严控制“三公”经费开支，全年实际支出比预算有所节约，与上年相比减少0.05万元，减少8.3%,减少的主要原因是认真贯彻落实中央“八项规定”精神和厉行节约要求。我中心在2020年公务用车购置及保有量均为0辆，因公出国（境）团0组0人，公务接待23批60人次。</w:t>
      </w:r>
    </w:p>
    <w:p>
      <w:pPr>
        <w:keepNext w:val="0"/>
        <w:keepLines w:val="0"/>
        <w:pageBreakBefore w:val="0"/>
        <w:widowControl/>
        <w:numPr>
          <w:ilvl w:val="0"/>
          <w:numId w:val="3"/>
        </w:numPr>
        <w:suppressLineNumbers w:val="0"/>
        <w:kinsoku/>
        <w:wordWrap/>
        <w:overflowPunct/>
        <w:topLinePunct w:val="0"/>
        <w:autoSpaceDE/>
        <w:autoSpaceDN/>
        <w:bidi w:val="0"/>
        <w:adjustRightInd/>
        <w:spacing w:afterAutospacing="0" w:line="600" w:lineRule="exact"/>
        <w:ind w:left="640" w:firstLine="0"/>
        <w:jc w:val="both"/>
        <w:textAlignment w:val="auto"/>
        <w:rPr>
          <w:rFonts w:hint="eastAsia" w:ascii="仿宋" w:hAnsi="仿宋" w:eastAsia="仿宋" w:cs="宋体"/>
          <w:color w:val="000000"/>
          <w:kern w:val="0"/>
          <w:sz w:val="30"/>
          <w:szCs w:val="30"/>
        </w:rPr>
      </w:pPr>
      <w:r>
        <w:rPr>
          <w:rStyle w:val="4"/>
          <w:rFonts w:hint="eastAsia" w:ascii="仿宋" w:hAnsi="仿宋" w:eastAsia="仿宋" w:cs="仿宋"/>
          <w:color w:val="000000"/>
          <w:sz w:val="30"/>
          <w:szCs w:val="30"/>
        </w:rPr>
        <w:t>专项支出</w:t>
      </w:r>
      <w:r>
        <w:rPr>
          <w:rStyle w:val="4"/>
          <w:rFonts w:hint="eastAsia" w:ascii="仿宋" w:hAnsi="仿宋" w:eastAsia="仿宋" w:cs="宋体"/>
          <w:color w:val="000000"/>
          <w:sz w:val="30"/>
          <w:szCs w:val="30"/>
        </w:rPr>
        <w:t xml:space="preserve"> </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640"/>
        <w:jc w:val="both"/>
        <w:textAlignment w:val="auto"/>
        <w:rPr>
          <w:rFonts w:hint="eastAsia" w:ascii="仿宋" w:hAnsi="仿宋" w:eastAsia="仿宋" w:cs="宋体"/>
          <w:color w:val="000000"/>
          <w:kern w:val="0"/>
          <w:sz w:val="30"/>
          <w:szCs w:val="30"/>
        </w:rPr>
      </w:pPr>
      <w:r>
        <w:rPr>
          <w:rStyle w:val="4"/>
          <w:rFonts w:hint="eastAsia" w:ascii="仿宋" w:hAnsi="仿宋" w:eastAsia="仿宋" w:cs="仿宋"/>
          <w:color w:val="000000"/>
          <w:sz w:val="30"/>
          <w:szCs w:val="30"/>
        </w:rPr>
        <w:t>2020年度没有专项支出。</w:t>
      </w:r>
    </w:p>
    <w:p>
      <w:pPr>
        <w:keepNext w:val="0"/>
        <w:keepLines w:val="0"/>
        <w:pageBreakBefore w:val="0"/>
        <w:widowControl/>
        <w:numPr>
          <w:ilvl w:val="0"/>
          <w:numId w:val="2"/>
        </w:numPr>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color w:val="000000"/>
          <w:kern w:val="0"/>
          <w:sz w:val="30"/>
          <w:szCs w:val="30"/>
        </w:rPr>
      </w:pPr>
      <w:r>
        <w:rPr>
          <w:rStyle w:val="4"/>
          <w:rFonts w:hint="eastAsia" w:ascii="仿宋" w:hAnsi="仿宋" w:eastAsia="仿宋" w:cs="仿宋"/>
          <w:color w:val="000000"/>
          <w:sz w:val="30"/>
          <w:szCs w:val="30"/>
        </w:rPr>
        <w:t>资产管理情况</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75" w:firstLineChars="225"/>
        <w:jc w:val="both"/>
        <w:textAlignment w:val="auto"/>
        <w:rPr>
          <w:rFonts w:hint="eastAsia" w:ascii="仿宋" w:hAnsi="仿宋" w:eastAsia="仿宋" w:cs="宋体"/>
          <w:b/>
          <w:bCs w:val="0"/>
          <w:kern w:val="0"/>
          <w:sz w:val="30"/>
          <w:szCs w:val="30"/>
        </w:rPr>
      </w:pPr>
      <w:r>
        <w:rPr>
          <w:rStyle w:val="4"/>
          <w:rFonts w:hint="eastAsia" w:ascii="仿宋" w:hAnsi="仿宋" w:eastAsia="仿宋" w:cs="仿宋"/>
          <w:sz w:val="30"/>
          <w:szCs w:val="30"/>
        </w:rPr>
        <w:t>2020年年末资产合计数404.67万元，包括流动资产   391.05万元，固定资产原值37.55万元，我</w:t>
      </w:r>
      <w:r>
        <w:rPr>
          <w:rStyle w:val="4"/>
          <w:rFonts w:hint="eastAsia" w:ascii="仿宋" w:hAnsi="仿宋" w:eastAsia="仿宋" w:cs="仿宋"/>
          <w:color w:val="000000"/>
          <w:sz w:val="30"/>
          <w:szCs w:val="30"/>
        </w:rPr>
        <w:t>单位房屋账面面积94.60平方米，账面原值10.48万元，账面净值6.87万元</w:t>
      </w:r>
      <w:r>
        <w:rPr>
          <w:rStyle w:val="4"/>
          <w:rFonts w:hint="eastAsia" w:ascii="仿宋" w:hAnsi="仿宋" w:eastAsia="仿宋" w:cs="仿宋"/>
          <w:sz w:val="30"/>
          <w:szCs w:val="30"/>
        </w:rPr>
        <w:t>（本单位车辆、50万元以上通用设备、100万元以上专用设备等固定资产），无形资产0元</w:t>
      </w:r>
      <w:r>
        <w:rPr>
          <w:rStyle w:val="4"/>
          <w:rFonts w:hint="eastAsia" w:ascii="仿宋" w:hAnsi="仿宋" w:eastAsia="仿宋" w:cs="仿宋"/>
          <w:color w:val="000000"/>
          <w:sz w:val="30"/>
          <w:szCs w:val="30"/>
        </w:rPr>
        <w:t>。2020年新增固定资产0.23万元。2020年没有对外投资、出租以及出借，也没有处置国有资产</w:t>
      </w:r>
      <w:r>
        <w:rPr>
          <w:rStyle w:val="4"/>
          <w:rFonts w:hint="eastAsia" w:ascii="仿宋" w:hAnsi="仿宋" w:eastAsia="仿宋" w:cs="仿宋"/>
          <w:sz w:val="30"/>
          <w:szCs w:val="30"/>
        </w:rPr>
        <w:t>。</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kern w:val="0"/>
          <w:sz w:val="30"/>
          <w:szCs w:val="30"/>
        </w:rPr>
        <w:t>我单位建立了健全的资产管理制度，合理配备并节约、有效使用资产，提高资产使用效率，保障资产的安全和完整。管理和使用坚持统一政策、统一领导、分级管理、责任到人、物尽其用的原则，由综合科进行价值核算、卡片管理及使用情况监督，资产采购根据合同严格验收，验收合格后移交使用科室投入使用，未通过验收的不合格资产，一律不接受，并按照合同等有关规定办理退换货或其他弥补措施。</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kern w:val="0"/>
          <w:sz w:val="30"/>
          <w:szCs w:val="30"/>
        </w:rPr>
        <w:t>四、绩效评价工作情况</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kern w:val="0"/>
          <w:sz w:val="30"/>
          <w:szCs w:val="30"/>
        </w:rPr>
        <w:t>我中心对本部门的预算配置、执行情况、预算管理、职责履行、履职效益等方面的执行情况进行了自评，形成评价结论。</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kern w:val="0"/>
          <w:sz w:val="30"/>
          <w:szCs w:val="30"/>
        </w:rPr>
      </w:pPr>
      <w:r>
        <w:rPr>
          <w:rStyle w:val="4"/>
          <w:rFonts w:hint="eastAsia" w:ascii="仿宋" w:hAnsi="仿宋" w:eastAsia="仿宋" w:cs="仿宋"/>
          <w:kern w:val="0"/>
          <w:sz w:val="30"/>
          <w:szCs w:val="30"/>
        </w:rPr>
        <w:t>五、综合评价情况及评价结论</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93" w:firstLine="600" w:firstLineChars="200"/>
        <w:jc w:val="both"/>
        <w:textAlignment w:val="auto"/>
        <w:rPr>
          <w:rFonts w:hint="eastAsia" w:ascii="仿宋" w:hAnsi="仿宋" w:eastAsia="仿宋" w:cs="宋体"/>
          <w:color w:val="010101"/>
          <w:kern w:val="0"/>
          <w:sz w:val="30"/>
          <w:szCs w:val="30"/>
        </w:rPr>
      </w:pPr>
      <w:r>
        <w:rPr>
          <w:rStyle w:val="4"/>
          <w:rFonts w:hint="eastAsia" w:ascii="仿宋" w:hAnsi="仿宋" w:eastAsia="仿宋" w:cs="仿宋"/>
          <w:color w:val="010101"/>
          <w:sz w:val="30"/>
          <w:szCs w:val="30"/>
        </w:rPr>
        <w:t>能够按照国家的法律法规加强预算管理，不断完善内控制度，取得了较好的预算执行效果。认真地完成了2020年部门预算和决算汇总工作，财务管理和会计基础工作日益完善，但仍存在部门预算编制不科学、不完整、预算管理不规范等问题，须在今后加以纠正和改进。根据邵阳市《部门整体支出绩效评价指标评分表》评分体系，我中心整体支出绩效自评优秀。</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color w:val="010101"/>
          <w:kern w:val="0"/>
          <w:sz w:val="30"/>
          <w:szCs w:val="30"/>
        </w:rPr>
      </w:pPr>
      <w:r>
        <w:rPr>
          <w:rStyle w:val="4"/>
          <w:rFonts w:hint="eastAsia" w:ascii="仿宋" w:hAnsi="仿宋" w:eastAsia="仿宋" w:cs="仿宋"/>
          <w:color w:val="010101"/>
          <w:sz w:val="30"/>
          <w:szCs w:val="30"/>
        </w:rPr>
        <w:t>六、部门整体支出主要绩效</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color w:val="010101"/>
          <w:kern w:val="0"/>
          <w:sz w:val="30"/>
          <w:szCs w:val="30"/>
        </w:rPr>
      </w:pPr>
      <w:r>
        <w:rPr>
          <w:rStyle w:val="4"/>
          <w:rFonts w:hint="eastAsia" w:ascii="仿宋" w:hAnsi="仿宋" w:eastAsia="仿宋" w:cs="仿宋"/>
          <w:color w:val="010101"/>
          <w:sz w:val="30"/>
          <w:szCs w:val="30"/>
        </w:rPr>
        <w:t>2020年全年，全市共实现新增转移农村劳动力约4.9万人；实施零就业家庭就业援助，实现了零就业家庭动态清零目标；全市登记失业人数将维持在合理水平，失业率控制在4.5%以下。</w:t>
      </w:r>
    </w:p>
    <w:p>
      <w:pPr>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40"/>
        <w:jc w:val="both"/>
        <w:textAlignment w:val="auto"/>
        <w:rPr>
          <w:rFonts w:hint="eastAsia" w:ascii="仿宋" w:hAnsi="仿宋" w:eastAsia="仿宋" w:cs="宋体"/>
          <w:color w:val="010101"/>
          <w:kern w:val="0"/>
          <w:sz w:val="30"/>
          <w:szCs w:val="30"/>
        </w:rPr>
      </w:pPr>
      <w:r>
        <w:rPr>
          <w:rStyle w:val="4"/>
          <w:rFonts w:hint="eastAsia" w:ascii="仿宋" w:hAnsi="仿宋" w:eastAsia="仿宋" w:cs="仿宋"/>
          <w:color w:val="010101"/>
          <w:sz w:val="30"/>
          <w:szCs w:val="30"/>
        </w:rPr>
        <w:t>七、存在的问题</w:t>
      </w:r>
    </w:p>
    <w:p>
      <w:pPr>
        <w:pStyle w:val="5"/>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color w:val="010101"/>
          <w:kern w:val="2"/>
          <w:sz w:val="30"/>
          <w:szCs w:val="30"/>
        </w:rPr>
      </w:pPr>
      <w:r>
        <w:rPr>
          <w:rStyle w:val="4"/>
          <w:rFonts w:hint="eastAsia" w:ascii="仿宋" w:hAnsi="仿宋" w:eastAsia="仿宋" w:cs="仿宋"/>
          <w:color w:val="010101"/>
          <w:kern w:val="2"/>
          <w:sz w:val="30"/>
          <w:szCs w:val="30"/>
        </w:rPr>
        <w:t>因为单位小，人员少，经费少，因此在财务管理上还不够专业，有很大的提升空间。</w:t>
      </w:r>
      <w:r>
        <w:rPr>
          <w:rStyle w:val="4"/>
          <w:rFonts w:hint="eastAsia" w:ascii="仿宋" w:hAnsi="仿宋" w:eastAsia="仿宋" w:cs="宋体"/>
          <w:color w:val="010101"/>
          <w:kern w:val="2"/>
          <w:sz w:val="30"/>
          <w:szCs w:val="30"/>
        </w:rPr>
        <w:t xml:space="preserve"> </w:t>
      </w:r>
    </w:p>
    <w:p>
      <w:pPr>
        <w:pStyle w:val="5"/>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Fonts w:hint="eastAsia" w:ascii="仿宋" w:hAnsi="仿宋" w:eastAsia="仿宋" w:cs="宋体"/>
          <w:color w:val="010101"/>
          <w:kern w:val="2"/>
          <w:sz w:val="30"/>
          <w:szCs w:val="30"/>
        </w:rPr>
      </w:pPr>
      <w:r>
        <w:rPr>
          <w:rStyle w:val="4"/>
          <w:rFonts w:hint="eastAsia" w:ascii="仿宋" w:hAnsi="仿宋" w:eastAsia="仿宋" w:cs="仿宋"/>
          <w:color w:val="010101"/>
          <w:kern w:val="2"/>
          <w:sz w:val="30"/>
          <w:szCs w:val="30"/>
        </w:rPr>
        <w:t>八、改进措施和有关建议</w:t>
      </w:r>
    </w:p>
    <w:p>
      <w:pPr>
        <w:pStyle w:val="5"/>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Style w:val="4"/>
          <w:rFonts w:hint="eastAsia" w:ascii="仿宋" w:hAnsi="仿宋" w:eastAsia="仿宋" w:cs="仿宋"/>
          <w:color w:val="010101"/>
          <w:kern w:val="2"/>
          <w:sz w:val="30"/>
          <w:szCs w:val="30"/>
        </w:rPr>
      </w:pPr>
      <w:r>
        <w:rPr>
          <w:rStyle w:val="4"/>
          <w:rFonts w:hint="eastAsia" w:ascii="仿宋" w:hAnsi="仿宋" w:eastAsia="仿宋" w:cs="仿宋"/>
          <w:color w:val="010101"/>
          <w:kern w:val="2"/>
          <w:sz w:val="30"/>
          <w:szCs w:val="30"/>
        </w:rPr>
        <w:t>我中心工作人员要多学习财会知识，与时俱进，加强资金管理，切实提高资金使用效益。</w:t>
      </w:r>
    </w:p>
    <w:p>
      <w:pPr>
        <w:rPr>
          <w:rStyle w:val="4"/>
          <w:rFonts w:hint="eastAsia" w:ascii="仿宋" w:hAnsi="仿宋" w:eastAsia="仿宋" w:cs="仿宋"/>
          <w:color w:val="010101"/>
          <w:kern w:val="2"/>
          <w:sz w:val="30"/>
          <w:szCs w:val="30"/>
        </w:rPr>
      </w:pPr>
      <w:r>
        <w:rPr>
          <w:rStyle w:val="4"/>
          <w:rFonts w:hint="eastAsia" w:ascii="仿宋" w:hAnsi="仿宋" w:eastAsia="仿宋" w:cs="仿宋"/>
          <w:color w:val="010101"/>
          <w:kern w:val="2"/>
          <w:sz w:val="30"/>
          <w:szCs w:val="30"/>
        </w:rPr>
        <w:br w:type="page"/>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2"/>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617" w:type="dxa"/>
            <w:noWrap w:val="0"/>
            <w:vAlign w:val="top"/>
          </w:tcPr>
          <w:p>
            <w:pPr>
              <w:widowControl/>
              <w:jc w:val="left"/>
              <w:rPr>
                <w:rFonts w:hint="eastAsia" w:ascii="宋体" w:hAnsi="宋体" w:cs="宋体"/>
                <w:kern w:val="0"/>
                <w:sz w:val="24"/>
              </w:rPr>
            </w:pPr>
            <w:r>
              <w:rPr>
                <w:rFonts w:hint="eastAsia" w:ascii="宋体" w:hAnsi="宋体" w:cs="宋体"/>
                <w:kern w:val="0"/>
                <w:sz w:val="24"/>
              </w:rPr>
              <w:t>98</w:t>
            </w:r>
          </w:p>
        </w:tc>
      </w:tr>
    </w:tbl>
    <w:p>
      <w:pPr>
        <w:spacing w:line="600" w:lineRule="exact"/>
        <w:rPr>
          <w:rFonts w:ascii="宋体" w:hAnsi="宋体" w:cs="宋体"/>
          <w:kern w:val="0"/>
          <w:sz w:val="32"/>
          <w:szCs w:val="32"/>
        </w:rPr>
      </w:pPr>
    </w:p>
    <w:p>
      <w:pPr>
        <w:pStyle w:val="5"/>
        <w:keepNext w:val="0"/>
        <w:keepLines w:val="0"/>
        <w:pageBreakBefore w:val="0"/>
        <w:widowControl/>
        <w:suppressLineNumbers w:val="0"/>
        <w:kinsoku/>
        <w:wordWrap/>
        <w:overflowPunct/>
        <w:topLinePunct w:val="0"/>
        <w:autoSpaceDE/>
        <w:autoSpaceDN/>
        <w:bidi w:val="0"/>
        <w:adjustRightInd/>
        <w:spacing w:afterAutospacing="0" w:line="600" w:lineRule="exact"/>
        <w:ind w:left="0" w:firstLine="600" w:firstLineChars="200"/>
        <w:jc w:val="both"/>
        <w:textAlignment w:val="auto"/>
        <w:rPr>
          <w:rStyle w:val="4"/>
          <w:rFonts w:hint="eastAsia" w:ascii="仿宋" w:hAnsi="仿宋" w:eastAsia="仿宋" w:cs="仿宋"/>
          <w:color w:val="010101"/>
          <w:kern w:val="2"/>
          <w:sz w:val="30"/>
          <w:szCs w:val="3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5136"/>
    <w:multiLevelType w:val="multilevel"/>
    <w:tmpl w:val="015B5136"/>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62E5638F"/>
    <w:multiLevelType w:val="multilevel"/>
    <w:tmpl w:val="62E5638F"/>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63F2A5D1"/>
    <w:multiLevelType w:val="multilevel"/>
    <w:tmpl w:val="63F2A5D1"/>
    <w:lvl w:ilvl="0" w:tentative="0">
      <w:start w:val="1"/>
      <w:numFmt w:val="chineseCounting"/>
      <w:suff w:val="nothing"/>
      <w:lvlText w:val="（%1）"/>
      <w:lvlJc w:val="left"/>
      <w:pPr>
        <w:tabs>
          <w:tab w:val="left" w:pos="0"/>
        </w:tabs>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E6710"/>
    <w:rsid w:val="13DC2074"/>
    <w:rsid w:val="19BF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15"/>
    <w:basedOn w:val="3"/>
    <w:uiPriority w:val="0"/>
    <w:rPr>
      <w:rFonts w:hint="default" w:ascii="Times New Roman" w:hAnsi="Times New Roman" w:cs="Times New Roman"/>
    </w:rPr>
  </w:style>
  <w:style w:type="paragraph" w:customStyle="1" w:styleId="5">
    <w:name w:val="UserStyle_9"/>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2022-07-19T05:28:00Z</dcterms:created>
  <dc:creator>Administrator</dc:creator>
  <cp:lastModifiedBy>Administrator</cp:lastModifiedBy>
  <dcterms:modified xsi:type="dcterms:W3CDTF">2022-07-19T05:33:07Z</dcterms:modified>
  <dc:title>邵阳市就业服务中心2020年度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