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邵阳市交通建设规划中心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邵阳市交通建设规划中心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ascii="仿宋_GB2312" w:eastAsia="仿宋_GB2312"/>
                <w:kern w:val="0"/>
                <w:szCs w:val="21"/>
              </w:rPr>
              <w:t>155.6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  <w:r>
              <w:rPr>
                <w:rFonts w:ascii="仿宋_GB2312" w:eastAsia="仿宋_GB2312"/>
                <w:kern w:val="0"/>
                <w:szCs w:val="21"/>
              </w:rPr>
              <w:t>155.6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ascii="仿宋_GB2312" w:eastAsia="仿宋_GB2312"/>
                <w:kern w:val="0"/>
                <w:szCs w:val="21"/>
              </w:rPr>
              <w:t>155.6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ascii="仿宋_GB2312" w:eastAsia="仿宋_GB2312"/>
                <w:kern w:val="0"/>
                <w:szCs w:val="21"/>
              </w:rPr>
              <w:t>155.6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ascii="仿宋_GB2312" w:eastAsia="仿宋_GB2312"/>
                <w:kern w:val="0"/>
                <w:szCs w:val="21"/>
              </w:rPr>
              <w:t>149.6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担编制市交通建设单项规划的事务性工作；承担市交通项目前期工作成果初审的事务性工作；承担市交通建设项目初步设计及施工图设计审查的事务性工作；承担主要公路、水路基建项目年度计划安排的事务性工作；完成市交通运输局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目标1：完成国省干道国土空间规划的编制工作：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目标2：完成“十四五”规划编制工作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编制交通规划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编制交通规划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合理布局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编制交通规划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1个，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严格按合同进度付款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按时完成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人民群众出行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方便快捷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生态环境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合理规划，保护生态环境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交通路网规划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让人民出行</w:t>
            </w:r>
            <w:r>
              <w:rPr>
                <w:rFonts w:hint="eastAsia" w:ascii="仿宋_GB2312" w:eastAsia="仿宋_GB2312"/>
                <w:kern w:val="0"/>
                <w:szCs w:val="21"/>
              </w:rPr>
              <w:t>更加便捷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人民群众对交通规划中心的满意度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进一步提升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人民群众满意度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sectPr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jU5ZWNmY2JkYjc0OTUwYThjODU0MDg2MjVhMDQifQ=="/>
  </w:docVars>
  <w:rsids>
    <w:rsidRoot w:val="49E924D4"/>
    <w:rsid w:val="00622AAB"/>
    <w:rsid w:val="007256DC"/>
    <w:rsid w:val="037E6D7E"/>
    <w:rsid w:val="14C437C1"/>
    <w:rsid w:val="17FE0754"/>
    <w:rsid w:val="27C94BED"/>
    <w:rsid w:val="3001411D"/>
    <w:rsid w:val="32B936BD"/>
    <w:rsid w:val="35B07A7F"/>
    <w:rsid w:val="3DCE2329"/>
    <w:rsid w:val="49E924D4"/>
    <w:rsid w:val="4B9A2682"/>
    <w:rsid w:val="5318692C"/>
    <w:rsid w:val="62DD7015"/>
    <w:rsid w:val="6BC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E4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510</Words>
  <Characters>535</Characters>
  <Lines>5</Lines>
  <Paragraphs>1</Paragraphs>
  <TotalTime>2</TotalTime>
  <ScaleCrop>false</ScaleCrop>
  <LinksUpToDate>false</LinksUpToDate>
  <CharactersWithSpaces>575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2020-12-09T00:42:00Z</dcterms:created>
  <dc:creator>Administrator</dc:creator>
  <cp:lastModifiedBy>Administrator</cp:lastModifiedBy>
  <cp:lastPrinted>2020-12-30T03:35:00Z</cp:lastPrinted>
  <dcterms:modified xsi:type="dcterms:W3CDTF">2022-07-18T07:10:08Z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BE4960A2F0004FADA5A04A69857613D0</vt:lpwstr>
  </property>
</Properties>
</file>