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95"/>
        <w:gridCol w:w="1269"/>
        <w:gridCol w:w="852"/>
        <w:gridCol w:w="2299"/>
        <w:gridCol w:w="839"/>
        <w:gridCol w:w="1489"/>
        <w:gridCol w:w="1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规划编制费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2020年邵阳市本级详细规划编制开支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邵阳市自然资源和规划局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吴韬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经常性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一次性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新增□         延续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立项依据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根据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项目投资总额：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万元。其中本年专项（项目）资金万元（1.中央财政   万元，2.省级财政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万元，3.市级财政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2018年第24次市委常委会会议纪要（中共邵阳市委常委会议纪要[2018]第20次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kern w:val="0"/>
                <w:sz w:val="28"/>
                <w:szCs w:val="28"/>
              </w:rPr>
              <w:t>实施进度计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kern w:val="0"/>
                <w:sz w:val="28"/>
                <w:szCs w:val="28"/>
              </w:rPr>
              <w:t>划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全市乡镇和村庄规划编制全覆盖，城市详细规划更新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根据城市发展需求，优化城市布局，提升城市品位，更新及完善区域规划编制工作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2-3个村庄规划的初步编制，完成2个区域详细规划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产  出    指   标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完成2-3个村庄规划，2个区域详细规划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规划编制及时、完善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长期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105万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   绩效    指标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效  益   指  标 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优化城市布局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环境美好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提升城市可持续发展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服务对象      满意度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满意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LrV"/>
          </w:tcPr>
          <w:p>
            <w:pPr>
              <w:widowControl/>
              <w:spacing w:line="400" w:lineRule="exact"/>
              <w:ind w:left="113" w:right="113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对口业务科室审核意见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绩效管理科室审核意见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        科室负责人签字：            年   月   日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4350"/>
    <w:rsid w:val="43D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2020-12-11T05:50:00Z</dcterms:created>
  <dc:creator>瓶中鱼</dc:creator>
  <cp:lastModifiedBy>瓶中鱼</cp:lastModifiedBy>
  <cp:lastPrinted>2020-12-11T06:15:29Z</cp:lastPrinted>
  <dcterms:modified xsi:type="dcterms:W3CDTF">2020-12-11T06:17:26Z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