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97" w:tblpY="190"/>
        <w:tblOverlap w:val="never"/>
        <w:tblW w:w="98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845"/>
        <w:gridCol w:w="15"/>
        <w:gridCol w:w="735"/>
        <w:gridCol w:w="190"/>
        <w:gridCol w:w="15"/>
        <w:gridCol w:w="1056"/>
        <w:gridCol w:w="1044"/>
        <w:gridCol w:w="1465"/>
        <w:gridCol w:w="1480"/>
        <w:gridCol w:w="15"/>
        <w:gridCol w:w="1465"/>
        <w:gridCol w:w="1480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</w:trPr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bidi w:val="0"/>
              <w:ind w:firstLine="320" w:firstLineChars="100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8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42" w:hRule="atLeast"/>
        </w:trPr>
        <w:tc>
          <w:tcPr>
            <w:tcW w:w="98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bidi w:val="0"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15" w:hRule="atLeast"/>
        </w:trPr>
        <w:tc>
          <w:tcPr>
            <w:tcW w:w="39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bidi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bidi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邵阳市价格认证中心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</w:trPr>
        <w:tc>
          <w:tcPr>
            <w:tcW w:w="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邵阳市价格认证中心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bidi w:val="0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bidi w:val="0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专项资金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sym w:font="Wingdings 2" w:char="00A3"/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default" w:ascii="Arial" w:hAnsi="Arial" w:eastAsia="楷体" w:cs="Arial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开展邵阳市的涉案、涉税、涉纪价格认定及邵阳地区价格认定复核，维护价格市场秩序。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邵阳市价格认证中心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梁旭华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经常性□       一次性□        新增□         延续</w:t>
            </w:r>
            <w:r>
              <w:rPr>
                <w:rFonts w:hint="default" w:ascii="Arial" w:hAnsi="Arial" w:eastAsia="楷体" w:cs="Arial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20" w:hRule="atLeast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1、价格认定规定，发改价格[2015]2251号</w:t>
            </w:r>
          </w:p>
          <w:p>
            <w:pPr>
              <w:widowControl/>
              <w:bidi w:val="0"/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2、湖南省价格认定行为规范，湘发改办[2015]993号</w:t>
            </w:r>
          </w:p>
          <w:p>
            <w:pPr>
              <w:widowControl/>
              <w:bidi w:val="0"/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3、价格认定复核办法，发改价规[2018]1343号</w:t>
            </w:r>
          </w:p>
          <w:p>
            <w:pPr>
              <w:widowControl/>
              <w:bidi w:val="0"/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4、扣押、追缴、没收物品估价管理办法，计办[1997]808号补充通知，发改厅[2008]1392号</w:t>
            </w:r>
          </w:p>
          <w:p>
            <w:pPr>
              <w:widowControl/>
              <w:bidi w:val="0"/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5、国家发展改革委、司法部关于涉案财物价格鉴定工作有关问题的通知，发改价格[2005]1318号</w:t>
            </w:r>
          </w:p>
          <w:p>
            <w:pPr>
              <w:widowControl/>
              <w:bidi w:val="0"/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6、纪检监察机关查办案件涉案财物价格认定工作暂时办法，中纪发[2010]35号</w:t>
            </w:r>
          </w:p>
          <w:p>
            <w:pPr>
              <w:widowControl/>
              <w:bidi w:val="0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关于开展涉税财物价格认定工作的指导意见，发改价格[2010]770号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82" w:hRule="atLeast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项目投资总额：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15.00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万元。其中本年专项（项目）资金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15.00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    万元（1.中央财政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0.00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万元，2.省级财政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0.00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万元，3.市级财政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15.00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万元，4.其它资金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0.00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万元）。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为有关国家机关提供价格协助。范围为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邵阳市内国家机关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涉及的价格不明或价格有争议的实行市场调节价的有形产品、无形资产和各类有偿服务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做出价格认定及邵阳地区内的价格复核认定。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36" w:hRule="atLeast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06" w:hRule="atLeast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1、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价格认定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2020.1.1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2020.12.31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35" w:hRule="atLeast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2、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价格认定复核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2020.1.1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2020.12.31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159" w:hRule="atLeast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为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邵阳市内有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关国家机关提供价格协助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，维护价格市场秩序。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308" w:hRule="atLeast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年度  绩效  目标</w:t>
            </w:r>
          </w:p>
        </w:tc>
        <w:tc>
          <w:tcPr>
            <w:tcW w:w="89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做好邵阳市内涉案、涉纪、涉税的价格认定及邵阳地区的价格复核认定，维护价格市场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序。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780" w:hRule="atLeast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产  出    指   标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价格认定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邵阳市本级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jc w:val="both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价格复核认定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jc w:val="both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七县二市三区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both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价格认定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根据提出方提供的价格认定协助书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jc w:val="both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价格复核认定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根据提出方提供的价格认定核合申请书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</w:trPr>
        <w:tc>
          <w:tcPr>
            <w:tcW w:w="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both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价格认定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根据提出方提供的价格认定协助书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jc w:val="both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价格复核认定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根据提出方提供的价格认定核合申请书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both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价格认定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不超过预算数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jc w:val="both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价格复核认定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jc w:val="both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不超过预算数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both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价格认定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rPr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维护价格市场秩序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jc w:val="both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价格复核认定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jc w:val="both"/>
              <w:rPr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维护价格市场秩序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both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价格认定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rPr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维护价格市场秩序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jc w:val="both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价格复核认定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jc w:val="both"/>
              <w:rPr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维护价格市场秩序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948" w:hRule="atLeast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both"/>
              <w:rPr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维护价格市场秩序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bidi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882" w:hRule="atLeast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rPr>
                <w:rFonts w:hint="eastAsia"/>
                <w:color w:val="000000"/>
                <w:kern w:val="0"/>
                <w:szCs w:val="21"/>
                <w:lang w:eastAsia="zh-CN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color w:val="000000"/>
                <w:kern w:val="0"/>
                <w:szCs w:val="21"/>
                <w:lang w:eastAsia="zh-CN"/>
              </w:rPr>
              <w:t>提出机关对我中心</w:t>
            </w:r>
          </w:p>
          <w:p>
            <w:pPr>
              <w:widowControl/>
              <w:bidi w:val="0"/>
              <w:ind w:firstLine="420" w:firstLineChars="200"/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zh-CN"/>
              </w:rPr>
              <w:t>的满意程度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474" w:hRule="atLeast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……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465" w:hRule="atLeast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需要说明的问题</w:t>
            </w:r>
          </w:p>
        </w:tc>
        <w:tc>
          <w:tcPr>
            <w:tcW w:w="89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bidi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496" w:hRule="atLeast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496" w:hRule="atLeast"/>
        </w:trPr>
        <w:tc>
          <w:tcPr>
            <w:tcW w:w="8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</w:tbl>
    <w:p>
      <w:pPr>
        <w:widowControl/>
        <w:bidi w:val="0"/>
        <w:ind w:firstLine="320" w:firstLineChars="10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80EF4"/>
    <w:rsid w:val="02151E24"/>
    <w:rsid w:val="07580EF4"/>
    <w:rsid w:val="125A2C86"/>
    <w:rsid w:val="1FD61732"/>
    <w:rsid w:val="21C3093D"/>
    <w:rsid w:val="288A0B85"/>
    <w:rsid w:val="30374E29"/>
    <w:rsid w:val="3BB0298C"/>
    <w:rsid w:val="3EF55935"/>
    <w:rsid w:val="4BDF56B5"/>
    <w:rsid w:val="51FF5E45"/>
    <w:rsid w:val="5EFC2E3A"/>
    <w:rsid w:val="6B027467"/>
    <w:rsid w:val="6E287FAB"/>
    <w:rsid w:val="76CB7F42"/>
    <w:rsid w:val="777075F4"/>
    <w:rsid w:val="7A2778C1"/>
    <w:rsid w:val="7C39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2020-02-06T03:38:00Z</dcterms:created>
  <dc:creator>罗玉华</dc:creator>
  <cp:lastModifiedBy>随风而起</cp:lastModifiedBy>
  <dcterms:modified xsi:type="dcterms:W3CDTF">2020-04-09T07:03:36Z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