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AE" w:rsidRDefault="00EF0BAE">
      <w:pPr>
        <w:spacing w:line="240" w:lineRule="exact"/>
        <w:rPr>
          <w:rFonts w:ascii="黑体" w:eastAsia="黑体"/>
          <w:sz w:val="32"/>
        </w:rPr>
      </w:pPr>
    </w:p>
    <w:p w:rsidR="00EF0BAE" w:rsidRDefault="00EF0BAE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EF0BAE" w:rsidRDefault="00EF0BA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EF0BAE" w:rsidRDefault="00EF0BAE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EF0BAE" w:rsidRPr="000408F3" w:rsidRDefault="00EF0BAE">
      <w:pPr>
        <w:spacing w:line="360" w:lineRule="auto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0408F3">
        <w:rPr>
          <w:rFonts w:ascii="楷体" w:eastAsia="楷体" w:hAnsi="楷体" w:cs="楷体"/>
          <w:sz w:val="24"/>
        </w:rPr>
        <w:t>2021</w:t>
      </w:r>
      <w:r w:rsidRPr="000408F3">
        <w:rPr>
          <w:rFonts w:ascii="楷体" w:eastAsia="楷体" w:hAnsi="楷体" w:cs="楷体" w:hint="eastAsia"/>
          <w:sz w:val="24"/>
        </w:rPr>
        <w:t>年</w:t>
      </w:r>
      <w:r w:rsidRPr="000408F3">
        <w:rPr>
          <w:rFonts w:ascii="楷体" w:eastAsia="楷体" w:hAnsi="楷体" w:cs="楷体"/>
          <w:sz w:val="24"/>
        </w:rPr>
        <w:t xml:space="preserve">6 </w:t>
      </w:r>
      <w:r w:rsidRPr="000408F3">
        <w:rPr>
          <w:rFonts w:ascii="楷体" w:eastAsia="楷体" w:hAnsi="楷体" w:cs="楷体" w:hint="eastAsia"/>
          <w:sz w:val="24"/>
        </w:rPr>
        <w:t>月</w:t>
      </w:r>
      <w:r w:rsidRPr="000408F3">
        <w:rPr>
          <w:rFonts w:ascii="楷体" w:eastAsia="楷体" w:hAnsi="楷体" w:cs="楷体"/>
          <w:sz w:val="24"/>
        </w:rPr>
        <w:t xml:space="preserve">  15</w:t>
      </w:r>
      <w:r w:rsidRPr="000408F3">
        <w:rPr>
          <w:rFonts w:ascii="楷体" w:eastAsia="楷体" w:hAnsi="楷体" w:cs="楷体" w:hint="eastAsia"/>
          <w:sz w:val="24"/>
        </w:rPr>
        <w:t>日</w:t>
      </w:r>
      <w:r w:rsidRPr="000408F3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EF0BAE" w:rsidRPr="000408F3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773F1A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国省干线公路检测经费</w:t>
            </w:r>
          </w:p>
        </w:tc>
      </w:tr>
      <w:tr w:rsidR="00EF0BAE" w:rsidRPr="000408F3" w:rsidTr="00950DEC">
        <w:trPr>
          <w:cantSplit/>
          <w:trHeight w:hRule="exact" w:val="155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0408F3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国省干线检测，是及时掌握路面状况，病害情况，以及使用年限的重要手段，为公路及时进行大中修计划，及改建计划提供了数据的收集和分析结论。</w:t>
            </w:r>
          </w:p>
        </w:tc>
      </w:tr>
      <w:tr w:rsidR="00EF0BAE" w:rsidRPr="000408F3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EF0BAE" w:rsidRPr="000408F3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EF0BAE" w:rsidRPr="000408F3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EF0BAE" w:rsidRPr="000408F3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0408F3">
              <w:rPr>
                <w:rFonts w:ascii="楷体" w:eastAsia="楷体" w:hAnsi="楷体" w:cs="楷体"/>
                <w:sz w:val="24"/>
              </w:rPr>
              <w:t>44.8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0408F3">
              <w:rPr>
                <w:rFonts w:ascii="楷体" w:eastAsia="楷体" w:hAnsi="楷体" w:cs="楷体"/>
                <w:sz w:val="24"/>
              </w:rPr>
              <w:t>44.8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EF0BAE" w:rsidRPr="000408F3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0408F3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2020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408F3">
              <w:rPr>
                <w:rFonts w:ascii="楷体" w:eastAsia="楷体" w:hAnsi="楷体" w:cs="楷体"/>
                <w:sz w:val="24"/>
              </w:rPr>
              <w:t>1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0408F3">
              <w:rPr>
                <w:rFonts w:ascii="楷体" w:eastAsia="楷体" w:hAnsi="楷体" w:cs="楷体"/>
                <w:sz w:val="24"/>
              </w:rPr>
              <w:t>2020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408F3">
              <w:rPr>
                <w:rFonts w:ascii="楷体" w:eastAsia="楷体" w:hAnsi="楷体" w:cs="楷体"/>
                <w:sz w:val="24"/>
              </w:rPr>
              <w:t>12</w:t>
            </w:r>
            <w:r w:rsidRPr="000408F3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EF0BAE" w:rsidRPr="000408F3" w:rsidTr="000408F3">
        <w:trPr>
          <w:cantSplit/>
          <w:trHeight w:hRule="exact" w:val="699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EF0BAE" w:rsidRPr="000408F3" w:rsidRDefault="00EF0BAE" w:rsidP="00950DEC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0408F3">
              <w:rPr>
                <w:rFonts w:ascii="楷体" w:eastAsia="楷体" w:hAnsi="楷体" w:cs="楷体"/>
                <w:sz w:val="24"/>
              </w:rPr>
              <w:t>[202</w:t>
            </w:r>
            <w:r>
              <w:rPr>
                <w:rFonts w:ascii="楷体" w:eastAsia="楷体" w:hAnsi="楷体" w:cs="楷体"/>
                <w:sz w:val="24"/>
              </w:rPr>
              <w:t>0</w:t>
            </w:r>
            <w:r w:rsidRPr="000408F3">
              <w:rPr>
                <w:rFonts w:ascii="楷体" w:eastAsia="楷体" w:hAnsi="楷体" w:cs="楷体"/>
                <w:sz w:val="24"/>
              </w:rPr>
              <w:t>]</w:t>
            </w:r>
            <w:r>
              <w:rPr>
                <w:rFonts w:ascii="楷体" w:eastAsia="楷体" w:hAnsi="楷体" w:cs="楷体"/>
                <w:sz w:val="24"/>
              </w:rPr>
              <w:t>3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号、湘路工建</w:t>
            </w:r>
            <w:r w:rsidRPr="000408F3">
              <w:rPr>
                <w:rFonts w:ascii="楷体" w:eastAsia="楷体" w:hAnsi="楷体" w:cs="楷体"/>
                <w:sz w:val="24"/>
              </w:rPr>
              <w:t>[2018]267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号　</w:t>
            </w:r>
          </w:p>
        </w:tc>
      </w:tr>
      <w:tr w:rsidR="00EF0BAE" w:rsidRPr="000408F3" w:rsidTr="000408F3">
        <w:trPr>
          <w:cantSplit/>
          <w:trHeight w:hRule="exact" w:val="609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 w:rsidTr="000408F3">
        <w:trPr>
          <w:cantSplit/>
          <w:trHeight w:hRule="exact" w:val="631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</w:t>
            </w:r>
            <w:r w:rsidRPr="000408F3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是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□否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</w:t>
            </w:r>
            <w:r w:rsidRPr="000408F3">
              <w:rPr>
                <w:rFonts w:ascii="楷体" w:eastAsia="楷体" w:hAnsi="楷体" w:cs="楷体"/>
                <w:sz w:val="24"/>
              </w:rPr>
              <w:br/>
            </w:r>
            <w:r w:rsidRPr="000408F3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44.8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EF0BAE" w:rsidRPr="000408F3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□否</w:t>
            </w:r>
          </w:p>
        </w:tc>
      </w:tr>
      <w:tr w:rsidR="00EF0BAE" w:rsidRPr="000408F3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 w:rsidTr="000408F3">
        <w:trPr>
          <w:cantSplit/>
          <w:trHeight w:hRule="exact" w:val="796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408F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408F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EF0BAE" w:rsidRPr="000408F3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EF0BAE" w:rsidRPr="000408F3" w:rsidRDefault="00EF0BAE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0408F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408F3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《干线公路日常养护巡查考核办法》</w:t>
            </w:r>
          </w:p>
        </w:tc>
      </w:tr>
      <w:tr w:rsidR="00EF0BAE" w:rsidRPr="000408F3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EF0BAE" w:rsidRPr="000408F3" w:rsidRDefault="00EF0BAE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桥梁、涵洞、隧道、安防设施及其他构造物等；</w:t>
            </w:r>
            <w:r w:rsidRPr="000408F3">
              <w:rPr>
                <w:rFonts w:ascii="楷体" w:eastAsia="楷体" w:hAnsi="楷体" w:cs="楷体"/>
                <w:sz w:val="24"/>
              </w:rPr>
              <w:t>PQI</w:t>
            </w:r>
            <w:r w:rsidRPr="000408F3">
              <w:rPr>
                <w:rFonts w:ascii="楷体" w:eastAsia="楷体" w:hAnsi="楷体" w:cs="楷体" w:hint="eastAsia"/>
                <w:sz w:val="24"/>
              </w:rPr>
              <w:t>、</w:t>
            </w:r>
            <w:r w:rsidRPr="000408F3">
              <w:rPr>
                <w:rFonts w:ascii="楷体" w:eastAsia="楷体" w:hAnsi="楷体" w:cs="楷体"/>
                <w:sz w:val="24"/>
              </w:rPr>
              <w:t>MQI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及各项路况检测指标</w:t>
            </w:r>
          </w:p>
        </w:tc>
      </w:tr>
      <w:tr w:rsidR="00EF0BAE" w:rsidRPr="000408F3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已报市财政审核批准，邵财预</w:t>
            </w:r>
            <w:r w:rsidRPr="000408F3">
              <w:rPr>
                <w:rFonts w:ascii="楷体" w:eastAsia="楷体" w:hAnsi="楷体" w:cs="楷体"/>
                <w:sz w:val="24"/>
              </w:rPr>
              <w:t>[2020]3</w:t>
            </w:r>
            <w:r w:rsidRPr="000408F3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EF0BAE" w:rsidRPr="000408F3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长沙理工大检测中心国省干线检测</w:t>
            </w:r>
          </w:p>
        </w:tc>
      </w:tr>
      <w:tr w:rsidR="00EF0BAE" w:rsidRPr="000408F3" w:rsidTr="000408F3">
        <w:trPr>
          <w:cantSplit/>
          <w:trHeight w:hRule="exact" w:val="908"/>
        </w:trPr>
        <w:tc>
          <w:tcPr>
            <w:tcW w:w="540" w:type="dxa"/>
            <w:vMerge w:val="restart"/>
          </w:tcPr>
          <w:p w:rsidR="00EF0BAE" w:rsidRPr="000408F3" w:rsidRDefault="00EF0BAE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EF0BAE" w:rsidRPr="000408F3" w:rsidTr="000408F3">
        <w:trPr>
          <w:cantSplit/>
          <w:trHeight w:hRule="exact" w:val="935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EF0BAE" w:rsidRPr="000408F3" w:rsidRDefault="00EF0BAE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EF0BAE" w:rsidRPr="000408F3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EF0BAE" w:rsidRPr="000408F3" w:rsidRDefault="00EF0BAE" w:rsidP="000408F3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EF0BAE" w:rsidRPr="000408F3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 w:rsidP="000408F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EF0BAE" w:rsidRPr="000408F3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EF0BAE" w:rsidRPr="000408F3" w:rsidRDefault="00EF0BAE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90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425" w:type="dxa"/>
            <w:gridSpan w:val="2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44.8</w:t>
            </w:r>
          </w:p>
        </w:tc>
        <w:tc>
          <w:tcPr>
            <w:tcW w:w="1380" w:type="dxa"/>
            <w:vAlign w:val="center"/>
          </w:tcPr>
          <w:p w:rsidR="00EF0BAE" w:rsidRPr="000408F3" w:rsidRDefault="00EF0BAE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EF0BAE" w:rsidRPr="000408F3">
        <w:trPr>
          <w:trHeight w:val="2400"/>
        </w:trPr>
        <w:tc>
          <w:tcPr>
            <w:tcW w:w="540" w:type="dxa"/>
            <w:vAlign w:val="center"/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lastRenderedPageBreak/>
              <w:t>产出成果</w:t>
            </w:r>
          </w:p>
        </w:tc>
        <w:tc>
          <w:tcPr>
            <w:tcW w:w="8556" w:type="dxa"/>
            <w:gridSpan w:val="7"/>
          </w:tcPr>
          <w:p w:rsidR="00EF0BAE" w:rsidRPr="000408F3" w:rsidRDefault="00EF0BAE" w:rsidP="00DA1D62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0408F3">
              <w:rPr>
                <w:rFonts w:ascii="仿宋" w:eastAsia="仿宋" w:hAnsi="仿宋" w:cs="仿宋" w:hint="eastAsia"/>
                <w:sz w:val="24"/>
              </w:rPr>
              <w:t>国省干线检测，是及时掌握路面状况，病害情况，以及确认还可以使用的年限，对保证路面的正常服务功能，做到对路面病害及时发现及时处理，及延长路面的使用寿命和确保行车安全舒适起到了至关重要的作用，同时为次年争取省部路面大修项目，提供了依</w:t>
            </w:r>
            <w:r w:rsidRPr="000408F3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据。</w:t>
            </w:r>
            <w:r w:rsidRPr="000408F3">
              <w:rPr>
                <w:rFonts w:ascii="仿宋" w:eastAsia="仿宋" w:hAnsi="仿宋" w:cs="仿宋" w:hint="eastAsia"/>
                <w:sz w:val="24"/>
              </w:rPr>
              <w:t>本年度桥梁、涵洞、隧道、安防设施及其他构造物结构均安全可靠，服务功能完善，行车舒适。本年度</w:t>
            </w:r>
            <w:r w:rsidRPr="000408F3">
              <w:rPr>
                <w:rFonts w:ascii="仿宋" w:eastAsia="仿宋" w:hAnsi="仿宋" w:cs="仿宋"/>
                <w:sz w:val="24"/>
              </w:rPr>
              <w:t>PQI</w:t>
            </w:r>
            <w:r w:rsidRPr="000408F3">
              <w:rPr>
                <w:rFonts w:ascii="仿宋" w:eastAsia="仿宋" w:hAnsi="仿宋" w:cs="仿宋" w:hint="eastAsia"/>
                <w:sz w:val="24"/>
              </w:rPr>
              <w:t>、</w:t>
            </w:r>
            <w:r w:rsidRPr="000408F3">
              <w:rPr>
                <w:rFonts w:ascii="仿宋" w:eastAsia="仿宋" w:hAnsi="仿宋" w:cs="仿宋"/>
                <w:sz w:val="24"/>
              </w:rPr>
              <w:t xml:space="preserve">MQI </w:t>
            </w:r>
            <w:r w:rsidRPr="000408F3">
              <w:rPr>
                <w:rFonts w:ascii="仿宋" w:eastAsia="仿宋" w:hAnsi="仿宋" w:cs="仿宋" w:hint="eastAsia"/>
                <w:sz w:val="24"/>
              </w:rPr>
              <w:t>及各项路况检测指标达标均超过省局下达的目标任务及以上，保障了路面的正常服务功能，做到了行车安全舒适。</w:t>
            </w:r>
          </w:p>
          <w:p w:rsidR="00EF0BAE" w:rsidRPr="000408F3" w:rsidRDefault="00EF0BAE" w:rsidP="000408F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</w:p>
        </w:tc>
      </w:tr>
      <w:tr w:rsidR="00EF0BAE" w:rsidRPr="000408F3" w:rsidT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仿宋" w:eastAsia="仿宋" w:hAnsi="仿宋" w:cs="仿宋" w:hint="eastAsia"/>
                <w:sz w:val="24"/>
              </w:rPr>
              <w:t>及时发现了路面及其附属设施病害并及时修复，有效控制了病害发展，保证了路面的正常服务功能和行车安全舒适，有效的节省和合理的安排公路改建与公路大中修项目的投入，优化了投入建设资金结构，有效的改善邵阳交通。</w:t>
            </w:r>
          </w:p>
        </w:tc>
      </w:tr>
      <w:tr w:rsidR="00EF0BAE" w:rsidRPr="000408F3" w:rsidT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7655D2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通过检测及</w:t>
            </w:r>
            <w:r w:rsidRPr="000408F3">
              <w:rPr>
                <w:rFonts w:ascii="仿宋" w:eastAsia="仿宋" w:hAnsi="仿宋" w:cs="仿宋" w:hint="eastAsia"/>
                <w:sz w:val="24"/>
              </w:rPr>
              <w:t>时掌握路面状况，病害情况，本年度桥梁、涵洞、隧道、安防设施及其他构造物结构均安全可靠，服务功能完善，行车舒适。</w:t>
            </w:r>
            <w:r>
              <w:rPr>
                <w:rFonts w:ascii="仿宋" w:eastAsia="仿宋" w:hAnsi="仿宋" w:cs="仿宋" w:hint="eastAsia"/>
                <w:sz w:val="24"/>
              </w:rPr>
              <w:t>自评</w:t>
            </w:r>
            <w:r w:rsidR="001707C8">
              <w:rPr>
                <w:rFonts w:ascii="仿宋" w:eastAsia="仿宋" w:hAnsi="仿宋" w:cs="仿宋" w:hint="eastAsia"/>
                <w:sz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</w:rPr>
              <w:t>优</w:t>
            </w:r>
          </w:p>
        </w:tc>
      </w:tr>
      <w:tr w:rsidR="00EF0BAE" w:rsidRP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408F3">
              <w:rPr>
                <w:rFonts w:ascii="仿宋" w:eastAsia="仿宋" w:hAnsi="仿宋" w:cs="仿宋" w:hint="eastAsia"/>
                <w:sz w:val="24"/>
              </w:rPr>
              <w:t>邵阳国省干线公路结构形式多，交通流量大，通行状况复杂，为确保公路各项指标达标，保证国省干线公路的正常通行，及时进行公路检测是不可或缺的一个环节。考虑到邵阳公路检测的实际情况，建议酌情增加经费，以有利于公路检测工作及时、更好的开展。</w:t>
            </w:r>
          </w:p>
        </w:tc>
      </w:tr>
      <w:tr w:rsidR="00EF0BAE" w:rsidRPr="000408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Pr="000408F3" w:rsidRDefault="00EF0BAE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AE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EF0BAE" w:rsidRPr="000408F3" w:rsidRDefault="00EF0BAE" w:rsidP="000408F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0408F3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EF0BAE" w:rsidRPr="000408F3" w:rsidRDefault="00EF0BAE">
      <w:pPr>
        <w:spacing w:line="480" w:lineRule="exact"/>
        <w:rPr>
          <w:rFonts w:ascii="楷体" w:eastAsia="楷体" w:hAnsi="楷体" w:cs="楷体"/>
          <w:sz w:val="24"/>
        </w:rPr>
      </w:pPr>
      <w:r w:rsidRPr="000408F3">
        <w:rPr>
          <w:rFonts w:ascii="楷体" w:eastAsia="楷体" w:hAnsi="楷体" w:cs="楷体" w:hint="eastAsia"/>
          <w:sz w:val="24"/>
        </w:rPr>
        <w:t>评价负责人：陶继平</w:t>
      </w: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spacing w:line="360" w:lineRule="exact"/>
        <w:rPr>
          <w:rFonts w:ascii="仿宋_GB2312"/>
          <w:szCs w:val="32"/>
        </w:rPr>
      </w:pPr>
    </w:p>
    <w:p w:rsidR="00EF0BAE" w:rsidRDefault="00EF0BA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EF0BAE" w:rsidRDefault="00EF0BAE">
      <w:pPr>
        <w:rPr>
          <w:rFonts w:ascii="黑体" w:eastAsia="黑体" w:hAnsi="黑体" w:cs="黑体"/>
          <w:sz w:val="32"/>
          <w:szCs w:val="32"/>
        </w:rPr>
      </w:pPr>
    </w:p>
    <w:p w:rsidR="00EF0BAE" w:rsidRDefault="00EF0BAE">
      <w:pPr>
        <w:rPr>
          <w:rFonts w:eastAsia="黑体"/>
          <w:sz w:val="44"/>
        </w:rPr>
      </w:pPr>
    </w:p>
    <w:p w:rsidR="00EF0BAE" w:rsidRDefault="00EF0BAE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EF0BAE" w:rsidRDefault="00EF0BAE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EF0BAE" w:rsidRDefault="00EF0BAE">
      <w:pPr>
        <w:spacing w:line="600" w:lineRule="exact"/>
        <w:rPr>
          <w:sz w:val="36"/>
        </w:rPr>
      </w:pPr>
    </w:p>
    <w:p w:rsidR="00EF0BAE" w:rsidRDefault="00EF0BAE">
      <w:pPr>
        <w:spacing w:line="600" w:lineRule="exact"/>
        <w:rPr>
          <w:sz w:val="36"/>
        </w:rPr>
      </w:pPr>
    </w:p>
    <w:p w:rsidR="00EF0BAE" w:rsidRDefault="00EF0BAE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0408F3">
        <w:rPr>
          <w:rFonts w:hint="eastAsia"/>
          <w:sz w:val="32"/>
          <w:szCs w:val="32"/>
          <w:bdr w:val="single" w:sz="4" w:space="0" w:color="auto"/>
        </w:rPr>
        <w:t>√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国省干线公路检测经费　　　　　　　　　　　　　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邵阳市公路建设养护中心　　　　　　　　　　　　</w:t>
      </w:r>
    </w:p>
    <w:p w:rsidR="00EF0BAE" w:rsidRDefault="00EF0BAE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　邵阳市交通运输局　　　　　　　　　　　　</w:t>
      </w: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</w:pPr>
    </w:p>
    <w:p w:rsidR="00EF0BAE" w:rsidRDefault="00EF0BAE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EF0BAE" w:rsidRDefault="00EF0BAE">
      <w:pPr>
        <w:spacing w:line="600" w:lineRule="exact"/>
        <w:rPr>
          <w:rFonts w:ascii="黑体" w:eastAsia="黑体"/>
          <w:sz w:val="32"/>
        </w:rPr>
      </w:pPr>
    </w:p>
    <w:p w:rsidR="00EF0BAE" w:rsidRDefault="00EF0BAE"/>
    <w:sectPr w:rsidR="00EF0BAE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A7" w:rsidRDefault="001475A7" w:rsidP="007B619E">
      <w:r>
        <w:separator/>
      </w:r>
    </w:p>
  </w:endnote>
  <w:endnote w:type="continuationSeparator" w:id="1">
    <w:p w:rsidR="001475A7" w:rsidRDefault="001475A7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AE" w:rsidRDefault="00336C9B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EF0B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0BAE" w:rsidRDefault="00EF0BA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AE" w:rsidRDefault="00EF0BAE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336C9B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336C9B">
      <w:rPr>
        <w:rStyle w:val="a6"/>
        <w:sz w:val="28"/>
      </w:rPr>
      <w:fldChar w:fldCharType="separate"/>
    </w:r>
    <w:r w:rsidR="001707C8">
      <w:rPr>
        <w:rStyle w:val="a6"/>
        <w:noProof/>
        <w:sz w:val="28"/>
      </w:rPr>
      <w:t>3</w:t>
    </w:r>
    <w:r w:rsidR="00336C9B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EF0BAE" w:rsidRDefault="00EF0BAE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A7" w:rsidRDefault="001475A7" w:rsidP="007B619E">
      <w:r>
        <w:separator/>
      </w:r>
    </w:p>
  </w:footnote>
  <w:footnote w:type="continuationSeparator" w:id="1">
    <w:p w:rsidR="001475A7" w:rsidRDefault="001475A7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408F3"/>
    <w:rsid w:val="000B2627"/>
    <w:rsid w:val="000F02B3"/>
    <w:rsid w:val="001475A7"/>
    <w:rsid w:val="001707C8"/>
    <w:rsid w:val="001B3EB8"/>
    <w:rsid w:val="001F62A8"/>
    <w:rsid w:val="002678DC"/>
    <w:rsid w:val="002A7D15"/>
    <w:rsid w:val="002B0D8D"/>
    <w:rsid w:val="002D272F"/>
    <w:rsid w:val="002E1311"/>
    <w:rsid w:val="002F67CC"/>
    <w:rsid w:val="00302EFD"/>
    <w:rsid w:val="00304854"/>
    <w:rsid w:val="00336C9B"/>
    <w:rsid w:val="0037519D"/>
    <w:rsid w:val="00387FF4"/>
    <w:rsid w:val="003C3F89"/>
    <w:rsid w:val="0041487F"/>
    <w:rsid w:val="00440541"/>
    <w:rsid w:val="00470261"/>
    <w:rsid w:val="004C322C"/>
    <w:rsid w:val="004D12B3"/>
    <w:rsid w:val="00521601"/>
    <w:rsid w:val="005A5A53"/>
    <w:rsid w:val="005E10B4"/>
    <w:rsid w:val="00627398"/>
    <w:rsid w:val="00685BF5"/>
    <w:rsid w:val="006C3589"/>
    <w:rsid w:val="007655D2"/>
    <w:rsid w:val="00773F1A"/>
    <w:rsid w:val="007B619E"/>
    <w:rsid w:val="007C1F10"/>
    <w:rsid w:val="008078D7"/>
    <w:rsid w:val="00827F35"/>
    <w:rsid w:val="0084350A"/>
    <w:rsid w:val="0089116D"/>
    <w:rsid w:val="008A3F74"/>
    <w:rsid w:val="00947F94"/>
    <w:rsid w:val="00950DEC"/>
    <w:rsid w:val="00A12A6C"/>
    <w:rsid w:val="00A163F9"/>
    <w:rsid w:val="00A43121"/>
    <w:rsid w:val="00A84CE4"/>
    <w:rsid w:val="00AC764A"/>
    <w:rsid w:val="00AE1746"/>
    <w:rsid w:val="00AF3822"/>
    <w:rsid w:val="00B071E3"/>
    <w:rsid w:val="00B23AF1"/>
    <w:rsid w:val="00B61CC6"/>
    <w:rsid w:val="00BC01BB"/>
    <w:rsid w:val="00BF31DF"/>
    <w:rsid w:val="00C07E4D"/>
    <w:rsid w:val="00C24E3E"/>
    <w:rsid w:val="00C42787"/>
    <w:rsid w:val="00C70E9B"/>
    <w:rsid w:val="00C71E76"/>
    <w:rsid w:val="00C745D1"/>
    <w:rsid w:val="00CF606B"/>
    <w:rsid w:val="00D2155D"/>
    <w:rsid w:val="00DA1D62"/>
    <w:rsid w:val="00DC7753"/>
    <w:rsid w:val="00DE72EA"/>
    <w:rsid w:val="00E04FF5"/>
    <w:rsid w:val="00E12F5D"/>
    <w:rsid w:val="00E2562C"/>
    <w:rsid w:val="00E43173"/>
    <w:rsid w:val="00EF0BAE"/>
    <w:rsid w:val="00F32EE8"/>
    <w:rsid w:val="00F716DA"/>
    <w:rsid w:val="00F8307D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C07E4D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07E4D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275</Words>
  <Characters>1569</Characters>
  <Application>Microsoft Office Word</Application>
  <DocSecurity>0</DocSecurity>
  <Lines>13</Lines>
  <Paragraphs>3</Paragraphs>
  <ScaleCrop>false</ScaleCrop>
  <Company>user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10</cp:revision>
  <cp:lastPrinted>2021-06-18T07:29:00Z</cp:lastPrinted>
  <dcterms:created xsi:type="dcterms:W3CDTF">2021-06-02T07:39:00Z</dcterms:created>
  <dcterms:modified xsi:type="dcterms:W3CDTF">2022-07-20T01:15:00Z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