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bookmarkStart w:id="0" w:name="_GoBack"/>
      <w:bookmarkEnd w:id="0"/>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lang w:val="en-US" w:eastAsia="zh-CN"/>
        </w:rPr>
        <w:t>2018年</w:t>
      </w:r>
      <w:r>
        <w:rPr>
          <w:rFonts w:hint="eastAsia" w:ascii="宋体" w:hAnsi="宋体" w:cs="宋体"/>
          <w:bCs/>
          <w:kern w:val="0"/>
          <w:sz w:val="32"/>
          <w:szCs w:val="32"/>
        </w:rPr>
        <w:t>部门整体支出绩效评价指标评分表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top"/>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p>
          <w:p>
            <w:pPr>
              <w:widowControl/>
              <w:jc w:val="center"/>
              <w:rPr>
                <w:rFonts w:hint="eastAsia" w:ascii="宋体" w:hAnsi="宋体" w:cs="宋体"/>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top"/>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p>
          <w:p>
            <w:pPr>
              <w:widowControl/>
              <w:jc w:val="center"/>
              <w:rPr>
                <w:rFonts w:hint="eastAsia" w:ascii="宋体" w:hAnsi="宋体" w:cs="宋体"/>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top"/>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p>
          <w:p>
            <w:pPr>
              <w:widowControl/>
              <w:jc w:val="center"/>
              <w:rPr>
                <w:rFonts w:hint="eastAsia" w:ascii="宋体" w:hAnsi="宋体" w:cs="宋体"/>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top"/>
          </w:tcPr>
          <w:p>
            <w:pPr>
              <w:widowControl/>
              <w:jc w:val="center"/>
              <w:rPr>
                <w:rFonts w:hint="eastAsia" w:ascii="宋体" w:hAnsi="宋体" w:eastAsia="宋体" w:cs="宋体"/>
                <w:color w:val="auto"/>
                <w:kern w:val="0"/>
                <w:sz w:val="24"/>
                <w:highlight w:val="yellow"/>
                <w:lang w:val="en-US" w:eastAsia="zh-CN"/>
              </w:rPr>
            </w:pPr>
            <w:r>
              <w:rPr>
                <w:rFonts w:hint="eastAsia" w:ascii="宋体" w:hAnsi="宋体" w:cs="宋体"/>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top"/>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p>
          <w:p>
            <w:pPr>
              <w:widowControl/>
              <w:jc w:val="center"/>
              <w:rPr>
                <w:rFonts w:hint="eastAsia" w:ascii="宋体" w:hAnsi="宋体" w:cs="宋体"/>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top"/>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①按规定内容公开预决算信息，1分；②按规定时限公开预决算信息，1分；③基础数据信息和会计信息资料真实、完整，1分；</w:t>
            </w:r>
            <w:r>
              <w:rPr>
                <w:rFonts w:hint="eastAsia" w:ascii="微软雅黑" w:hAnsi="微软雅黑" w:eastAsia="微软雅黑" w:cs="宋体"/>
                <w:kern w:val="0"/>
                <w:sz w:val="20"/>
                <w:szCs w:val="20"/>
              </w:rPr>
              <w:t>④</w:t>
            </w:r>
            <w:r>
              <w:rPr>
                <w:rFonts w:hint="eastAsia" w:ascii="仿宋_GB2312" w:hAnsi="宋体" w:eastAsia="仿宋_GB2312" w:cs="宋体"/>
                <w:kern w:val="0"/>
                <w:sz w:val="20"/>
                <w:szCs w:val="20"/>
              </w:rPr>
              <w:t xml:space="preserve">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top"/>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按时报送2017年行政事业单位资产报表的，每延迟一天，扣1分，扣完为止。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《邵阳市财政局关于编报2016年行政事业单位资产报表的通知》</w:t>
            </w:r>
          </w:p>
        </w:tc>
        <w:tc>
          <w:tcPr>
            <w:tcW w:w="617" w:type="dxa"/>
            <w:noWrap w:val="0"/>
            <w:vAlign w:val="top"/>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top"/>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年度部门整体支出绩效目标的，2分；</w:t>
            </w:r>
            <w:r>
              <w:rPr>
                <w:rFonts w:hint="eastAsia" w:ascii="微软雅黑" w:hAnsi="微软雅黑" w:eastAsia="微软雅黑" w:cs="宋体"/>
                <w:kern w:val="0"/>
                <w:sz w:val="20"/>
                <w:szCs w:val="20"/>
              </w:rPr>
              <w:t>③</w:t>
            </w:r>
            <w:r>
              <w:rPr>
                <w:rFonts w:hint="eastAsia" w:ascii="仿宋_GB2312" w:hAnsi="宋体" w:eastAsia="仿宋_GB2312" w:cs="宋体"/>
                <w:kern w:val="0"/>
                <w:sz w:val="20"/>
                <w:szCs w:val="20"/>
              </w:rPr>
              <w:t>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1.《邵阳市财政局关于报送201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年财政专项（项目）资金预算绩效目标的通知》（邵财绩〔201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号）</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2.《邵阳市财政局关于编制201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年部门整体支出绩效目标的通知》（邵财绩〔201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号）</w:t>
            </w:r>
          </w:p>
        </w:tc>
        <w:tc>
          <w:tcPr>
            <w:tcW w:w="617" w:type="dxa"/>
            <w:noWrap w:val="0"/>
            <w:vAlign w:val="top"/>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1.《邵阳市财政局关于开展201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年专项资金支出及已完工项目绩效自评工作的通知》（邵财绩〔201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号）</w:t>
            </w: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2.《邵阳市财政局关于做好201</w:t>
            </w:r>
            <w:r>
              <w:rPr>
                <w:rFonts w:hint="eastAsia" w:ascii="仿宋_GB2312" w:hAnsi="宋体" w:eastAsia="仿宋_GB2312" w:cs="宋体"/>
                <w:kern w:val="0"/>
                <w:sz w:val="20"/>
                <w:szCs w:val="20"/>
                <w:lang w:val="en-US" w:eastAsia="zh-CN"/>
              </w:rPr>
              <w:t>7</w:t>
            </w:r>
            <w:r>
              <w:rPr>
                <w:rFonts w:hint="eastAsia" w:ascii="仿宋_GB2312" w:hAnsi="宋体" w:eastAsia="仿宋_GB2312" w:cs="宋体"/>
                <w:kern w:val="0"/>
                <w:sz w:val="20"/>
                <w:szCs w:val="20"/>
              </w:rPr>
              <w:t>年度部门整体支出绩效自评工作的通知》（邵财绩〔201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〕2号）</w:t>
            </w:r>
          </w:p>
          <w:p>
            <w:pPr>
              <w:widowControl/>
              <w:rPr>
                <w:rFonts w:hint="eastAsia" w:ascii="仿宋_GB2312" w:hAnsi="宋体" w:eastAsia="仿宋_GB2312" w:cs="宋体"/>
                <w:kern w:val="0"/>
                <w:sz w:val="20"/>
                <w:szCs w:val="20"/>
              </w:rPr>
            </w:pPr>
          </w:p>
        </w:tc>
        <w:tc>
          <w:tcPr>
            <w:tcW w:w="617" w:type="dxa"/>
            <w:noWrap w:val="0"/>
            <w:vAlign w:val="top"/>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617" w:type="dxa"/>
            <w:noWrap w:val="0"/>
            <w:vAlign w:val="top"/>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top"/>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top"/>
          </w:tcPr>
          <w:p>
            <w:pPr>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w:t>
            </w:r>
            <w:r>
              <w:rPr>
                <w:rFonts w:hint="eastAsia" w:ascii="仿宋_GB2312" w:hAnsi="宋体" w:eastAsia="仿宋_GB2312" w:cs="宋体"/>
                <w:kern w:val="0"/>
                <w:sz w:val="20"/>
                <w:szCs w:val="20"/>
                <w:lang w:val="en-US" w:eastAsia="zh-CN"/>
              </w:rPr>
              <w:t>8</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top"/>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99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A6BA8"/>
    <w:rsid w:val="2F8D5D2B"/>
    <w:rsid w:val="3D1A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2019-12-19T05:36:00Z</dcterms:created>
  <dc:creator>圆</dc:creator>
  <cp:lastModifiedBy>圆</cp:lastModifiedBy>
  <dcterms:modified xsi:type="dcterms:W3CDTF">2019-12-19T05:59:59Z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