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eastAsia="zh-CN"/>
        </w:rPr>
        <w:t>邵阳市市政工程总公司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</w:p>
    <w:p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eastAsia="zh-CN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ind w:right="641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基本情况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司为副处级公益二类事业单位，隶属邵阳市城市管理和综合执法局，负责全市城区道路、排水、桥梁及其附属市政公用设施的日常管理及养护维修，承担涉及市政工程设施方面的城市防汛、防涝、抗冰雪等突发应急事件的具体实施。核定差额拨款事业编制360人，截至2018年12月底我司实有在编人员238人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  <w:t>根据上述职能，公司机关设6个职能科（室）：办公室、政工科、财务科、生产科、经营科、安保科等机构按市编发[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  <w:t>2014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  <w:t>]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  <w:t>34号文件设置。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公司下辖道路维护分公司、城市桥梁管理所、道路桥梁施工分公司、沥青施工分公司等四个正科级二级机构。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  <w:t>根据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  <w:t>市编发[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  <w:t>2014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  <w:t>]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 w:bidi="ar-SA"/>
        </w:rPr>
        <w:t>34号文件，其中桥梁管理所为独立法人机构，其他3个分公司为非独立法人机构。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部门整体支出规模、使用方向</w:t>
      </w:r>
      <w:r>
        <w:rPr>
          <w:rFonts w:eastAsia="仿宋_GB2312"/>
          <w:sz w:val="32"/>
          <w:szCs w:val="32"/>
        </w:rPr>
        <w:t>和主要内容、涉及范围等。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每年我司财政预算经费收入由市财政预算科核拨（按在职职工人数的41%预算），其不足部分由单位自筹。城市道路桥梁维护经费由市财政局经建科核拨，主要用于我司担负的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zh-CN" w:eastAsia="zh-CN" w:bidi="ar-SA"/>
        </w:rPr>
        <w:t>市政公用设施建设管理和维护开支。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textAlignment w:val="auto"/>
        <w:rPr>
          <w:rFonts w:hint="eastAsia" w:ascii="仿宋_GB2312" w:hAnsi="方正大标宋简体" w:eastAsia="仿宋_GB2312"/>
          <w:sz w:val="28"/>
          <w:szCs w:val="28"/>
          <w:lang w:val="en-US" w:eastAsia="zh-CN"/>
        </w:rPr>
      </w:pP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2018年初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预算收入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1916.77万元（</w:t>
      </w:r>
      <w:r>
        <w:rPr>
          <w:rFonts w:hint="eastAsia" w:ascii="仿宋_GB2312" w:hAnsi="方正大标宋简体" w:eastAsia="仿宋_GB2312"/>
          <w:sz w:val="32"/>
          <w:szCs w:val="32"/>
        </w:rPr>
        <w:t>其中：一般公共预算拨款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1040.45万元；市政维护专项</w:t>
      </w:r>
      <w:r>
        <w:rPr>
          <w:rFonts w:hint="eastAsia" w:ascii="仿宋_GB2312" w:hAnsi="方正大标宋简体" w:eastAsia="仿宋_GB2312"/>
          <w:sz w:val="32"/>
          <w:szCs w:val="32"/>
        </w:rPr>
        <w:t>收入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876.32</w:t>
      </w:r>
      <w:r>
        <w:rPr>
          <w:rFonts w:hint="eastAsia" w:ascii="仿宋_GB2312" w:hAnsi="方正大标宋简体" w:eastAsia="仿宋_GB2312"/>
          <w:sz w:val="32"/>
          <w:szCs w:val="32"/>
        </w:rPr>
        <w:t>万元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本年追加129.79万（其中：一般公共预算收入追加职工基本工资调整29.79万元；市政维护专项收入追加抢险施工20万元、补拨上年80万元)，实际收入2046.56万元。</w:t>
      </w:r>
      <w:r>
        <w:rPr>
          <w:rFonts w:ascii="仿宋_GB2312" w:hAnsi="方正大标宋简体" w:eastAsia="仿宋_GB2312"/>
          <w:sz w:val="32"/>
          <w:szCs w:val="32"/>
        </w:rPr>
        <w:t>201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8</w:t>
      </w:r>
      <w:r>
        <w:rPr>
          <w:rFonts w:ascii="仿宋_GB2312" w:hAnsi="方正大标宋简体" w:eastAsia="仿宋_GB2312"/>
          <w:sz w:val="32"/>
          <w:szCs w:val="32"/>
        </w:rPr>
        <w:t>年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初、年未财政结转结余均为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介绍基本支出的主要用途、范围以及资金的管理情况，尤其是“三公”经费的使用和管理情况。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_GB2312" w:hAnsi="方正大标宋简体" w:eastAsia="仿宋_GB2312"/>
          <w:sz w:val="28"/>
          <w:szCs w:val="28"/>
        </w:rPr>
      </w:pPr>
      <w:r>
        <w:rPr>
          <w:rFonts w:ascii="仿宋_GB2312" w:hAnsi="方正大标宋简体" w:eastAsia="仿宋_GB2312"/>
          <w:sz w:val="28"/>
          <w:szCs w:val="28"/>
        </w:rPr>
        <w:t>201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方正大标宋简体" w:eastAsia="仿宋_GB2312"/>
          <w:sz w:val="28"/>
          <w:szCs w:val="28"/>
        </w:rPr>
        <w:t>年</w:t>
      </w:r>
      <w:r>
        <w:rPr>
          <w:rFonts w:hint="eastAsia" w:ascii="仿宋_GB2312" w:hAnsi="方正大标宋简体" w:eastAsia="仿宋_GB2312"/>
          <w:sz w:val="28"/>
          <w:szCs w:val="28"/>
          <w:lang w:eastAsia="zh-CN"/>
        </w:rPr>
        <w:t>基本</w:t>
      </w:r>
      <w:r>
        <w:rPr>
          <w:rFonts w:hint="eastAsia" w:ascii="仿宋_GB2312" w:hAnsi="方正大标宋简体" w:eastAsia="仿宋_GB2312"/>
          <w:sz w:val="28"/>
          <w:szCs w:val="28"/>
        </w:rPr>
        <w:t>支出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1070.24</w:t>
      </w:r>
      <w:r>
        <w:rPr>
          <w:rFonts w:hint="eastAsia" w:ascii="仿宋_GB2312" w:hAnsi="方正大标宋简体" w:eastAsia="仿宋_GB2312"/>
          <w:sz w:val="28"/>
          <w:szCs w:val="28"/>
        </w:rPr>
        <w:t xml:space="preserve">万元，其中: </w:t>
      </w:r>
      <w:r>
        <w:rPr>
          <w:rFonts w:hint="eastAsia" w:ascii="仿宋_GB2312" w:hAnsi="方正大标宋简体" w:eastAsia="仿宋_GB2312"/>
          <w:sz w:val="28"/>
          <w:szCs w:val="28"/>
          <w:lang w:eastAsia="zh-CN"/>
        </w:rPr>
        <w:t>人员经费</w:t>
      </w:r>
      <w:r>
        <w:rPr>
          <w:rFonts w:hint="eastAsia" w:ascii="仿宋_GB2312" w:hAnsi="方正大标宋简体" w:eastAsia="仿宋_GB2312"/>
          <w:sz w:val="28"/>
          <w:szCs w:val="28"/>
        </w:rPr>
        <w:t>支出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1060.74</w:t>
      </w:r>
      <w:r>
        <w:rPr>
          <w:rFonts w:hint="eastAsia" w:ascii="仿宋_GB2312" w:hAnsi="方正大标宋简体" w:eastAsia="仿宋_GB2312"/>
          <w:sz w:val="28"/>
          <w:szCs w:val="28"/>
        </w:rPr>
        <w:t>万元；</w:t>
      </w:r>
      <w:r>
        <w:rPr>
          <w:rFonts w:hint="eastAsia" w:ascii="仿宋_GB2312" w:hAnsi="方正大标宋简体" w:eastAsia="仿宋_GB2312"/>
          <w:sz w:val="28"/>
          <w:szCs w:val="28"/>
          <w:lang w:eastAsia="zh-CN"/>
        </w:rPr>
        <w:t>日常公用经费（“三公经费”）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9.5万元，主要用于车辆运行维护，</w:t>
      </w:r>
      <w:r>
        <w:rPr>
          <w:rFonts w:ascii="仿宋_GB2312" w:hAnsi="方正大标宋简体" w:eastAsia="仿宋_GB2312"/>
          <w:sz w:val="28"/>
          <w:szCs w:val="28"/>
        </w:rPr>
        <w:t>201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8</w:t>
      </w:r>
      <w:r>
        <w:rPr>
          <w:rFonts w:ascii="仿宋_GB2312" w:hAnsi="方正大标宋简体" w:eastAsia="仿宋_GB2312"/>
          <w:sz w:val="28"/>
          <w:szCs w:val="28"/>
        </w:rPr>
        <w:t>年“三公”经费</w:t>
      </w:r>
      <w:r>
        <w:rPr>
          <w:rFonts w:hint="eastAsia" w:ascii="仿宋_GB2312" w:hAnsi="方正大标宋简体" w:eastAsia="仿宋_GB2312"/>
          <w:sz w:val="28"/>
          <w:szCs w:val="28"/>
        </w:rPr>
        <w:t>决</w:t>
      </w:r>
      <w:r>
        <w:rPr>
          <w:rFonts w:ascii="仿宋_GB2312" w:hAnsi="方正大标宋简体" w:eastAsia="仿宋_GB2312"/>
          <w:sz w:val="28"/>
          <w:szCs w:val="28"/>
        </w:rPr>
        <w:t>算</w:t>
      </w:r>
      <w:r>
        <w:rPr>
          <w:rFonts w:hint="eastAsia" w:ascii="仿宋_GB2312" w:hAnsi="方正大标宋简体" w:eastAsia="仿宋_GB2312"/>
          <w:sz w:val="28"/>
          <w:szCs w:val="28"/>
        </w:rPr>
        <w:t>比201</w:t>
      </w:r>
      <w:r>
        <w:rPr>
          <w:rFonts w:hint="eastAsia" w:ascii="仿宋_GB2312" w:hAnsi="方正大标宋简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方正大标宋简体" w:eastAsia="仿宋_GB2312"/>
          <w:sz w:val="28"/>
          <w:szCs w:val="28"/>
        </w:rPr>
        <w:t>年减少0.5万元</w:t>
      </w:r>
      <w:r>
        <w:rPr>
          <w:rFonts w:ascii="仿宋_GB2312" w:hAnsi="方正大标宋简体" w:eastAsia="仿宋_GB2312"/>
          <w:sz w:val="28"/>
          <w:szCs w:val="28"/>
        </w:rPr>
        <w:t>，</w:t>
      </w:r>
      <w:r>
        <w:rPr>
          <w:rFonts w:hint="eastAsia" w:ascii="仿宋_GB2312" w:hAnsi="方正大标宋简体" w:eastAsia="仿宋_GB2312"/>
          <w:sz w:val="28"/>
          <w:szCs w:val="28"/>
        </w:rPr>
        <w:t>我公司</w:t>
      </w:r>
      <w:r>
        <w:rPr>
          <w:rFonts w:ascii="仿宋_GB2312" w:hAnsi="方正大标宋简体" w:eastAsia="仿宋_GB2312"/>
          <w:sz w:val="28"/>
          <w:szCs w:val="28"/>
        </w:rPr>
        <w:t>按照</w:t>
      </w:r>
      <w:r>
        <w:rPr>
          <w:rFonts w:hint="eastAsia" w:ascii="仿宋_GB2312" w:hAnsi="方正大标宋简体" w:eastAsia="仿宋_GB2312"/>
          <w:sz w:val="28"/>
          <w:szCs w:val="28"/>
        </w:rPr>
        <w:t>中央、</w:t>
      </w:r>
      <w:r>
        <w:rPr>
          <w:rFonts w:ascii="仿宋_GB2312" w:hAnsi="方正大标宋简体" w:eastAsia="仿宋_GB2312"/>
          <w:sz w:val="28"/>
          <w:szCs w:val="28"/>
        </w:rPr>
        <w:t>省</w:t>
      </w:r>
      <w:r>
        <w:rPr>
          <w:rFonts w:hint="eastAsia" w:ascii="仿宋_GB2312" w:hAnsi="方正大标宋简体" w:eastAsia="仿宋_GB2312"/>
          <w:sz w:val="28"/>
          <w:szCs w:val="28"/>
        </w:rPr>
        <w:t>和市委市政府</w:t>
      </w:r>
      <w:r>
        <w:rPr>
          <w:rFonts w:ascii="仿宋_GB2312" w:hAnsi="方正大标宋简体" w:eastAsia="仿宋_GB2312"/>
          <w:sz w:val="28"/>
          <w:szCs w:val="28"/>
        </w:rPr>
        <w:t>要求，厉行节约，继续严控“三公”经费</w:t>
      </w:r>
      <w:r>
        <w:rPr>
          <w:rFonts w:hint="eastAsia" w:ascii="仿宋_GB2312" w:hAnsi="方正大标宋简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2018年城市道路维护专项支出976.32万元，主要承担城区范围内57条主次干道的路面、人行道、排水管沟及6座城市桥梁（西湖桥、沿江桥、青龙桥、邵水桥、广场人行天桥、西湖南路铁路桥）的日常维护，道路总长度46.34Km，沿河护栏4600m。根据政府相关规定，维护经费从城市建设费中全额列支，由市财政局按月进度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市政工程总公司根据国家及地方相关财务规定，结合单位自身特点，制定了《市政工程总公司财务管理办法》，对专项经费进行严格管理，在项目执行过程中，严格对项目经费实行专款专用，明确项目管理和实施的具体责任部门和责任人，强化资金使用的监督，包括经费使用前预算和计划的审核审批。加强专项资金使用过程的控制和追踪问效，进一步推进专项资金使用中的监管。同时，在经费使用后，对支出内容真实、合理、合法性加强审核监督，确保了资金的使用效率和项目的顺利实施，做到每一分钱都用在刀刃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为确保“路平”、“桥稳”、“水通”，给市民营造一个和谐的生活氛围，根据市政府要求，市政工程总公司对市政设施日常维护进行了细致研究，制定了相关的工作计划和实施方案，对工作目标、完成时间、实施步骤提出了具体要求。由市政工程总公司生产科对维护质量按照《城镇道路工程施工与质量验收规范》实施完工验收，均达到合格。为及时、高效地完成全年维护工作，市政工程总公司对承担的任务进行层层分解，将工作分解到个人、落实到个人。同时，加强对市政设施维护工作进行督促检查，发现问题及时进行整改，并将检查情况纳入年度工作考核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加强和规范我司资产管理，保证单位国有资金产的安全完整，进一步提高资产管理水平，我司组织相关部门科室认真学习《行政事业单位国有资产管理暂行办法》、《事业单位国有资产管理暂行办法》等文件，明确了工作职责和工作要求，力求做到规范管理，科学统筹，不断提高资产使用效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在资产日常管理方面，结合我司实际情况，积极探索与之相适应的资产管理配套实施办法，新修订了《市政工程总公司资产管理办法》，实施“单位资产动态兼管、资源共享、资产管理与预算管理、资金管理相结合”的管理办法。做好固定资产台账，新增资产及时入账，落实保管制度，责任到人。资产盘亏、报废由公司办公室盘点后提出资产盘亏、报废申请报告，并会同监察部门核查落实后，报财政部门审批，严格规范资产处置程序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落实检查制度，对各分公司、各科室资产的调配、使用、保管进行定期和不定期检查，特别是对易携带、易丢失、已损坏资产的检查，通过检查未发现出租、出借、私自带走单位资产的现象。各分公司、各科室基本做到帐实相符、存放地点清楚，责任人员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firstLine="320" w:firstLineChars="1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hint="eastAsia" w:eastAsia="黑体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根据《邵阳市财政局关于开展2018年度部门整体支出绩效自评工作的通知》（邵财绩[2019]2号）等相关文件要求，我司制定了部门整体支出绩效评价的工作方案，成立了绩效评价工作领导小级、绩效评价工作组，2019年6月10日召开了现场评价工作安排部署会，于6月17日完成自评工作。绩效评价工作主要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（二）核实数据。对2018年部门整体支出数据的准确性、真实性核实。将2018年度和2017年度部门整体支出情况进行比较分析。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（三）查阅资料。查阅2018年度预算安排、预算追加、资金管理、经费支出、资产管理等相关文件资料和财务凭证。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（四）发放调查问卷。对部门履行职责情况的公众满意度向社会群众、服务对象、单位员工进行调查。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（五）归纳总结。对收集的评价材料结合本部门情况进行综合分析、归纳汇总。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（六）根据评价材料结合各项评价指标进行分析评价。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（七）形成绩效评价自评报告。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邵阳市市政工程总公司</w:t>
      </w:r>
      <w:r>
        <w:rPr>
          <w:rFonts w:hint="eastAsia" w:eastAsia="仿宋_GB2312"/>
          <w:sz w:val="32"/>
          <w:szCs w:val="32"/>
          <w:lang w:val="en-US" w:eastAsia="zh-CN"/>
        </w:rPr>
        <w:t>2018年综合评价在决策上科学合理，项目管理上规范到位，基本达到了预期的绩效目标，取得良好的社会效益，综合绩效评价“优秀”。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部门整体支出主要</w:t>
      </w:r>
      <w:r>
        <w:rPr>
          <w:rFonts w:eastAsia="黑体"/>
          <w:sz w:val="32"/>
          <w:szCs w:val="32"/>
        </w:rPr>
        <w:t>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（一）经济性：我司（预算）控制良好，全年未向财政申请增加预算，执行预算厉行节约。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（二）效率性：我司预算完成率、执行率、支付进度率、“三公”经费控制率全部达标。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（三）效益性：我司圆满完成预期目标，整体支出按年初预算没有增加；项目支出全部是市政工程和民生工程项目无经济效益，取得了较好的环境效益和社会评价。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我司属公益二类事业单位，为社会提供公益性服务。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一般公共经费由市财政预算科核拨（按在职职工人数的41%预算），其不足部分由单位自筹。而公司因体制原因不能进行市场经营性业务，无法取得相应自筹差额收入。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改进措施和有关建议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我司在经费使用上相对紧张，需财政预算增加人员经费比例，缩减自筹比例。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宋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宋体" w:hAnsi="宋体"/>
          <w:sz w:val="44"/>
          <w:szCs w:val="44"/>
        </w:rPr>
      </w:pP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both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E3A4F"/>
    <w:multiLevelType w:val="singleLevel"/>
    <w:tmpl w:val="D51E3A4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48E9D6"/>
    <w:multiLevelType w:val="singleLevel"/>
    <w:tmpl w:val="1F48E9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BAEB08"/>
    <w:multiLevelType w:val="singleLevel"/>
    <w:tmpl w:val="49BAEB08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22356"/>
    <w:rsid w:val="0A0C0BA3"/>
    <w:rsid w:val="0BE54988"/>
    <w:rsid w:val="0E494AF2"/>
    <w:rsid w:val="0F692465"/>
    <w:rsid w:val="173A2B63"/>
    <w:rsid w:val="21E27928"/>
    <w:rsid w:val="24FA0ED1"/>
    <w:rsid w:val="36F16361"/>
    <w:rsid w:val="3AAE604C"/>
    <w:rsid w:val="3C92194F"/>
    <w:rsid w:val="599259E0"/>
    <w:rsid w:val="6BD271C0"/>
    <w:rsid w:val="79E87EF8"/>
    <w:rsid w:val="7C3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[Normal]"/>
    <w:qFormat/>
    <w:uiPriority w:val="6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2019-06-17T06:30:00Z</cp:lastPrinted>
  <dcterms:modified xsi:type="dcterms:W3CDTF">2021-05-14T00:20:00Z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71861B84AEAF49119484E900F1079696</vt:lpwstr>
  </property>
</Properties>
</file>