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       </w:t>
      </w:r>
      <w:r>
        <w:rPr>
          <w:rFonts w:hint="eastAsia"/>
          <w:sz w:val="28"/>
          <w:szCs w:val="36"/>
          <w:lang w:val="en-US" w:eastAsia="zh-CN"/>
        </w:rPr>
        <w:t xml:space="preserve"> </w:t>
      </w:r>
      <w:r>
        <w:rPr>
          <w:rFonts w:hint="eastAsia"/>
          <w:sz w:val="28"/>
          <w:szCs w:val="36"/>
        </w:rPr>
        <w:t xml:space="preserve"> </w:t>
      </w:r>
      <w:r>
        <w:rPr>
          <w:rFonts w:hint="eastAsia"/>
          <w:sz w:val="28"/>
          <w:szCs w:val="36"/>
          <w:lang w:val="en-US" w:eastAsia="zh-CN"/>
        </w:rPr>
        <w:t xml:space="preserve">  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清理拖欠民营企业中小企业账款统计表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</w:t>
      </w:r>
      <w:r>
        <w:rPr>
          <w:rFonts w:hint="eastAsia" w:ascii="方正楷体简体" w:hAnsi="Times New Roman" w:eastAsia="方正楷体简体" w:cs="方正楷体简体"/>
          <w:sz w:val="32"/>
          <w:szCs w:val="32"/>
        </w:rPr>
        <w:t>填报单位（盖章）：</w:t>
      </w:r>
      <w:r>
        <w:rPr>
          <w:rFonts w:ascii="方正楷体简体" w:hAnsi="Times New Roman" w:eastAsia="方正楷体简体" w:cs="方正楷体简体"/>
          <w:sz w:val="32"/>
          <w:szCs w:val="32"/>
        </w:rPr>
        <w:t xml:space="preserve">             </w:t>
      </w:r>
      <w:r>
        <w:rPr>
          <w:rFonts w:hint="eastAsia" w:ascii="方正楷体简体" w:hAnsi="Times New Roman" w:eastAsia="方正楷体简体" w:cs="方正楷体简体"/>
          <w:sz w:val="32"/>
          <w:szCs w:val="32"/>
        </w:rPr>
        <w:t xml:space="preserve">   </w:t>
      </w:r>
      <w:r>
        <w:rPr>
          <w:rFonts w:ascii="方正楷体简体" w:hAnsi="Times New Roman" w:eastAsia="方正楷体简体" w:cs="方正楷体简体"/>
          <w:sz w:val="32"/>
          <w:szCs w:val="32"/>
        </w:rPr>
        <w:t xml:space="preserve">  </w:t>
      </w:r>
      <w:r>
        <w:rPr>
          <w:rFonts w:hint="eastAsia" w:ascii="方正楷体简体" w:hAnsi="Times New Roman" w:eastAsia="方正楷体简体" w:cs="方正楷体简体"/>
          <w:sz w:val="32"/>
          <w:szCs w:val="32"/>
        </w:rPr>
        <w:t>填报日期：</w:t>
      </w:r>
      <w:r>
        <w:rPr>
          <w:rFonts w:ascii="方正楷体简体" w:hAnsi="Times New Roman" w:eastAsia="方正楷体简体" w:cs="方正楷体简体"/>
          <w:sz w:val="32"/>
          <w:szCs w:val="32"/>
        </w:rPr>
        <w:t xml:space="preserve">     </w:t>
      </w:r>
      <w:r>
        <w:rPr>
          <w:rFonts w:hint="eastAsia" w:ascii="方正楷体简体" w:hAnsi="Times New Roman" w:eastAsia="方正楷体简体" w:cs="方正楷体简体"/>
          <w:sz w:val="32"/>
          <w:szCs w:val="32"/>
        </w:rPr>
        <w:t>年</w:t>
      </w:r>
      <w:r>
        <w:rPr>
          <w:rFonts w:ascii="方正楷体简体" w:hAnsi="Times New Roman" w:eastAsia="方正楷体简体" w:cs="方正楷体简体"/>
          <w:sz w:val="32"/>
          <w:szCs w:val="32"/>
        </w:rPr>
        <w:t xml:space="preserve">   </w:t>
      </w:r>
      <w:r>
        <w:rPr>
          <w:rFonts w:hint="eastAsia" w:ascii="方正楷体简体" w:hAnsi="Times New Roman" w:eastAsia="方正楷体简体" w:cs="方正楷体简体"/>
          <w:sz w:val="32"/>
          <w:szCs w:val="32"/>
        </w:rPr>
        <w:t>月</w:t>
      </w:r>
      <w:r>
        <w:rPr>
          <w:rFonts w:ascii="方正楷体简体" w:hAnsi="Times New Roman" w:eastAsia="方正楷体简体" w:cs="方正楷体简体"/>
          <w:sz w:val="32"/>
          <w:szCs w:val="32"/>
        </w:rPr>
        <w:t xml:space="preserve">   </w:t>
      </w:r>
      <w:r>
        <w:rPr>
          <w:rFonts w:hint="eastAsia" w:ascii="方正楷体简体" w:hAnsi="Times New Roman" w:eastAsia="方正楷体简体" w:cs="方正楷体简体"/>
          <w:sz w:val="32"/>
          <w:szCs w:val="32"/>
        </w:rPr>
        <w:t>日</w:t>
      </w:r>
      <w:r>
        <w:rPr>
          <w:rFonts w:ascii="方正楷体简体" w:hAnsi="Times New Roman" w:eastAsia="方正楷体简体" w:cs="方正楷体简体"/>
          <w:sz w:val="32"/>
          <w:szCs w:val="32"/>
        </w:rPr>
        <w:t xml:space="preserve">        </w:t>
      </w:r>
      <w:r>
        <w:rPr>
          <w:rFonts w:hint="eastAsia" w:ascii="方正楷体简体" w:hAnsi="Times New Roman" w:eastAsia="方正楷体简体" w:cs="方正楷体简体"/>
          <w:sz w:val="32"/>
          <w:szCs w:val="32"/>
        </w:rPr>
        <w:t xml:space="preserve">   </w:t>
      </w:r>
      <w:r>
        <w:rPr>
          <w:rFonts w:ascii="方正楷体简体" w:hAnsi="Times New Roman" w:eastAsia="方正楷体简体" w:cs="方正楷体简体"/>
          <w:sz w:val="32"/>
          <w:szCs w:val="32"/>
        </w:rPr>
        <w:t xml:space="preserve">     </w:t>
      </w:r>
      <w:r>
        <w:rPr>
          <w:rFonts w:hint="eastAsia" w:ascii="方正楷体简体" w:hAnsi="Times New Roman" w:eastAsia="方正楷体简体" w:cs="方正楷体简体"/>
          <w:sz w:val="32"/>
          <w:szCs w:val="32"/>
        </w:rPr>
        <w:t>单位：万元</w:t>
      </w:r>
    </w:p>
    <w:tbl>
      <w:tblPr>
        <w:tblStyle w:val="5"/>
        <w:tblpPr w:leftFromText="180" w:rightFromText="180" w:vertAnchor="text" w:horzAnchor="page" w:tblpXSpec="center" w:tblpY="111"/>
        <w:tblOverlap w:val="never"/>
        <w:tblW w:w="14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1367"/>
        <w:gridCol w:w="2200"/>
        <w:gridCol w:w="1433"/>
        <w:gridCol w:w="1617"/>
        <w:gridCol w:w="1620"/>
        <w:gridCol w:w="1335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4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目</w:t>
            </w:r>
          </w:p>
        </w:tc>
        <w:tc>
          <w:tcPr>
            <w:tcW w:w="136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拖欠账款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计</w:t>
            </w:r>
          </w:p>
        </w:tc>
        <w:tc>
          <w:tcPr>
            <w:tcW w:w="22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拖欠原因</w:t>
            </w:r>
          </w:p>
        </w:tc>
        <w:tc>
          <w:tcPr>
            <w:tcW w:w="30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截至填表日前清欠情况</w:t>
            </w:r>
          </w:p>
        </w:tc>
        <w:tc>
          <w:tcPr>
            <w:tcW w:w="451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剩余欠款偿还计划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2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pacing w:val="-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4"/>
                <w:szCs w:val="24"/>
              </w:rPr>
              <w:t>已偿还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spacing w:val="-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4"/>
                <w:szCs w:val="24"/>
              </w:rPr>
              <w:t>金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sz w:val="24"/>
                <w:szCs w:val="24"/>
              </w:rPr>
              <w:t>额</w:t>
            </w: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pacing w:val="-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4"/>
                <w:szCs w:val="24"/>
              </w:rPr>
              <w:t>偿还资金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spacing w:val="-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4"/>
                <w:szCs w:val="24"/>
              </w:rPr>
              <w:t>来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sz w:val="24"/>
                <w:szCs w:val="24"/>
              </w:rPr>
              <w:t>源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pacing w:val="-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4"/>
                <w:szCs w:val="24"/>
              </w:rPr>
              <w:t>剩余拖欠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spacing w:val="-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4"/>
                <w:szCs w:val="24"/>
              </w:rPr>
              <w:t>金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sz w:val="24"/>
                <w:szCs w:val="24"/>
              </w:rPr>
              <w:t>额</w:t>
            </w:r>
          </w:p>
        </w:tc>
        <w:tc>
          <w:tcPr>
            <w:tcW w:w="133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sz w:val="23"/>
                <w:szCs w:val="23"/>
              </w:rPr>
              <w:t>计划偿还完毕的日期</w:t>
            </w:r>
          </w:p>
        </w:tc>
        <w:tc>
          <w:tcPr>
            <w:tcW w:w="15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sz w:val="24"/>
                <w:szCs w:val="24"/>
              </w:rPr>
              <w:t>偿还资金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sz w:val="24"/>
                <w:szCs w:val="24"/>
              </w:rPr>
              <w:t>来</w:t>
            </w:r>
            <w:r>
              <w:rPr>
                <w:rFonts w:hint="eastAsia" w:ascii="宋体" w:hAnsi="宋体" w:eastAsia="宋体" w:cs="宋体"/>
                <w:b/>
                <w:bCs/>
                <w:spacing w:val="-6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pacing w:val="-6"/>
                <w:sz w:val="24"/>
                <w:szCs w:val="24"/>
              </w:rPr>
              <w:t>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4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合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计</w:t>
            </w:r>
          </w:p>
        </w:tc>
        <w:tc>
          <w:tcPr>
            <w:tcW w:w="136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0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43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一、政府部门及其所属机构欠款小计</w:t>
            </w:r>
          </w:p>
        </w:tc>
        <w:tc>
          <w:tcPr>
            <w:tcW w:w="136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0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43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其中：（一）拖欠农民工工资</w:t>
            </w:r>
          </w:p>
        </w:tc>
        <w:tc>
          <w:tcPr>
            <w:tcW w:w="136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0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43" w:type="dxa"/>
            <w:vAlign w:val="center"/>
          </w:tcPr>
          <w:p>
            <w:pPr>
              <w:spacing w:line="28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（二）涉及供气供暖等民生、安全方面的工程项目欠款</w:t>
            </w:r>
          </w:p>
        </w:tc>
        <w:tc>
          <w:tcPr>
            <w:tcW w:w="136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0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43" w:type="dxa"/>
            <w:vAlign w:val="center"/>
          </w:tcPr>
          <w:p>
            <w:pPr>
              <w:spacing w:line="28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（三）财政已下达专项资金预算或通过调剂解决了资金渠道的欠款</w:t>
            </w:r>
          </w:p>
        </w:tc>
        <w:tc>
          <w:tcPr>
            <w:tcW w:w="136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0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43" w:type="dxa"/>
            <w:vAlign w:val="center"/>
          </w:tcPr>
          <w:p>
            <w:pPr>
              <w:spacing w:line="28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（四）“两款一金”</w:t>
            </w:r>
          </w:p>
        </w:tc>
        <w:tc>
          <w:tcPr>
            <w:tcW w:w="136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0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43" w:type="dxa"/>
            <w:vAlign w:val="center"/>
          </w:tcPr>
          <w:p>
            <w:pPr>
              <w:spacing w:line="280" w:lineRule="exact"/>
              <w:ind w:firstLine="630" w:firstLineChars="3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其中：工程款</w:t>
            </w:r>
          </w:p>
        </w:tc>
        <w:tc>
          <w:tcPr>
            <w:tcW w:w="136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0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43" w:type="dxa"/>
            <w:vAlign w:val="center"/>
          </w:tcPr>
          <w:p>
            <w:pPr>
              <w:spacing w:line="280" w:lineRule="exact"/>
              <w:ind w:firstLine="1260" w:firstLineChars="6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物资采购款</w:t>
            </w:r>
          </w:p>
        </w:tc>
        <w:tc>
          <w:tcPr>
            <w:tcW w:w="136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0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43" w:type="dxa"/>
            <w:vAlign w:val="center"/>
          </w:tcPr>
          <w:p>
            <w:pPr>
              <w:spacing w:line="280" w:lineRule="exact"/>
              <w:ind w:firstLine="1260" w:firstLineChars="6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保证金</w:t>
            </w:r>
          </w:p>
        </w:tc>
        <w:tc>
          <w:tcPr>
            <w:tcW w:w="136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0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43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（五）按照政策规定入库保留的PPP项目到期应付合同款</w:t>
            </w:r>
          </w:p>
        </w:tc>
        <w:tc>
          <w:tcPr>
            <w:tcW w:w="136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0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43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（六）暂时难以落实预算资金的地方政府欠款</w:t>
            </w:r>
          </w:p>
        </w:tc>
        <w:tc>
          <w:tcPr>
            <w:tcW w:w="136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0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43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（七）已被叫停的不规范PPP项目、政府购买服务项目且已形成一定工作量的欠款</w:t>
            </w:r>
          </w:p>
        </w:tc>
        <w:tc>
          <w:tcPr>
            <w:tcW w:w="136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0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43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（八）其它</w:t>
            </w:r>
          </w:p>
        </w:tc>
        <w:tc>
          <w:tcPr>
            <w:tcW w:w="136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0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43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二、地方大型国有企业（不含地方政府融资平台公司）欠款小计</w:t>
            </w:r>
          </w:p>
        </w:tc>
        <w:tc>
          <w:tcPr>
            <w:tcW w:w="136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0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43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其中：（一）拖欠农民工工资</w:t>
            </w:r>
          </w:p>
        </w:tc>
        <w:tc>
          <w:tcPr>
            <w:tcW w:w="136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0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43" w:type="dxa"/>
            <w:vAlign w:val="center"/>
          </w:tcPr>
          <w:p>
            <w:pPr>
              <w:spacing w:line="28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（二）涉及供气供暖等民生、安全方面的工程项目欠款</w:t>
            </w:r>
          </w:p>
        </w:tc>
        <w:tc>
          <w:tcPr>
            <w:tcW w:w="136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0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43" w:type="dxa"/>
            <w:vAlign w:val="center"/>
          </w:tcPr>
          <w:p>
            <w:pPr>
              <w:spacing w:line="28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（三）财政已下达专项资金预算或通过调剂解决了资金渠道的欠款</w:t>
            </w:r>
          </w:p>
        </w:tc>
        <w:tc>
          <w:tcPr>
            <w:tcW w:w="136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0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43" w:type="dxa"/>
            <w:vAlign w:val="center"/>
          </w:tcPr>
          <w:p>
            <w:pPr>
              <w:spacing w:line="28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（四）“两款一金”</w:t>
            </w:r>
          </w:p>
        </w:tc>
        <w:tc>
          <w:tcPr>
            <w:tcW w:w="136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0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43" w:type="dxa"/>
            <w:vAlign w:val="center"/>
          </w:tcPr>
          <w:p>
            <w:pPr>
              <w:spacing w:line="28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其中：工程款</w:t>
            </w:r>
          </w:p>
        </w:tc>
        <w:tc>
          <w:tcPr>
            <w:tcW w:w="136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0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43" w:type="dxa"/>
            <w:vAlign w:val="center"/>
          </w:tcPr>
          <w:p>
            <w:pPr>
              <w:spacing w:line="280" w:lineRule="exact"/>
              <w:ind w:firstLine="1050" w:firstLineChars="5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物资采购款</w:t>
            </w:r>
          </w:p>
        </w:tc>
        <w:tc>
          <w:tcPr>
            <w:tcW w:w="136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0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43" w:type="dxa"/>
            <w:vAlign w:val="center"/>
          </w:tcPr>
          <w:p>
            <w:pPr>
              <w:spacing w:line="280" w:lineRule="exact"/>
              <w:ind w:firstLine="1050" w:firstLineChars="5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保证金</w:t>
            </w:r>
          </w:p>
        </w:tc>
        <w:tc>
          <w:tcPr>
            <w:tcW w:w="136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0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43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（五）按照政策规定入库保留的PPP项目到期应付合同款</w:t>
            </w:r>
          </w:p>
        </w:tc>
        <w:tc>
          <w:tcPr>
            <w:tcW w:w="136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0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43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（六）已被叫停的不规范PPP项目、政府购买服务项目且已形成一定工作量的欠款</w:t>
            </w:r>
          </w:p>
        </w:tc>
        <w:tc>
          <w:tcPr>
            <w:tcW w:w="136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0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43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（七）确有困难的国有企业欠款</w:t>
            </w:r>
          </w:p>
        </w:tc>
        <w:tc>
          <w:tcPr>
            <w:tcW w:w="136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0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43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（八）其它</w:t>
            </w:r>
          </w:p>
        </w:tc>
        <w:tc>
          <w:tcPr>
            <w:tcW w:w="136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0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43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三、地方政府融资平台公司欠款小计</w:t>
            </w:r>
          </w:p>
        </w:tc>
        <w:tc>
          <w:tcPr>
            <w:tcW w:w="136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0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43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其中：（一）拖欠农民工工资</w:t>
            </w:r>
          </w:p>
        </w:tc>
        <w:tc>
          <w:tcPr>
            <w:tcW w:w="136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0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43" w:type="dxa"/>
            <w:vAlign w:val="center"/>
          </w:tcPr>
          <w:p>
            <w:pPr>
              <w:spacing w:line="28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（二）涉及供气供暖等民生、安全方面的工程项目欠款</w:t>
            </w:r>
          </w:p>
        </w:tc>
        <w:tc>
          <w:tcPr>
            <w:tcW w:w="136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0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43" w:type="dxa"/>
            <w:vAlign w:val="center"/>
          </w:tcPr>
          <w:p>
            <w:pPr>
              <w:spacing w:line="28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（三）财政已下达专项资金预算或通过调剂解决了资金渠道的欠款</w:t>
            </w:r>
          </w:p>
        </w:tc>
        <w:tc>
          <w:tcPr>
            <w:tcW w:w="136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0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43" w:type="dxa"/>
            <w:vAlign w:val="center"/>
          </w:tcPr>
          <w:p>
            <w:pPr>
              <w:spacing w:line="28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（四）“两款一金”</w:t>
            </w:r>
          </w:p>
        </w:tc>
        <w:tc>
          <w:tcPr>
            <w:tcW w:w="136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0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43" w:type="dxa"/>
            <w:vAlign w:val="center"/>
          </w:tcPr>
          <w:p>
            <w:pPr>
              <w:spacing w:line="280" w:lineRule="exact"/>
              <w:ind w:firstLine="630" w:firstLineChars="3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其中：工程款</w:t>
            </w:r>
          </w:p>
        </w:tc>
        <w:tc>
          <w:tcPr>
            <w:tcW w:w="136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0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43" w:type="dxa"/>
            <w:vAlign w:val="center"/>
          </w:tcPr>
          <w:p>
            <w:pPr>
              <w:spacing w:line="280" w:lineRule="exact"/>
              <w:ind w:firstLine="1260" w:firstLineChars="6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物资采购款</w:t>
            </w:r>
          </w:p>
        </w:tc>
        <w:tc>
          <w:tcPr>
            <w:tcW w:w="136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0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43" w:type="dxa"/>
            <w:vAlign w:val="center"/>
          </w:tcPr>
          <w:p>
            <w:pPr>
              <w:spacing w:line="280" w:lineRule="exact"/>
              <w:ind w:firstLine="1260" w:firstLineChars="6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保证金</w:t>
            </w:r>
          </w:p>
        </w:tc>
        <w:tc>
          <w:tcPr>
            <w:tcW w:w="136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0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43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（五）按照政策规定入库保留的PPP项目到期应付合同款</w:t>
            </w:r>
          </w:p>
        </w:tc>
        <w:tc>
          <w:tcPr>
            <w:tcW w:w="136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0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43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（六）已被叫停的不规范PPP项目、政府购买服务项目且已形成一定工作量的欠款</w:t>
            </w:r>
          </w:p>
        </w:tc>
        <w:tc>
          <w:tcPr>
            <w:tcW w:w="136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0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43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（七）确有困难的平台公司欠款</w:t>
            </w:r>
          </w:p>
        </w:tc>
        <w:tc>
          <w:tcPr>
            <w:tcW w:w="136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0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43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（八）其它</w:t>
            </w:r>
          </w:p>
        </w:tc>
        <w:tc>
          <w:tcPr>
            <w:tcW w:w="136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0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spacing w:line="360" w:lineRule="exact"/>
        <w:rPr>
          <w:rFonts w:ascii="Times New Roman" w:hAnsi="Times New Roman" w:eastAsia="方正楷体简体" w:cs="方正楷体简体"/>
          <w:sz w:val="28"/>
          <w:szCs w:val="28"/>
        </w:rPr>
      </w:pPr>
    </w:p>
    <w:p>
      <w:pPr>
        <w:spacing w:line="360" w:lineRule="exact"/>
        <w:rPr>
          <w:rFonts w:hint="eastAsia" w:ascii="Times New Roman" w:hAnsi="Times New Roman" w:eastAsia="方正楷体简体" w:cs="方正楷体简体"/>
          <w:sz w:val="28"/>
          <w:szCs w:val="28"/>
        </w:rPr>
      </w:pPr>
      <w:r>
        <w:rPr>
          <w:rFonts w:hint="eastAsia" w:ascii="Times New Roman" w:hAnsi="Times New Roman" w:eastAsia="方正楷体简体" w:cs="方正楷体简体"/>
          <w:sz w:val="28"/>
          <w:szCs w:val="28"/>
        </w:rPr>
        <w:t>注：1.</w:t>
      </w:r>
      <w:r>
        <w:rPr>
          <w:rFonts w:hint="eastAsia" w:ascii="Times New Roman" w:hAnsi="Times New Roman" w:eastAsia="方正楷体简体" w:cs="方正楷体简体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方正楷体简体" w:cs="方正楷体简体"/>
          <w:sz w:val="28"/>
          <w:szCs w:val="28"/>
        </w:rPr>
        <w:t>填写要求：（1）请</w:t>
      </w:r>
      <w:r>
        <w:rPr>
          <w:rFonts w:hint="eastAsia" w:ascii="Times New Roman" w:hAnsi="Times New Roman" w:eastAsia="方正楷体简体" w:cs="方正楷体简体"/>
          <w:sz w:val="28"/>
          <w:szCs w:val="28"/>
          <w:lang w:eastAsia="zh-CN"/>
        </w:rPr>
        <w:t>市直各单位</w:t>
      </w:r>
      <w:r>
        <w:rPr>
          <w:rFonts w:ascii="Times New Roman" w:hAnsi="Times New Roman" w:eastAsia="方正楷体简体" w:cs="方正楷体简体"/>
          <w:sz w:val="28"/>
          <w:szCs w:val="28"/>
        </w:rPr>
        <w:t>按上述表格对</w:t>
      </w:r>
      <w:r>
        <w:rPr>
          <w:rFonts w:hint="eastAsia" w:ascii="Times New Roman" w:hAnsi="Times New Roman" w:eastAsia="方正楷体简体" w:cs="方正楷体简体"/>
          <w:sz w:val="28"/>
          <w:szCs w:val="28"/>
          <w:lang w:eastAsia="zh-CN"/>
        </w:rPr>
        <w:t>市</w:t>
      </w:r>
      <w:r>
        <w:rPr>
          <w:rFonts w:ascii="Times New Roman" w:hAnsi="Times New Roman" w:eastAsia="方正楷体简体" w:cs="方正楷体简体"/>
          <w:sz w:val="28"/>
          <w:szCs w:val="28"/>
        </w:rPr>
        <w:t>本级情况进行填报；（</w:t>
      </w:r>
      <w:r>
        <w:rPr>
          <w:rFonts w:hint="eastAsia" w:ascii="Times New Roman" w:hAnsi="Times New Roman" w:eastAsia="方正楷体简体" w:cs="方正楷体简体"/>
          <w:sz w:val="28"/>
          <w:szCs w:val="28"/>
        </w:rPr>
        <w:t>2</w:t>
      </w:r>
      <w:r>
        <w:rPr>
          <w:rFonts w:ascii="Times New Roman" w:hAnsi="Times New Roman" w:eastAsia="方正楷体简体" w:cs="方正楷体简体"/>
          <w:sz w:val="28"/>
          <w:szCs w:val="28"/>
        </w:rPr>
        <w:t>）</w:t>
      </w:r>
      <w:r>
        <w:rPr>
          <w:rFonts w:hint="eastAsia" w:ascii="Times New Roman" w:hAnsi="Times New Roman" w:eastAsia="方正楷体简体" w:cs="方正楷体简体"/>
          <w:sz w:val="28"/>
          <w:szCs w:val="28"/>
        </w:rPr>
        <w:t>请各</w:t>
      </w:r>
      <w:r>
        <w:rPr>
          <w:rFonts w:hint="eastAsia" w:ascii="Times New Roman" w:hAnsi="Times New Roman" w:eastAsia="方正楷体简体" w:cs="方正楷体简体"/>
          <w:sz w:val="28"/>
          <w:szCs w:val="28"/>
          <w:lang w:eastAsia="zh-CN"/>
        </w:rPr>
        <w:t>县市区、</w:t>
      </w:r>
      <w:r>
        <w:rPr>
          <w:rFonts w:hint="eastAsia" w:ascii="Times New Roman" w:hAnsi="Times New Roman" w:eastAsia="方正楷体简体" w:cs="方正楷体简体"/>
          <w:sz w:val="28"/>
          <w:szCs w:val="28"/>
          <w:lang w:val="en-US" w:eastAsia="zh-CN"/>
        </w:rPr>
        <w:t>邵阳</w:t>
      </w:r>
      <w:r>
        <w:rPr>
          <w:rFonts w:hint="eastAsia" w:ascii="Times New Roman" w:hAnsi="Times New Roman" w:eastAsia="方正楷体简体" w:cs="方正楷体简体"/>
          <w:sz w:val="28"/>
          <w:szCs w:val="28"/>
          <w:lang w:eastAsia="zh-CN"/>
        </w:rPr>
        <w:t>经开区</w:t>
      </w:r>
      <w:r>
        <w:rPr>
          <w:rFonts w:hint="eastAsia" w:ascii="Times New Roman" w:hAnsi="Times New Roman" w:eastAsia="方正楷体简体" w:cs="方正楷体简体"/>
          <w:sz w:val="28"/>
          <w:szCs w:val="28"/>
        </w:rPr>
        <w:t>按上述表格项目</w:t>
      </w:r>
    </w:p>
    <w:p>
      <w:pPr>
        <w:spacing w:line="360" w:lineRule="exact"/>
        <w:rPr>
          <w:rFonts w:hint="eastAsia" w:ascii="Times New Roman" w:hAnsi="Times New Roman" w:eastAsia="方正楷体简体" w:cs="方正楷体简体"/>
          <w:sz w:val="28"/>
          <w:szCs w:val="28"/>
        </w:rPr>
      </w:pPr>
      <w:r>
        <w:rPr>
          <w:rFonts w:hint="eastAsia" w:ascii="Times New Roman" w:hAnsi="Times New Roman" w:eastAsia="方正楷体简体" w:cs="方正楷体简体"/>
          <w:sz w:val="28"/>
          <w:szCs w:val="28"/>
          <w:lang w:val="en-US" w:eastAsia="zh-CN"/>
        </w:rPr>
        <w:t xml:space="preserve">      </w:t>
      </w:r>
      <w:r>
        <w:rPr>
          <w:rFonts w:hint="eastAsia" w:ascii="Times New Roman" w:hAnsi="Times New Roman" w:eastAsia="方正楷体简体" w:cs="方正楷体简体"/>
          <w:sz w:val="28"/>
          <w:szCs w:val="28"/>
        </w:rPr>
        <w:t>内容，分别填列形成全</w:t>
      </w:r>
      <w:r>
        <w:rPr>
          <w:rFonts w:hint="eastAsia" w:ascii="Times New Roman" w:hAnsi="Times New Roman" w:eastAsia="方正楷体简体" w:cs="方正楷体简体"/>
          <w:sz w:val="28"/>
          <w:szCs w:val="28"/>
          <w:lang w:eastAsia="zh-CN"/>
        </w:rPr>
        <w:t>县市区</w:t>
      </w:r>
      <w:r>
        <w:rPr>
          <w:rFonts w:hint="eastAsia" w:ascii="Times New Roman" w:hAnsi="Times New Roman" w:eastAsia="方正楷体简体" w:cs="方正楷体简体"/>
          <w:sz w:val="28"/>
          <w:szCs w:val="28"/>
        </w:rPr>
        <w:t>汇总表、</w:t>
      </w:r>
      <w:r>
        <w:rPr>
          <w:rFonts w:hint="eastAsia" w:ascii="Times New Roman" w:hAnsi="Times New Roman" w:eastAsia="方正楷体简体" w:cs="方正楷体简体"/>
          <w:sz w:val="28"/>
          <w:szCs w:val="28"/>
          <w:lang w:eastAsia="zh-CN"/>
        </w:rPr>
        <w:t>县</w:t>
      </w:r>
      <w:r>
        <w:rPr>
          <w:rFonts w:hint="eastAsia" w:ascii="Times New Roman" w:hAnsi="Times New Roman" w:eastAsia="方正楷体简体" w:cs="方正楷体简体"/>
          <w:sz w:val="28"/>
          <w:szCs w:val="28"/>
        </w:rPr>
        <w:t>本级统计表（按行政区划顺序分别填列县</w:t>
      </w:r>
      <w:r>
        <w:rPr>
          <w:rFonts w:hint="eastAsia" w:ascii="Times New Roman" w:hAnsi="Times New Roman" w:eastAsia="方正楷体简体" w:cs="方正楷体简体"/>
          <w:sz w:val="28"/>
          <w:szCs w:val="28"/>
          <w:lang w:eastAsia="zh-CN"/>
        </w:rPr>
        <w:t>本</w:t>
      </w:r>
      <w:r>
        <w:rPr>
          <w:rFonts w:hint="eastAsia" w:ascii="Times New Roman" w:hAnsi="Times New Roman" w:eastAsia="方正楷体简体" w:cs="方正楷体简体"/>
          <w:sz w:val="28"/>
          <w:szCs w:val="28"/>
        </w:rPr>
        <w:t>级数据），详表可向下加行；</w:t>
      </w:r>
    </w:p>
    <w:p>
      <w:pPr>
        <w:spacing w:line="360" w:lineRule="exact"/>
        <w:rPr>
          <w:rFonts w:ascii="Times New Roman" w:hAnsi="Times New Roman" w:eastAsia="方正楷体简体" w:cs="方正楷体简体"/>
          <w:sz w:val="28"/>
          <w:szCs w:val="28"/>
        </w:rPr>
      </w:pPr>
      <w:r>
        <w:rPr>
          <w:rFonts w:hint="eastAsia" w:ascii="Times New Roman" w:hAnsi="Times New Roman" w:eastAsia="方正楷体简体" w:cs="方正楷体简体"/>
          <w:sz w:val="28"/>
          <w:szCs w:val="28"/>
          <w:lang w:val="en-US" w:eastAsia="zh-CN"/>
        </w:rPr>
        <w:t xml:space="preserve">     </w:t>
      </w:r>
      <w:r>
        <w:rPr>
          <w:rFonts w:hint="eastAsia" w:ascii="Times New Roman" w:hAnsi="Times New Roman" w:eastAsia="方正楷体简体" w:cs="方正楷体简体"/>
          <w:sz w:val="28"/>
          <w:szCs w:val="28"/>
        </w:rPr>
        <w:t>（</w:t>
      </w:r>
      <w:r>
        <w:rPr>
          <w:rFonts w:ascii="Times New Roman" w:hAnsi="Times New Roman" w:eastAsia="方正楷体简体" w:cs="方正楷体简体"/>
          <w:sz w:val="28"/>
          <w:szCs w:val="28"/>
        </w:rPr>
        <w:t>3</w:t>
      </w:r>
      <w:r>
        <w:rPr>
          <w:rFonts w:hint="eastAsia" w:ascii="Times New Roman" w:hAnsi="Times New Roman" w:eastAsia="方正楷体简体" w:cs="方正楷体简体"/>
          <w:sz w:val="28"/>
          <w:szCs w:val="28"/>
        </w:rPr>
        <w:t>）填报时，如某项目尚未统计，则不填；如没有偿还金额或该项目不存在，则填</w:t>
      </w:r>
      <w:r>
        <w:rPr>
          <w:rFonts w:ascii="Times New Roman" w:hAnsi="Times New Roman" w:eastAsia="方正楷体简体" w:cs="Times New Roman"/>
          <w:sz w:val="28"/>
          <w:szCs w:val="28"/>
        </w:rPr>
        <w:t>0</w:t>
      </w:r>
      <w:r>
        <w:rPr>
          <w:rFonts w:hint="eastAsia" w:ascii="Times New Roman" w:hAnsi="Times New Roman" w:eastAsia="方正楷体简体" w:cs="方正楷体简体"/>
          <w:sz w:val="28"/>
          <w:szCs w:val="28"/>
        </w:rPr>
        <w:t>。</w:t>
      </w:r>
    </w:p>
    <w:p>
      <w:pPr>
        <w:numPr>
          <w:ilvl w:val="0"/>
          <w:numId w:val="1"/>
        </w:numPr>
        <w:spacing w:line="360" w:lineRule="exact"/>
        <w:ind w:firstLine="560" w:firstLineChars="200"/>
        <w:rPr>
          <w:rFonts w:hint="eastAsia" w:ascii="Times New Roman" w:hAnsi="Times New Roman" w:eastAsia="方正楷体简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楷体简体" w:cs="方正楷体简体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方正楷体简体" w:cs="方正楷体简体"/>
          <w:sz w:val="28"/>
          <w:szCs w:val="28"/>
        </w:rPr>
        <w:t>报送时间：自本通知下发之日起至</w:t>
      </w:r>
      <w:r>
        <w:rPr>
          <w:rFonts w:ascii="Times New Roman" w:hAnsi="Times New Roman" w:eastAsia="方正楷体简体" w:cs="Times New Roman"/>
          <w:sz w:val="28"/>
          <w:szCs w:val="28"/>
        </w:rPr>
        <w:t>2019</w:t>
      </w:r>
      <w:r>
        <w:rPr>
          <w:rFonts w:hint="eastAsia" w:ascii="Times New Roman" w:hAnsi="Times New Roman" w:eastAsia="方正楷体简体" w:cs="方正楷体简体"/>
          <w:sz w:val="28"/>
          <w:szCs w:val="28"/>
        </w:rPr>
        <w:t>年</w:t>
      </w:r>
      <w:r>
        <w:rPr>
          <w:rFonts w:ascii="Times New Roman" w:hAnsi="Times New Roman" w:eastAsia="方正楷体简体" w:cs="Times New Roman"/>
          <w:sz w:val="28"/>
          <w:szCs w:val="28"/>
        </w:rPr>
        <w:t>1</w:t>
      </w:r>
      <w:r>
        <w:rPr>
          <w:rFonts w:hint="eastAsia" w:ascii="Times New Roman" w:hAnsi="Times New Roman" w:eastAsia="方正楷体简体" w:cs="方正楷体简体"/>
          <w:sz w:val="28"/>
          <w:szCs w:val="28"/>
        </w:rPr>
        <w:t>月</w:t>
      </w:r>
      <w:r>
        <w:rPr>
          <w:rFonts w:ascii="Times New Roman" w:hAnsi="Times New Roman" w:eastAsia="方正楷体简体" w:cs="Times New Roman"/>
          <w:sz w:val="28"/>
          <w:szCs w:val="28"/>
        </w:rPr>
        <w:t>20</w:t>
      </w:r>
      <w:r>
        <w:rPr>
          <w:rFonts w:hint="eastAsia" w:ascii="Times New Roman" w:hAnsi="Times New Roman" w:eastAsia="方正楷体简体" w:cs="方正楷体简体"/>
          <w:sz w:val="28"/>
          <w:szCs w:val="28"/>
        </w:rPr>
        <w:t>日，每周</w:t>
      </w:r>
      <w:r>
        <w:rPr>
          <w:rFonts w:hint="eastAsia" w:ascii="Times New Roman" w:hAnsi="Times New Roman" w:eastAsia="方正楷体简体" w:cs="方正楷体简体"/>
          <w:sz w:val="28"/>
          <w:szCs w:val="28"/>
          <w:lang w:eastAsia="zh-CN"/>
        </w:rPr>
        <w:t>三</w:t>
      </w:r>
      <w:r>
        <w:rPr>
          <w:rFonts w:hint="eastAsia" w:ascii="Times New Roman" w:hAnsi="Times New Roman" w:eastAsia="方正楷体简体" w:cs="方正楷体简体"/>
          <w:sz w:val="28"/>
          <w:szCs w:val="28"/>
        </w:rPr>
        <w:t>下午</w:t>
      </w:r>
      <w:r>
        <w:rPr>
          <w:rFonts w:ascii="Times New Roman" w:hAnsi="Times New Roman" w:eastAsia="方正楷体简体" w:cs="Times New Roman"/>
          <w:sz w:val="28"/>
          <w:szCs w:val="28"/>
        </w:rPr>
        <w:t>5</w:t>
      </w:r>
      <w:r>
        <w:rPr>
          <w:rFonts w:hint="eastAsia" w:ascii="Times New Roman" w:hAnsi="Times New Roman" w:eastAsia="方正楷体简体" w:cs="方正楷体简体"/>
          <w:sz w:val="28"/>
          <w:szCs w:val="28"/>
        </w:rPr>
        <w:t>：</w:t>
      </w:r>
      <w:r>
        <w:rPr>
          <w:rFonts w:ascii="Times New Roman" w:hAnsi="Times New Roman" w:eastAsia="方正楷体简体" w:cs="Times New Roman"/>
          <w:sz w:val="28"/>
          <w:szCs w:val="28"/>
        </w:rPr>
        <w:t>00</w:t>
      </w:r>
      <w:r>
        <w:rPr>
          <w:rFonts w:hint="eastAsia" w:ascii="Times New Roman" w:hAnsi="Times New Roman" w:eastAsia="方正楷体简体" w:cs="方正楷体简体"/>
          <w:sz w:val="28"/>
          <w:szCs w:val="28"/>
        </w:rPr>
        <w:t>前；</w:t>
      </w:r>
      <w:r>
        <w:rPr>
          <w:rFonts w:ascii="Times New Roman" w:hAnsi="Times New Roman" w:eastAsia="方正楷体简体" w:cs="Times New Roman"/>
          <w:sz w:val="28"/>
          <w:szCs w:val="28"/>
        </w:rPr>
        <w:t>2019</w:t>
      </w:r>
      <w:r>
        <w:rPr>
          <w:rFonts w:hint="eastAsia" w:ascii="Times New Roman" w:hAnsi="Times New Roman" w:eastAsia="方正楷体简体" w:cs="方正楷体简体"/>
          <w:sz w:val="28"/>
          <w:szCs w:val="28"/>
        </w:rPr>
        <w:t>年</w:t>
      </w:r>
      <w:r>
        <w:rPr>
          <w:rFonts w:ascii="Times New Roman" w:hAnsi="Times New Roman" w:eastAsia="方正楷体简体" w:cs="Times New Roman"/>
          <w:sz w:val="28"/>
          <w:szCs w:val="28"/>
        </w:rPr>
        <w:t>2</w:t>
      </w:r>
      <w:r>
        <w:rPr>
          <w:rFonts w:hint="eastAsia" w:ascii="Times New Roman" w:hAnsi="Times New Roman" w:eastAsia="方正楷体简体" w:cs="方正楷体简体"/>
          <w:sz w:val="28"/>
          <w:szCs w:val="28"/>
        </w:rPr>
        <w:t>月至</w:t>
      </w:r>
      <w:r>
        <w:rPr>
          <w:rFonts w:ascii="Times New Roman" w:hAnsi="Times New Roman" w:eastAsia="方正楷体简体" w:cs="Times New Roman"/>
          <w:sz w:val="28"/>
          <w:szCs w:val="28"/>
        </w:rPr>
        <w:t>2020</w:t>
      </w:r>
      <w:r>
        <w:rPr>
          <w:rFonts w:hint="eastAsia" w:ascii="Times New Roman" w:hAnsi="Times New Roman" w:eastAsia="方正楷体简体" w:cs="方正楷体简体"/>
          <w:sz w:val="28"/>
          <w:szCs w:val="28"/>
        </w:rPr>
        <w:t>年</w:t>
      </w:r>
      <w:r>
        <w:rPr>
          <w:rFonts w:ascii="Times New Roman" w:hAnsi="Times New Roman" w:eastAsia="方正楷体简体" w:cs="Times New Roman"/>
          <w:sz w:val="28"/>
          <w:szCs w:val="28"/>
        </w:rPr>
        <w:t>1</w:t>
      </w:r>
      <w:r>
        <w:rPr>
          <w:rFonts w:hint="eastAsia" w:ascii="Times New Roman" w:hAnsi="Times New Roman" w:eastAsia="方正楷体简体" w:cs="方正楷体简体"/>
          <w:sz w:val="28"/>
          <w:szCs w:val="28"/>
        </w:rPr>
        <w:t>月，每月</w:t>
      </w:r>
      <w:r>
        <w:rPr>
          <w:rFonts w:hint="eastAsia" w:ascii="Times New Roman" w:hAnsi="Times New Roman" w:eastAsia="方正楷体简体" w:cs="Times New Roman"/>
          <w:sz w:val="28"/>
          <w:szCs w:val="28"/>
          <w:lang w:val="en-US" w:eastAsia="zh-CN"/>
        </w:rPr>
        <w:t>3</w:t>
      </w:r>
    </w:p>
    <w:p>
      <w:pPr>
        <w:numPr>
          <w:ilvl w:val="0"/>
          <w:numId w:val="0"/>
        </w:numPr>
        <w:spacing w:line="360" w:lineRule="exact"/>
        <w:rPr>
          <w:rFonts w:ascii="Times New Roman" w:hAnsi="Times New Roman" w:eastAsia="方正楷体简体" w:cs="Times New Roman"/>
          <w:sz w:val="28"/>
          <w:szCs w:val="28"/>
        </w:rPr>
      </w:pPr>
      <w:r>
        <w:rPr>
          <w:rFonts w:hint="eastAsia" w:ascii="Times New Roman" w:hAnsi="Times New Roman" w:eastAsia="方正楷体简体" w:cs="Times New Roman"/>
          <w:sz w:val="28"/>
          <w:szCs w:val="28"/>
          <w:lang w:val="en-US" w:eastAsia="zh-CN"/>
        </w:rPr>
        <w:t xml:space="preserve">      日</w:t>
      </w:r>
      <w:r>
        <w:rPr>
          <w:rFonts w:hint="eastAsia" w:ascii="Times New Roman" w:hAnsi="Times New Roman" w:eastAsia="方正楷体简体" w:cs="方正楷体简体"/>
          <w:sz w:val="28"/>
          <w:szCs w:val="28"/>
        </w:rPr>
        <w:t>前，将填写好的表格盖章扫描并连同电子版表格报至</w:t>
      </w:r>
      <w:r>
        <w:rPr>
          <w:rFonts w:hint="eastAsia" w:ascii="Times New Roman" w:hAnsi="Times New Roman" w:eastAsia="方正楷体简体" w:cs="方正楷体简体"/>
          <w:sz w:val="28"/>
          <w:szCs w:val="28"/>
          <w:lang w:eastAsia="zh-CN"/>
        </w:rPr>
        <w:t>市</w:t>
      </w:r>
      <w:r>
        <w:rPr>
          <w:rFonts w:hint="eastAsia" w:ascii="Times New Roman" w:hAnsi="Times New Roman" w:eastAsia="方正楷体简体" w:cs="方正楷体简体"/>
          <w:sz w:val="28"/>
          <w:szCs w:val="28"/>
        </w:rPr>
        <w:t>减负办。</w:t>
      </w:r>
    </w:p>
    <w:p>
      <w:pPr>
        <w:numPr>
          <w:ilvl w:val="0"/>
          <w:numId w:val="1"/>
        </w:numPr>
        <w:spacing w:line="360" w:lineRule="exact"/>
        <w:ind w:firstLine="560" w:firstLineChars="200"/>
        <w:rPr>
          <w:rFonts w:hint="eastAsia" w:ascii="Times New Roman" w:hAnsi="Times New Roman" w:eastAsia="方正楷体简体" w:cs="方正楷体简体"/>
          <w:sz w:val="28"/>
          <w:szCs w:val="28"/>
        </w:rPr>
      </w:pPr>
      <w:r>
        <w:rPr>
          <w:rFonts w:hint="eastAsia" w:ascii="Times New Roman" w:hAnsi="Times New Roman" w:eastAsia="方正楷体简体" w:cs="方正楷体简体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方正楷体简体" w:cs="方正楷体简体"/>
          <w:sz w:val="28"/>
          <w:szCs w:val="28"/>
        </w:rPr>
        <w:t>指标解释：（</w:t>
      </w:r>
      <w:r>
        <w:rPr>
          <w:rFonts w:ascii="Times New Roman" w:hAnsi="Times New Roman" w:eastAsia="方正楷体简体" w:cs="Times New Roman"/>
          <w:sz w:val="28"/>
          <w:szCs w:val="28"/>
        </w:rPr>
        <w:t>1</w:t>
      </w:r>
      <w:r>
        <w:rPr>
          <w:rFonts w:hint="eastAsia" w:ascii="Times New Roman" w:hAnsi="Times New Roman" w:eastAsia="方正楷体简体" w:cs="方正楷体简体"/>
          <w:sz w:val="28"/>
          <w:szCs w:val="28"/>
        </w:rPr>
        <w:t>）拖欠账款合计是指自清查摸底工作开展以来累计查实的欠款金额，可随摸底清理工作不断深入增</w:t>
      </w:r>
    </w:p>
    <w:p>
      <w:pPr>
        <w:numPr>
          <w:ilvl w:val="0"/>
          <w:numId w:val="0"/>
        </w:numPr>
        <w:spacing w:line="360" w:lineRule="exact"/>
        <w:rPr>
          <w:rFonts w:hint="eastAsia" w:ascii="Times New Roman" w:hAnsi="Times New Roman" w:eastAsia="方正楷体简体" w:cs="方正楷体简体"/>
          <w:sz w:val="28"/>
          <w:szCs w:val="28"/>
        </w:rPr>
      </w:pPr>
      <w:r>
        <w:rPr>
          <w:rFonts w:hint="eastAsia" w:ascii="Times New Roman" w:hAnsi="Times New Roman" w:eastAsia="方正楷体简体" w:cs="方正楷体简体"/>
          <w:sz w:val="28"/>
          <w:szCs w:val="28"/>
          <w:lang w:val="en-US" w:eastAsia="zh-CN"/>
        </w:rPr>
        <w:t xml:space="preserve">      </w:t>
      </w:r>
      <w:r>
        <w:rPr>
          <w:rFonts w:hint="eastAsia" w:ascii="Times New Roman" w:hAnsi="Times New Roman" w:eastAsia="方正楷体简体" w:cs="方正楷体简体"/>
          <w:sz w:val="28"/>
          <w:szCs w:val="28"/>
        </w:rPr>
        <w:t>加，不随已偿还金额相应减少；（</w:t>
      </w:r>
      <w:r>
        <w:rPr>
          <w:rFonts w:ascii="Times New Roman" w:hAnsi="Times New Roman" w:eastAsia="方正楷体简体" w:cs="Times New Roman"/>
          <w:sz w:val="28"/>
          <w:szCs w:val="28"/>
        </w:rPr>
        <w:t>2</w:t>
      </w:r>
      <w:r>
        <w:rPr>
          <w:rFonts w:hint="eastAsia" w:ascii="Times New Roman" w:hAnsi="Times New Roman" w:eastAsia="方正楷体简体" w:cs="方正楷体简体"/>
          <w:sz w:val="28"/>
          <w:szCs w:val="28"/>
        </w:rPr>
        <w:t>）已偿还金额是自</w:t>
      </w:r>
      <w:r>
        <w:rPr>
          <w:rFonts w:ascii="Times New Roman" w:hAnsi="Times New Roman" w:eastAsia="方正楷体简体" w:cs="方正楷体简体"/>
          <w:sz w:val="28"/>
          <w:szCs w:val="28"/>
        </w:rPr>
        <w:t>国办发明电</w:t>
      </w:r>
      <w:r>
        <w:rPr>
          <w:rFonts w:hint="eastAsia" w:ascii="方正楷体简体" w:hAnsi="Times New Roman" w:eastAsia="方正楷体简体" w:cs="方正楷体简体"/>
          <w:sz w:val="28"/>
          <w:szCs w:val="28"/>
        </w:rPr>
        <w:t>〔</w:t>
      </w:r>
      <w:r>
        <w:rPr>
          <w:rFonts w:hint="eastAsia" w:ascii="Times New Roman" w:hAnsi="Times New Roman" w:eastAsia="方正楷体简体" w:cs="方正楷体简体"/>
          <w:sz w:val="28"/>
          <w:szCs w:val="28"/>
        </w:rPr>
        <w:t>2018</w:t>
      </w:r>
      <w:r>
        <w:rPr>
          <w:rFonts w:hint="eastAsia" w:ascii="方正楷体简体" w:hAnsi="Times New Roman" w:eastAsia="方正楷体简体" w:cs="方正楷体简体"/>
          <w:sz w:val="28"/>
          <w:szCs w:val="28"/>
        </w:rPr>
        <w:t>〕</w:t>
      </w:r>
      <w:r>
        <w:rPr>
          <w:rFonts w:hint="eastAsia" w:ascii="Times New Roman" w:hAnsi="Times New Roman" w:eastAsia="方正楷体简体" w:cs="方正楷体简体"/>
          <w:sz w:val="28"/>
          <w:szCs w:val="28"/>
        </w:rPr>
        <w:t>14号</w:t>
      </w:r>
      <w:r>
        <w:rPr>
          <w:rFonts w:ascii="Times New Roman" w:hAnsi="Times New Roman" w:eastAsia="方正楷体简体" w:cs="方正楷体简体"/>
          <w:sz w:val="28"/>
          <w:szCs w:val="28"/>
        </w:rPr>
        <w:t>文件印发后偿还的该项</w:t>
      </w:r>
      <w:r>
        <w:rPr>
          <w:rFonts w:hint="eastAsia" w:ascii="Times New Roman" w:hAnsi="Times New Roman" w:eastAsia="方正楷体简体" w:cs="方正楷体简体"/>
          <w:sz w:val="28"/>
          <w:szCs w:val="28"/>
        </w:rPr>
        <w:t>欠款金额合</w:t>
      </w:r>
    </w:p>
    <w:p>
      <w:pPr>
        <w:numPr>
          <w:ilvl w:val="0"/>
          <w:numId w:val="0"/>
        </w:numPr>
        <w:spacing w:line="360" w:lineRule="exact"/>
        <w:rPr>
          <w:rFonts w:hint="eastAsia" w:ascii="Times New Roman" w:hAnsi="Times New Roman" w:eastAsia="方正楷体简体" w:cs="方正楷体简体"/>
          <w:sz w:val="28"/>
          <w:szCs w:val="28"/>
        </w:rPr>
      </w:pPr>
      <w:r>
        <w:rPr>
          <w:rFonts w:hint="eastAsia" w:ascii="Times New Roman" w:hAnsi="Times New Roman" w:eastAsia="方正楷体简体" w:cs="方正楷体简体"/>
          <w:sz w:val="28"/>
          <w:szCs w:val="28"/>
          <w:lang w:val="en-US" w:eastAsia="zh-CN"/>
        </w:rPr>
        <w:t xml:space="preserve">      </w:t>
      </w:r>
      <w:r>
        <w:rPr>
          <w:rFonts w:hint="eastAsia" w:ascii="Times New Roman" w:hAnsi="Times New Roman" w:eastAsia="方正楷体简体" w:cs="方正楷体简体"/>
          <w:sz w:val="28"/>
          <w:szCs w:val="28"/>
        </w:rPr>
        <w:t>计；（</w:t>
      </w:r>
      <w:r>
        <w:rPr>
          <w:rFonts w:ascii="Times New Roman" w:hAnsi="Times New Roman" w:eastAsia="方正楷体简体" w:cs="Times New Roman"/>
          <w:sz w:val="28"/>
          <w:szCs w:val="28"/>
        </w:rPr>
        <w:t>3</w:t>
      </w:r>
      <w:r>
        <w:rPr>
          <w:rFonts w:hint="eastAsia" w:ascii="Times New Roman" w:hAnsi="Times New Roman" w:eastAsia="方正楷体简体" w:cs="方正楷体简体"/>
          <w:sz w:val="28"/>
          <w:szCs w:val="28"/>
        </w:rPr>
        <w:t>）剩余拖欠金额是指截至填表当日的该项欠款金额；（4）拖欠账款合计不等于各分项加总，各分项间可能</w:t>
      </w:r>
    </w:p>
    <w:p>
      <w:pPr>
        <w:numPr>
          <w:ilvl w:val="0"/>
          <w:numId w:val="0"/>
        </w:numPr>
        <w:spacing w:line="360" w:lineRule="exact"/>
        <w:rPr>
          <w:rFonts w:ascii="宋体" w:hAnsi="宋体" w:eastAsia="宋体" w:cs="宋体"/>
          <w:szCs w:val="21"/>
        </w:rPr>
      </w:pPr>
      <w:r>
        <w:rPr>
          <w:rFonts w:hint="eastAsia" w:ascii="Times New Roman" w:hAnsi="Times New Roman" w:eastAsia="方正楷体简体" w:cs="方正楷体简体"/>
          <w:sz w:val="28"/>
          <w:szCs w:val="28"/>
          <w:lang w:val="en-US" w:eastAsia="zh-CN"/>
        </w:rPr>
        <w:t xml:space="preserve">      </w:t>
      </w:r>
      <w:r>
        <w:rPr>
          <w:rFonts w:hint="eastAsia" w:ascii="Times New Roman" w:hAnsi="Times New Roman" w:eastAsia="方正楷体简体" w:cs="方正楷体简体"/>
          <w:sz w:val="28"/>
          <w:szCs w:val="28"/>
        </w:rPr>
        <w:t>存在交叉关系。</w:t>
      </w:r>
    </w:p>
    <w:p/>
    <w:sectPr>
      <w:headerReference r:id="rId3" w:type="default"/>
      <w:footerReference r:id="rId4" w:type="default"/>
      <w:pgSz w:w="16838" w:h="11906" w:orient="landscape"/>
      <w:pgMar w:top="1440" w:right="1080" w:bottom="1440" w:left="1080" w:header="851" w:footer="992" w:gutter="0"/>
      <w:pgNumType w:fmt="numberInDash" w:start="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E92EE"/>
    <w:multiLevelType w:val="singleLevel"/>
    <w:tmpl w:val="5C3E92EE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7C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2020-09-29T06:41:36Z</dcterms:created>
  <dc:creator>86157</dc:creator>
  <cp:lastModifiedBy>丁明</cp:lastModifiedBy>
  <dcterms:modified xsi:type="dcterms:W3CDTF">2020-09-29T06:41:45Z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