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20" w:rsidRDefault="002B0020" w:rsidP="002B0020">
      <w:pPr>
        <w:autoSpaceDE w:val="0"/>
        <w:autoSpaceDN w:val="0"/>
        <w:adjustRightIn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附三、动态考核计分标准</w:t>
      </w:r>
    </w:p>
    <w:p w:rsidR="002B0020" w:rsidRDefault="002B0020" w:rsidP="002B0020">
      <w:pPr>
        <w:autoSpaceDE w:val="0"/>
        <w:autoSpaceDN w:val="0"/>
        <w:adjustRightInd w:val="0"/>
        <w:spacing w:line="360" w:lineRule="auto"/>
        <w:ind w:firstLineChars="200" w:firstLine="643"/>
        <w:rPr>
          <w:rFonts w:ascii="仿宋" w:eastAsia="仿宋" w:hAnsi="仿宋" w:cs="仿宋"/>
          <w:kern w:val="0"/>
          <w:sz w:val="32"/>
          <w:szCs w:val="32"/>
          <w:shd w:val="clear" w:color="auto" w:fill="FFFFFF"/>
        </w:rPr>
      </w:pPr>
      <w:r>
        <w:rPr>
          <w:rFonts w:ascii="仿宋" w:eastAsia="仿宋" w:hAnsi="仿宋" w:cs="仿宋" w:hint="eastAsia"/>
          <w:b/>
          <w:bCs/>
          <w:sz w:val="32"/>
          <w:szCs w:val="32"/>
        </w:rPr>
        <w:t>一、加分标准</w:t>
      </w:r>
    </w:p>
    <w:tbl>
      <w:tblPr>
        <w:tblStyle w:val="a6"/>
        <w:tblW w:w="9285" w:type="dxa"/>
        <w:tblLayout w:type="fixed"/>
        <w:tblLook w:val="04A0"/>
      </w:tblPr>
      <w:tblGrid>
        <w:gridCol w:w="690"/>
        <w:gridCol w:w="8595"/>
      </w:tblGrid>
      <w:tr w:rsidR="002B0020" w:rsidTr="00A24AB3">
        <w:tc>
          <w:tcPr>
            <w:tcW w:w="690" w:type="dxa"/>
          </w:tcPr>
          <w:p w:rsidR="002B0020" w:rsidRDefault="002B0020" w:rsidP="00A24AB3">
            <w:pPr>
              <w:spacing w:line="360" w:lineRule="auto"/>
              <w:rPr>
                <w:rFonts w:ascii="仿宋" w:eastAsia="仿宋" w:hAnsi="仿宋" w:cs="仿宋"/>
                <w:sz w:val="32"/>
                <w:szCs w:val="32"/>
                <w:shd w:val="clear" w:color="auto" w:fill="FFFFFF"/>
              </w:rPr>
            </w:pPr>
          </w:p>
        </w:tc>
        <w:tc>
          <w:tcPr>
            <w:tcW w:w="8595"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加分标准</w:t>
            </w:r>
          </w:p>
        </w:tc>
      </w:tr>
      <w:tr w:rsidR="002B0020" w:rsidTr="00A24AB3">
        <w:tc>
          <w:tcPr>
            <w:tcW w:w="690"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p>
        </w:tc>
        <w:tc>
          <w:tcPr>
            <w:tcW w:w="8595"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color w:val="000000"/>
                <w:sz w:val="32"/>
                <w:szCs w:val="32"/>
              </w:rPr>
              <w:t>书面检举揭发他人违规招投标，经查证属实的每起加1分</w:t>
            </w:r>
          </w:p>
        </w:tc>
      </w:tr>
      <w:tr w:rsidR="002B0020" w:rsidTr="00A24AB3">
        <w:tc>
          <w:tcPr>
            <w:tcW w:w="690"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p>
        </w:tc>
        <w:tc>
          <w:tcPr>
            <w:tcW w:w="8595"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color w:val="000000"/>
                <w:sz w:val="32"/>
                <w:szCs w:val="32"/>
              </w:rPr>
              <w:t>邵阳市建筑业协会或招投标协会年度先进单位加1分</w:t>
            </w:r>
          </w:p>
        </w:tc>
      </w:tr>
      <w:tr w:rsidR="002B0020" w:rsidTr="00A24AB3">
        <w:tc>
          <w:tcPr>
            <w:tcW w:w="690"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w:t>
            </w:r>
          </w:p>
        </w:tc>
        <w:tc>
          <w:tcPr>
            <w:tcW w:w="8595"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color w:val="000000"/>
                <w:sz w:val="32"/>
                <w:szCs w:val="32"/>
              </w:rPr>
              <w:t>邵阳市、县市住建部门先进单位（其它）分别加3分、1分</w:t>
            </w:r>
          </w:p>
        </w:tc>
      </w:tr>
      <w:tr w:rsidR="002B0020" w:rsidTr="00A24AB3">
        <w:tc>
          <w:tcPr>
            <w:tcW w:w="690"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p>
        </w:tc>
        <w:tc>
          <w:tcPr>
            <w:tcW w:w="8595"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color w:val="000000"/>
                <w:sz w:val="32"/>
                <w:szCs w:val="32"/>
              </w:rPr>
              <w:t>履行抗洪、抢险救灾、捐资助学、扶贫济困、公益事业等突发事件中做出突出贡献，被县级及以上政府或建设主管部门认定（见文件）的，每起市级加3分，县市区级加1分</w:t>
            </w:r>
          </w:p>
        </w:tc>
      </w:tr>
      <w:tr w:rsidR="002B0020" w:rsidTr="00A24AB3">
        <w:tc>
          <w:tcPr>
            <w:tcW w:w="690"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w:t>
            </w:r>
          </w:p>
        </w:tc>
        <w:tc>
          <w:tcPr>
            <w:tcW w:w="8595"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rPr>
              <w:t>邵阳市</w:t>
            </w:r>
            <w:r>
              <w:rPr>
                <w:rFonts w:ascii="仿宋" w:eastAsia="仿宋" w:hAnsi="仿宋" w:cs="仿宋" w:hint="eastAsia"/>
                <w:color w:val="000000"/>
                <w:sz w:val="32"/>
                <w:szCs w:val="32"/>
              </w:rPr>
              <w:t>“建筑市场管理先进单位”</w:t>
            </w:r>
            <w:r>
              <w:rPr>
                <w:rFonts w:ascii="仿宋" w:eastAsia="仿宋" w:hAnsi="仿宋" w:cs="仿宋" w:hint="eastAsia"/>
                <w:sz w:val="32"/>
                <w:szCs w:val="32"/>
              </w:rPr>
              <w:t>或</w:t>
            </w:r>
            <w:r>
              <w:rPr>
                <w:rFonts w:ascii="仿宋" w:eastAsia="仿宋" w:hAnsi="仿宋" w:cs="仿宋" w:hint="eastAsia"/>
                <w:color w:val="000000"/>
                <w:sz w:val="32"/>
                <w:szCs w:val="32"/>
              </w:rPr>
              <w:t>邵阳市</w:t>
            </w:r>
            <w:r>
              <w:rPr>
                <w:rFonts w:ascii="仿宋" w:eastAsia="仿宋" w:hAnsi="仿宋" w:cs="仿宋" w:hint="eastAsia"/>
                <w:color w:val="2E2E2E"/>
                <w:sz w:val="32"/>
                <w:szCs w:val="32"/>
              </w:rPr>
              <w:t>“建设工程投标履约优良企业”</w:t>
            </w:r>
            <w:r>
              <w:rPr>
                <w:rFonts w:ascii="仿宋" w:eastAsia="仿宋" w:hAnsi="仿宋" w:cs="仿宋" w:hint="eastAsia"/>
                <w:sz w:val="32"/>
                <w:szCs w:val="32"/>
              </w:rPr>
              <w:t>每项加2分</w:t>
            </w:r>
          </w:p>
        </w:tc>
      </w:tr>
      <w:tr w:rsidR="002B0020" w:rsidTr="00A24AB3">
        <w:tc>
          <w:tcPr>
            <w:tcW w:w="690"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w:t>
            </w:r>
          </w:p>
        </w:tc>
        <w:tc>
          <w:tcPr>
            <w:tcW w:w="8595"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color w:val="000000"/>
                <w:sz w:val="32"/>
                <w:szCs w:val="32"/>
              </w:rPr>
              <w:t>市优</w:t>
            </w:r>
            <w:r>
              <w:rPr>
                <w:rFonts w:ascii="仿宋" w:eastAsia="仿宋" w:hAnsi="仿宋" w:cs="仿宋" w:hint="eastAsia"/>
                <w:sz w:val="32"/>
                <w:szCs w:val="32"/>
              </w:rPr>
              <w:t>质主体工程每项加0.5分；省、市“质量常见问题专项治理示范观摩工程”每项分别加2分、1.5分；</w:t>
            </w:r>
            <w:r>
              <w:rPr>
                <w:rFonts w:ascii="仿宋" w:eastAsia="仿宋" w:hAnsi="仿宋" w:cs="仿宋" w:hint="eastAsia"/>
                <w:color w:val="000000"/>
                <w:sz w:val="32"/>
                <w:szCs w:val="32"/>
              </w:rPr>
              <w:t>芙蓉奖、省优工程、</w:t>
            </w:r>
            <w:r>
              <w:rPr>
                <w:rFonts w:ascii="宋体" w:hAnsi="宋体" w:cs="宋体"/>
                <w:color w:val="000000"/>
                <w:sz w:val="30"/>
                <w:szCs w:val="30"/>
              </w:rPr>
              <w:t>邵阳市优质工程</w:t>
            </w:r>
            <w:r>
              <w:rPr>
                <w:rFonts w:ascii="仿宋" w:eastAsia="仿宋" w:hAnsi="仿宋" w:cs="仿宋" w:hint="eastAsia"/>
                <w:color w:val="000000"/>
                <w:sz w:val="32"/>
                <w:szCs w:val="32"/>
              </w:rPr>
              <w:t>，每项分别加3、2.5、2分</w:t>
            </w:r>
          </w:p>
        </w:tc>
      </w:tr>
      <w:tr w:rsidR="002B0020" w:rsidTr="00A24AB3">
        <w:tc>
          <w:tcPr>
            <w:tcW w:w="690"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7</w:t>
            </w:r>
          </w:p>
        </w:tc>
        <w:tc>
          <w:tcPr>
            <w:tcW w:w="8595"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rPr>
              <w:t>省、邵阳市“建筑施工安全生产标准化考评优良企业”，分别加3分、2.5分</w:t>
            </w:r>
          </w:p>
        </w:tc>
      </w:tr>
      <w:tr w:rsidR="002B0020" w:rsidTr="00A24AB3">
        <w:tc>
          <w:tcPr>
            <w:tcW w:w="690"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8</w:t>
            </w:r>
          </w:p>
        </w:tc>
        <w:tc>
          <w:tcPr>
            <w:tcW w:w="8595"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rPr>
              <w:t>省、市“建筑施工安全生产标准化示范观摩工地”，每项分别加2分、1.5分</w:t>
            </w:r>
          </w:p>
        </w:tc>
      </w:tr>
      <w:tr w:rsidR="002B0020" w:rsidTr="00A24AB3">
        <w:tc>
          <w:tcPr>
            <w:tcW w:w="690"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9</w:t>
            </w:r>
          </w:p>
        </w:tc>
        <w:tc>
          <w:tcPr>
            <w:tcW w:w="8595" w:type="dxa"/>
          </w:tcPr>
          <w:p w:rsidR="002B0020" w:rsidRDefault="002B0020" w:rsidP="00A24AB3">
            <w:pPr>
              <w:spacing w:line="360" w:lineRule="auto"/>
              <w:rPr>
                <w:rFonts w:ascii="仿宋" w:eastAsia="仿宋" w:hAnsi="仿宋" w:cs="仿宋"/>
                <w:sz w:val="32"/>
                <w:szCs w:val="32"/>
                <w:shd w:val="clear" w:color="auto" w:fill="FFFFFF"/>
              </w:rPr>
            </w:pPr>
            <w:r>
              <w:rPr>
                <w:rFonts w:ascii="仿宋" w:eastAsia="仿宋" w:hAnsi="仿宋" w:cs="仿宋" w:hint="eastAsia"/>
                <w:sz w:val="32"/>
                <w:szCs w:val="32"/>
              </w:rPr>
              <w:t>省、市“建筑施工安全生产标准化考评年度优良项目”每项分别加1分、0.8分；“季度安全、质量标准化考评优良工地”，每个加0.3分</w:t>
            </w:r>
          </w:p>
        </w:tc>
      </w:tr>
    </w:tbl>
    <w:p w:rsidR="002B0020" w:rsidRDefault="002B0020" w:rsidP="002B0020">
      <w:pPr>
        <w:spacing w:line="360" w:lineRule="auto"/>
        <w:ind w:firstLineChars="200" w:firstLine="640"/>
        <w:rPr>
          <w:rFonts w:ascii="仿宋" w:eastAsia="仿宋" w:hAnsi="仿宋" w:cs="仿宋"/>
          <w:kern w:val="0"/>
          <w:sz w:val="32"/>
          <w:szCs w:val="32"/>
          <w:shd w:val="clear" w:color="auto" w:fill="FFFFFF"/>
        </w:rPr>
      </w:pPr>
    </w:p>
    <w:p w:rsidR="002B0020" w:rsidRDefault="002B0020" w:rsidP="002B0020">
      <w:pPr>
        <w:spacing w:line="360" w:lineRule="auto"/>
        <w:ind w:firstLineChars="200" w:firstLine="640"/>
        <w:rPr>
          <w:rFonts w:ascii="仿宋" w:eastAsia="仿宋" w:hAnsi="仿宋" w:cs="仿宋" w:hint="eastAsia"/>
          <w:kern w:val="0"/>
          <w:sz w:val="32"/>
          <w:szCs w:val="32"/>
          <w:shd w:val="clear" w:color="auto" w:fill="FFFFFF"/>
        </w:rPr>
      </w:pPr>
    </w:p>
    <w:p w:rsidR="002B0020" w:rsidRDefault="002B0020" w:rsidP="002B0020">
      <w:pPr>
        <w:spacing w:line="360" w:lineRule="auto"/>
        <w:ind w:firstLineChars="200" w:firstLine="640"/>
        <w:rPr>
          <w:rFonts w:ascii="仿宋" w:eastAsia="仿宋" w:hAnsi="仿宋" w:cs="仿宋"/>
          <w:kern w:val="0"/>
          <w:sz w:val="32"/>
          <w:szCs w:val="32"/>
          <w:shd w:val="clear" w:color="auto" w:fill="FFFFFF"/>
        </w:rPr>
      </w:pPr>
    </w:p>
    <w:p w:rsidR="002B0020" w:rsidRDefault="002B0020" w:rsidP="002B0020">
      <w:pPr>
        <w:numPr>
          <w:ilvl w:val="0"/>
          <w:numId w:val="1"/>
        </w:numPr>
        <w:ind w:firstLineChars="200" w:firstLine="643"/>
        <w:rPr>
          <w:rFonts w:ascii="仿宋" w:eastAsia="仿宋" w:hAnsi="仿宋" w:cs="仿宋"/>
          <w:b/>
          <w:bCs/>
          <w:sz w:val="32"/>
          <w:szCs w:val="32"/>
        </w:rPr>
      </w:pPr>
      <w:r>
        <w:rPr>
          <w:rFonts w:ascii="仿宋" w:eastAsia="仿宋" w:hAnsi="仿宋" w:cs="仿宋" w:hint="eastAsia"/>
          <w:b/>
          <w:bCs/>
          <w:kern w:val="0"/>
          <w:sz w:val="32"/>
          <w:szCs w:val="32"/>
        </w:rPr>
        <w:lastRenderedPageBreak/>
        <w:t>减分</w:t>
      </w:r>
      <w:r>
        <w:rPr>
          <w:rFonts w:ascii="仿宋" w:eastAsia="仿宋" w:hAnsi="仿宋" w:cs="仿宋" w:hint="eastAsia"/>
          <w:b/>
          <w:bCs/>
          <w:sz w:val="32"/>
          <w:szCs w:val="32"/>
        </w:rPr>
        <w:t>标准</w:t>
      </w:r>
    </w:p>
    <w:tbl>
      <w:tblPr>
        <w:tblStyle w:val="a6"/>
        <w:tblW w:w="9149" w:type="dxa"/>
        <w:tblInd w:w="-111" w:type="dxa"/>
        <w:tblLayout w:type="fixed"/>
        <w:tblLook w:val="04A0"/>
      </w:tblPr>
      <w:tblGrid>
        <w:gridCol w:w="630"/>
        <w:gridCol w:w="8519"/>
      </w:tblGrid>
      <w:tr w:rsidR="002B0020" w:rsidTr="00A24AB3">
        <w:tc>
          <w:tcPr>
            <w:tcW w:w="630" w:type="dxa"/>
          </w:tcPr>
          <w:p w:rsidR="002B0020" w:rsidRDefault="002B0020" w:rsidP="00A24AB3">
            <w:pPr>
              <w:rPr>
                <w:rFonts w:ascii="仿宋" w:eastAsia="仿宋" w:hAnsi="仿宋" w:cs="仿宋"/>
                <w:b/>
                <w:bCs/>
                <w:sz w:val="32"/>
                <w:szCs w:val="32"/>
              </w:rPr>
            </w:pPr>
          </w:p>
        </w:tc>
        <w:tc>
          <w:tcPr>
            <w:tcW w:w="8519"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减分标准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1</w:t>
            </w:r>
          </w:p>
        </w:tc>
        <w:tc>
          <w:tcPr>
            <w:tcW w:w="8519" w:type="dxa"/>
          </w:tcPr>
          <w:p w:rsidR="002B0020" w:rsidRDefault="002B0020" w:rsidP="00A24AB3">
            <w:pPr>
              <w:rPr>
                <w:rFonts w:ascii="仿宋" w:eastAsia="仿宋" w:hAnsi="仿宋" w:cs="仿宋"/>
                <w:b/>
                <w:bCs/>
                <w:sz w:val="32"/>
                <w:szCs w:val="32"/>
              </w:rPr>
            </w:pPr>
            <w:r>
              <w:rPr>
                <w:rFonts w:ascii="仿宋" w:eastAsia="仿宋" w:hAnsi="仿宋" w:cs="仿宋" w:hint="eastAsia"/>
                <w:color w:val="000000"/>
                <w:sz w:val="32"/>
                <w:szCs w:val="32"/>
              </w:rPr>
              <w:t>未按审批的施工组织设计和施工方案施工的或未按规定执行危险性较大分部分项工程方案审批、专家论证、无方案施工，或论证不合格擅自施工的。每次扣0.5分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2</w:t>
            </w:r>
          </w:p>
        </w:tc>
        <w:tc>
          <w:tcPr>
            <w:tcW w:w="8519" w:type="dxa"/>
          </w:tcPr>
          <w:p w:rsidR="002B0020" w:rsidRDefault="002B0020" w:rsidP="00A24AB3">
            <w:pPr>
              <w:spacing w:line="360" w:lineRule="auto"/>
              <w:rPr>
                <w:rFonts w:ascii="仿宋" w:eastAsia="仿宋" w:hAnsi="仿宋" w:cs="仿宋"/>
                <w:b/>
                <w:bCs/>
                <w:sz w:val="32"/>
                <w:szCs w:val="32"/>
              </w:rPr>
            </w:pPr>
            <w:r>
              <w:rPr>
                <w:rFonts w:ascii="仿宋" w:eastAsia="仿宋" w:hAnsi="仿宋" w:cs="仿宋" w:hint="eastAsia"/>
                <w:color w:val="000000"/>
                <w:sz w:val="32"/>
                <w:szCs w:val="32"/>
              </w:rPr>
              <w:t>不按规定配备关键岗位人员的，或关键岗位人员履行职责不到位的，每人每次扣0.2分；同时承接两个及以上在建项目或变更建造师不及时办理变更手续的，每人次扣0.5分。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3</w:t>
            </w:r>
          </w:p>
        </w:tc>
        <w:tc>
          <w:tcPr>
            <w:tcW w:w="8519" w:type="dxa"/>
          </w:tcPr>
          <w:p w:rsidR="002B0020" w:rsidRDefault="002B0020" w:rsidP="00A24AB3">
            <w:pPr>
              <w:spacing w:line="360" w:lineRule="auto"/>
              <w:rPr>
                <w:rFonts w:ascii="仿宋" w:eastAsia="仿宋" w:hAnsi="仿宋" w:cs="仿宋"/>
                <w:b/>
                <w:bCs/>
                <w:sz w:val="32"/>
                <w:szCs w:val="32"/>
              </w:rPr>
            </w:pPr>
            <w:r>
              <w:rPr>
                <w:rFonts w:ascii="仿宋" w:eastAsia="仿宋" w:hAnsi="仿宋" w:cs="仿宋" w:hint="eastAsia"/>
                <w:color w:val="000000"/>
                <w:sz w:val="32"/>
                <w:szCs w:val="32"/>
              </w:rPr>
              <w:t>使用未加盖施工图审查图章的图纸，或在施工中偷工减料，使用不合格的建筑材料建筑构配件，或降低建筑节能标准，节能施工达不到设计要求的扣1分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4</w:t>
            </w:r>
          </w:p>
        </w:tc>
        <w:tc>
          <w:tcPr>
            <w:tcW w:w="8519" w:type="dxa"/>
          </w:tcPr>
          <w:p w:rsidR="002B0020" w:rsidRDefault="002B0020" w:rsidP="00A24AB3">
            <w:pPr>
              <w:spacing w:line="360" w:lineRule="auto"/>
              <w:rPr>
                <w:rFonts w:ascii="仿宋" w:eastAsia="仿宋" w:hAnsi="仿宋" w:cs="仿宋"/>
                <w:b/>
                <w:bCs/>
                <w:sz w:val="32"/>
                <w:szCs w:val="32"/>
              </w:rPr>
            </w:pPr>
            <w:r>
              <w:rPr>
                <w:rFonts w:ascii="仿宋" w:eastAsia="仿宋" w:hAnsi="仿宋" w:cs="仿宋" w:hint="eastAsia"/>
                <w:color w:val="000000"/>
                <w:sz w:val="32"/>
                <w:szCs w:val="32"/>
              </w:rPr>
              <w:t>因质量安全引起投诉上访，核查属实的；或对建设行政主管部门提出的质量、安全隐患逾期不整改的，扣1分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5</w:t>
            </w:r>
          </w:p>
        </w:tc>
        <w:tc>
          <w:tcPr>
            <w:tcW w:w="8519" w:type="dxa"/>
          </w:tcPr>
          <w:p w:rsidR="002B0020" w:rsidRDefault="002B0020" w:rsidP="00A24AB3">
            <w:pPr>
              <w:rPr>
                <w:rFonts w:ascii="仿宋" w:eastAsia="仿宋" w:hAnsi="仿宋" w:cs="仿宋"/>
                <w:b/>
                <w:bCs/>
                <w:sz w:val="32"/>
                <w:szCs w:val="32"/>
              </w:rPr>
            </w:pPr>
            <w:r>
              <w:rPr>
                <w:rFonts w:ascii="仿宋" w:eastAsia="仿宋" w:hAnsi="仿宋" w:cs="仿宋" w:hint="eastAsia"/>
                <w:color w:val="000000" w:themeColor="text1"/>
                <w:sz w:val="32"/>
                <w:szCs w:val="32"/>
              </w:rPr>
              <w:t>承建的项目质量、安全受到主管部门或质量安全监督机构通报批评的分别扣1分</w:t>
            </w:r>
            <w:r>
              <w:rPr>
                <w:rFonts w:ascii="仿宋" w:eastAsia="仿宋" w:hAnsi="仿宋" w:cs="仿宋" w:hint="eastAsia"/>
                <w:b/>
                <w:bCs/>
                <w:color w:val="000000" w:themeColor="text1"/>
                <w:sz w:val="32"/>
                <w:szCs w:val="32"/>
              </w:rPr>
              <w:t>。</w:t>
            </w:r>
            <w:r>
              <w:rPr>
                <w:rFonts w:ascii="仿宋" w:eastAsia="仿宋" w:hAnsi="仿宋" w:cs="仿宋" w:hint="eastAsia"/>
                <w:color w:val="000000"/>
                <w:sz w:val="32"/>
                <w:szCs w:val="32"/>
              </w:rPr>
              <w:t>因工程质量、安全问题被主管部门责令停工的，仍擅自施工的，每次扣3分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6</w:t>
            </w:r>
          </w:p>
        </w:tc>
        <w:tc>
          <w:tcPr>
            <w:tcW w:w="8519" w:type="dxa"/>
          </w:tcPr>
          <w:p w:rsidR="002B0020" w:rsidRDefault="002B0020" w:rsidP="00A24AB3">
            <w:pPr>
              <w:spacing w:line="360" w:lineRule="auto"/>
              <w:rPr>
                <w:rFonts w:ascii="仿宋" w:eastAsia="仿宋" w:hAnsi="仿宋" w:cs="仿宋"/>
                <w:b/>
                <w:bCs/>
                <w:sz w:val="32"/>
                <w:szCs w:val="32"/>
              </w:rPr>
            </w:pPr>
            <w:r>
              <w:rPr>
                <w:rFonts w:ascii="仿宋" w:eastAsia="仿宋" w:hAnsi="仿宋" w:cs="仿宋" w:hint="eastAsia"/>
                <w:color w:val="000000"/>
                <w:sz w:val="32"/>
                <w:szCs w:val="32"/>
              </w:rPr>
              <w:t>未按照规定对施工起重机械办理产权备案、使用登记投入使用，或委托不具有相应资质的单位承担施工现场施工起重机械设备的安装、拆卸，每次扣1分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7</w:t>
            </w:r>
          </w:p>
        </w:tc>
        <w:tc>
          <w:tcPr>
            <w:tcW w:w="8519" w:type="dxa"/>
          </w:tcPr>
          <w:p w:rsidR="002B0020" w:rsidRDefault="002B0020" w:rsidP="00A24AB3">
            <w:pPr>
              <w:spacing w:line="360" w:lineRule="auto"/>
              <w:rPr>
                <w:rFonts w:ascii="仿宋" w:eastAsia="仿宋" w:hAnsi="仿宋" w:cs="仿宋"/>
                <w:b/>
                <w:bCs/>
                <w:sz w:val="32"/>
                <w:szCs w:val="32"/>
              </w:rPr>
            </w:pPr>
            <w:r>
              <w:rPr>
                <w:rFonts w:ascii="仿宋" w:eastAsia="仿宋" w:hAnsi="仿宋" w:cs="仿宋" w:hint="eastAsia"/>
                <w:color w:val="000000"/>
                <w:sz w:val="32"/>
                <w:szCs w:val="32"/>
              </w:rPr>
              <w:t>不按规定向</w:t>
            </w:r>
            <w:r>
              <w:rPr>
                <w:rFonts w:ascii="仿宋" w:eastAsia="仿宋" w:hAnsi="仿宋" w:cs="仿宋" w:hint="eastAsia"/>
                <w:sz w:val="32"/>
                <w:szCs w:val="32"/>
              </w:rPr>
              <w:t>建设主管部门报</w:t>
            </w:r>
            <w:r>
              <w:rPr>
                <w:rFonts w:ascii="仿宋" w:eastAsia="仿宋" w:hAnsi="仿宋" w:cs="仿宋" w:hint="eastAsia"/>
                <w:color w:val="000000"/>
                <w:sz w:val="32"/>
                <w:szCs w:val="32"/>
              </w:rPr>
              <w:t>送统计报表，或虚报、瞒报、伪造、篡改统计报表的，每次扣1分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8</w:t>
            </w:r>
          </w:p>
        </w:tc>
        <w:tc>
          <w:tcPr>
            <w:tcW w:w="8519" w:type="dxa"/>
          </w:tcPr>
          <w:p w:rsidR="002B0020" w:rsidRDefault="002B0020" w:rsidP="00A24AB3">
            <w:pPr>
              <w:rPr>
                <w:rFonts w:ascii="仿宋" w:eastAsia="仿宋" w:hAnsi="仿宋" w:cs="仿宋"/>
                <w:b/>
                <w:bCs/>
                <w:sz w:val="32"/>
                <w:szCs w:val="32"/>
              </w:rPr>
            </w:pPr>
            <w:r>
              <w:rPr>
                <w:rFonts w:ascii="仿宋" w:eastAsia="仿宋" w:hAnsi="仿宋" w:cs="仿宋" w:hint="eastAsia"/>
                <w:color w:val="000000"/>
                <w:sz w:val="32"/>
                <w:szCs w:val="32"/>
              </w:rPr>
              <w:t>施工现场路面未硬化，或者在城内的建设工程的施工现场未实行封闭围挡的，每次扣</w:t>
            </w:r>
            <w:r>
              <w:rPr>
                <w:rFonts w:ascii="仿宋" w:eastAsia="仿宋" w:hAnsi="仿宋" w:cs="仿宋" w:hint="eastAsia"/>
                <w:b/>
                <w:bCs/>
                <w:color w:val="000000"/>
                <w:sz w:val="32"/>
                <w:szCs w:val="32"/>
              </w:rPr>
              <w:t>1</w:t>
            </w:r>
            <w:r>
              <w:rPr>
                <w:rFonts w:ascii="仿宋" w:eastAsia="仿宋" w:hAnsi="仿宋" w:cs="仿宋" w:hint="eastAsia"/>
                <w:color w:val="000000"/>
                <w:sz w:val="32"/>
                <w:szCs w:val="32"/>
              </w:rPr>
              <w:t>分；在施工的建筑物内设置员工集体宿舍的每起扣0.3分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lastRenderedPageBreak/>
              <w:t>9</w:t>
            </w:r>
          </w:p>
        </w:tc>
        <w:tc>
          <w:tcPr>
            <w:tcW w:w="8519" w:type="dxa"/>
          </w:tcPr>
          <w:p w:rsidR="002B0020" w:rsidRDefault="002B0020" w:rsidP="00A24AB3">
            <w:pPr>
              <w:spacing w:line="360" w:lineRule="auto"/>
              <w:rPr>
                <w:rFonts w:ascii="仿宋" w:eastAsia="仿宋" w:hAnsi="仿宋" w:cs="仿宋"/>
                <w:b/>
                <w:bCs/>
                <w:sz w:val="32"/>
                <w:szCs w:val="32"/>
              </w:rPr>
            </w:pPr>
            <w:r>
              <w:rPr>
                <w:rFonts w:ascii="仿宋" w:eastAsia="仿宋" w:hAnsi="仿宋" w:cs="仿宋" w:hint="eastAsia"/>
                <w:color w:val="000000"/>
                <w:sz w:val="32"/>
                <w:szCs w:val="32"/>
              </w:rPr>
              <w:t>未对因建设工程施工可能造成损害的毗邻建筑物、构筑物和地下管线等采取专项防护措施，每次扣0.5分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10</w:t>
            </w:r>
          </w:p>
        </w:tc>
        <w:tc>
          <w:tcPr>
            <w:tcW w:w="8519" w:type="dxa"/>
          </w:tcPr>
          <w:p w:rsidR="002B0020" w:rsidRDefault="002B0020" w:rsidP="00A24AB3">
            <w:pPr>
              <w:spacing w:line="360" w:lineRule="auto"/>
              <w:rPr>
                <w:rFonts w:ascii="仿宋" w:eastAsia="仿宋" w:hAnsi="仿宋" w:cs="仿宋"/>
                <w:b/>
                <w:bCs/>
                <w:sz w:val="32"/>
                <w:szCs w:val="32"/>
              </w:rPr>
            </w:pPr>
            <w:r>
              <w:rPr>
                <w:rFonts w:ascii="仿宋" w:eastAsia="仿宋" w:hAnsi="仿宋" w:cs="仿宋" w:hint="eastAsia"/>
                <w:color w:val="000000"/>
                <w:sz w:val="32"/>
                <w:szCs w:val="32"/>
              </w:rPr>
              <w:t>建筑工地环境保护被通报或发生拖欠农民工工资并被查实的，每起扣1分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11</w:t>
            </w:r>
          </w:p>
        </w:tc>
        <w:tc>
          <w:tcPr>
            <w:tcW w:w="8519" w:type="dxa"/>
          </w:tcPr>
          <w:p w:rsidR="002B0020" w:rsidRDefault="002B0020" w:rsidP="00A24AB3">
            <w:pPr>
              <w:rPr>
                <w:rFonts w:ascii="仿宋" w:eastAsia="仿宋" w:hAnsi="仿宋" w:cs="仿宋"/>
                <w:b/>
                <w:bCs/>
                <w:sz w:val="32"/>
                <w:szCs w:val="32"/>
              </w:rPr>
            </w:pPr>
            <w:r>
              <w:rPr>
                <w:rFonts w:ascii="仿宋" w:eastAsia="仿宋" w:hAnsi="仿宋" w:cs="仿宋" w:hint="eastAsia"/>
                <w:color w:val="000000"/>
                <w:sz w:val="32"/>
                <w:szCs w:val="32"/>
              </w:rPr>
              <w:t>发生人员伤亡一般安全事故的，每受伤1人扣0.5分，人员死亡扣5分。质量事故直接经济损失100万元以下的每起扣0.5分，100-500万元以下的每起扣1分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12</w:t>
            </w:r>
          </w:p>
        </w:tc>
        <w:tc>
          <w:tcPr>
            <w:tcW w:w="8519" w:type="dxa"/>
          </w:tcPr>
          <w:p w:rsidR="002B0020" w:rsidRDefault="002B0020" w:rsidP="00A24AB3">
            <w:pPr>
              <w:spacing w:line="360" w:lineRule="auto"/>
              <w:rPr>
                <w:rFonts w:ascii="仿宋" w:eastAsia="仿宋" w:hAnsi="仿宋" w:cs="仿宋"/>
                <w:b/>
                <w:bCs/>
                <w:sz w:val="32"/>
                <w:szCs w:val="32"/>
              </w:rPr>
            </w:pPr>
            <w:r>
              <w:rPr>
                <w:rFonts w:ascii="仿宋" w:eastAsia="仿宋" w:hAnsi="仿宋" w:cs="仿宋" w:hint="eastAsia"/>
                <w:sz w:val="32"/>
                <w:szCs w:val="32"/>
              </w:rPr>
              <w:t>“季度安全、质量标准化考评不合格工地”每个扣1分；“年度安全、质量标准化考评不合格工地”每个扣2分；“年度安全、质量标准化考评不合格企业”扣3分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13</w:t>
            </w:r>
          </w:p>
        </w:tc>
        <w:tc>
          <w:tcPr>
            <w:tcW w:w="8519" w:type="dxa"/>
          </w:tcPr>
          <w:p w:rsidR="002B0020" w:rsidRDefault="002B0020" w:rsidP="00A24AB3">
            <w:pPr>
              <w:spacing w:line="360" w:lineRule="auto"/>
              <w:rPr>
                <w:rFonts w:ascii="仿宋" w:eastAsia="仿宋" w:hAnsi="仿宋" w:cs="仿宋"/>
                <w:b/>
                <w:bCs/>
                <w:sz w:val="32"/>
                <w:szCs w:val="32"/>
              </w:rPr>
            </w:pPr>
            <w:r>
              <w:rPr>
                <w:rFonts w:ascii="仿宋" w:eastAsia="仿宋" w:hAnsi="仿宋" w:cs="仿宋" w:hint="eastAsia"/>
                <w:color w:val="000000"/>
                <w:sz w:val="32"/>
                <w:szCs w:val="32"/>
              </w:rPr>
              <w:t>个人、单位一般不良行为记录每次分别扣0.3、1分；个人、单位严重不良行为记录每次分别扣0.5、2分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14</w:t>
            </w:r>
          </w:p>
        </w:tc>
        <w:tc>
          <w:tcPr>
            <w:tcW w:w="8519" w:type="dxa"/>
          </w:tcPr>
          <w:p w:rsidR="002B0020" w:rsidRDefault="002B0020" w:rsidP="00A24AB3">
            <w:pPr>
              <w:spacing w:line="360" w:lineRule="auto"/>
              <w:rPr>
                <w:rFonts w:ascii="仿宋" w:eastAsia="仿宋" w:hAnsi="仿宋" w:cs="仿宋"/>
                <w:b/>
                <w:bCs/>
                <w:sz w:val="32"/>
                <w:szCs w:val="32"/>
              </w:rPr>
            </w:pPr>
            <w:r>
              <w:rPr>
                <w:rFonts w:ascii="仿宋" w:eastAsia="仿宋" w:hAnsi="仿宋" w:cs="仿宋" w:hint="eastAsia"/>
                <w:color w:val="000000"/>
                <w:sz w:val="32"/>
                <w:szCs w:val="32"/>
              </w:rPr>
              <w:t>投标人低于成本价或超出已公示招标控制价恶性竟标的，或无故不按招标文件规定派人员、提供资格资质证书、类似工程业绩、获奖证书、诚信结果等文件投标或通过了资格审查而放弃投标的，每种行为扣1分</w:t>
            </w:r>
          </w:p>
        </w:tc>
      </w:tr>
      <w:tr w:rsidR="002B0020" w:rsidTr="00A24AB3">
        <w:tc>
          <w:tcPr>
            <w:tcW w:w="630"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15</w:t>
            </w:r>
          </w:p>
        </w:tc>
        <w:tc>
          <w:tcPr>
            <w:tcW w:w="8519" w:type="dxa"/>
          </w:tcPr>
          <w:p w:rsidR="002B0020" w:rsidRDefault="002B0020" w:rsidP="00A24AB3">
            <w:pPr>
              <w:spacing w:line="360" w:lineRule="auto"/>
              <w:rPr>
                <w:rFonts w:ascii="仿宋" w:eastAsia="仿宋" w:hAnsi="仿宋" w:cs="仿宋"/>
                <w:b/>
                <w:bCs/>
                <w:sz w:val="32"/>
                <w:szCs w:val="32"/>
              </w:rPr>
            </w:pPr>
            <w:r>
              <w:rPr>
                <w:rFonts w:ascii="仿宋" w:eastAsia="仿宋" w:hAnsi="仿宋" w:cs="仿宋" w:hint="eastAsia"/>
                <w:color w:val="000000"/>
                <w:sz w:val="32"/>
                <w:szCs w:val="32"/>
              </w:rPr>
              <w:t>订立与投标文件合同实质性内容相违背协议的或因中标人原因未在规定期内签订合同的或履约合同发生诉讼、仲裁并败诉的每起扣0.5分</w:t>
            </w:r>
          </w:p>
        </w:tc>
      </w:tr>
    </w:tbl>
    <w:p w:rsidR="002B0020" w:rsidRDefault="002B0020" w:rsidP="002B0020">
      <w:pPr>
        <w:pStyle w:val="a5"/>
        <w:spacing w:line="360" w:lineRule="auto"/>
        <w:jc w:val="both"/>
        <w:rPr>
          <w:rFonts w:ascii="仿宋" w:eastAsia="仿宋" w:hAnsi="仿宋" w:cs="仿宋"/>
          <w:b/>
          <w:bCs/>
          <w:color w:val="000000"/>
          <w:sz w:val="32"/>
          <w:szCs w:val="32"/>
        </w:rPr>
      </w:pPr>
    </w:p>
    <w:p w:rsidR="002B0020" w:rsidRDefault="002B0020" w:rsidP="002B0020">
      <w:pPr>
        <w:pStyle w:val="a5"/>
        <w:spacing w:line="360" w:lineRule="auto"/>
        <w:ind w:leftChars="200" w:left="420"/>
        <w:jc w:val="both"/>
        <w:rPr>
          <w:rFonts w:ascii="仿宋" w:eastAsia="仿宋" w:hAnsi="仿宋" w:cs="仿宋"/>
          <w:b/>
          <w:bCs/>
          <w:color w:val="000000"/>
          <w:sz w:val="32"/>
          <w:szCs w:val="32"/>
        </w:rPr>
      </w:pPr>
    </w:p>
    <w:p w:rsidR="002B0020" w:rsidRDefault="002B0020" w:rsidP="002B0020">
      <w:pPr>
        <w:pStyle w:val="a5"/>
        <w:spacing w:line="360" w:lineRule="auto"/>
        <w:ind w:leftChars="200" w:left="420"/>
        <w:jc w:val="both"/>
        <w:rPr>
          <w:rFonts w:ascii="仿宋" w:eastAsia="仿宋" w:hAnsi="仿宋" w:cs="仿宋" w:hint="eastAsia"/>
          <w:b/>
          <w:bCs/>
          <w:color w:val="000000"/>
          <w:sz w:val="32"/>
          <w:szCs w:val="32"/>
        </w:rPr>
      </w:pPr>
    </w:p>
    <w:p w:rsidR="00CD2C60" w:rsidRDefault="00CD2C60" w:rsidP="002B0020">
      <w:pPr>
        <w:pStyle w:val="a5"/>
        <w:spacing w:line="360" w:lineRule="auto"/>
        <w:ind w:leftChars="200" w:left="420"/>
        <w:jc w:val="both"/>
        <w:rPr>
          <w:rFonts w:ascii="仿宋" w:eastAsia="仿宋" w:hAnsi="仿宋" w:cs="仿宋" w:hint="eastAsia"/>
          <w:b/>
          <w:bCs/>
          <w:color w:val="000000"/>
          <w:sz w:val="32"/>
          <w:szCs w:val="32"/>
        </w:rPr>
      </w:pPr>
    </w:p>
    <w:p w:rsidR="00CD2C60" w:rsidRDefault="00CD2C60" w:rsidP="002B0020">
      <w:pPr>
        <w:pStyle w:val="a5"/>
        <w:spacing w:line="360" w:lineRule="auto"/>
        <w:ind w:leftChars="200" w:left="420"/>
        <w:jc w:val="both"/>
        <w:rPr>
          <w:rFonts w:ascii="仿宋" w:eastAsia="仿宋" w:hAnsi="仿宋" w:cs="仿宋"/>
          <w:b/>
          <w:bCs/>
          <w:color w:val="000000"/>
          <w:sz w:val="32"/>
          <w:szCs w:val="32"/>
        </w:rPr>
      </w:pPr>
    </w:p>
    <w:p w:rsidR="002B0020" w:rsidRDefault="002B0020" w:rsidP="002B0020">
      <w:pPr>
        <w:pStyle w:val="a5"/>
        <w:spacing w:line="360" w:lineRule="auto"/>
        <w:ind w:leftChars="200" w:left="420"/>
        <w:jc w:val="both"/>
        <w:rPr>
          <w:rFonts w:ascii="仿宋" w:eastAsia="仿宋" w:hAnsi="仿宋" w:cs="仿宋"/>
          <w:b/>
          <w:bCs/>
          <w:sz w:val="32"/>
          <w:szCs w:val="32"/>
        </w:rPr>
      </w:pPr>
      <w:r>
        <w:rPr>
          <w:rFonts w:ascii="仿宋" w:eastAsia="仿宋" w:hAnsi="仿宋" w:cs="仿宋" w:hint="eastAsia"/>
          <w:b/>
          <w:bCs/>
          <w:color w:val="000000"/>
          <w:sz w:val="32"/>
          <w:szCs w:val="32"/>
        </w:rPr>
        <w:lastRenderedPageBreak/>
        <w:t>三、直接认定AAA的</w:t>
      </w:r>
      <w:r>
        <w:rPr>
          <w:rFonts w:ascii="仿宋" w:eastAsia="仿宋" w:hAnsi="仿宋" w:cs="仿宋" w:hint="eastAsia"/>
          <w:b/>
          <w:bCs/>
          <w:sz w:val="32"/>
          <w:szCs w:val="32"/>
        </w:rPr>
        <w:t>标准</w:t>
      </w:r>
    </w:p>
    <w:tbl>
      <w:tblPr>
        <w:tblStyle w:val="a6"/>
        <w:tblW w:w="8976" w:type="dxa"/>
        <w:tblLayout w:type="fixed"/>
        <w:tblLook w:val="04A0"/>
      </w:tblPr>
      <w:tblGrid>
        <w:gridCol w:w="1149"/>
        <w:gridCol w:w="7827"/>
      </w:tblGrid>
      <w:tr w:rsidR="002B0020" w:rsidTr="00A24AB3">
        <w:tc>
          <w:tcPr>
            <w:tcW w:w="1149" w:type="dxa"/>
          </w:tcPr>
          <w:p w:rsidR="002B0020" w:rsidRDefault="002B0020" w:rsidP="00A24AB3">
            <w:pPr>
              <w:pStyle w:val="a5"/>
              <w:spacing w:line="360" w:lineRule="auto"/>
              <w:jc w:val="both"/>
              <w:rPr>
                <w:rFonts w:ascii="仿宋" w:eastAsia="仿宋" w:hAnsi="仿宋" w:cs="仿宋"/>
                <w:color w:val="000000"/>
                <w:sz w:val="32"/>
                <w:szCs w:val="32"/>
              </w:rPr>
            </w:pPr>
            <w:r>
              <w:rPr>
                <w:rFonts w:ascii="仿宋" w:eastAsia="仿宋" w:hAnsi="仿宋" w:cs="仿宋" w:hint="eastAsia"/>
                <w:color w:val="000000"/>
                <w:sz w:val="32"/>
                <w:szCs w:val="32"/>
              </w:rPr>
              <w:t>序号</w:t>
            </w:r>
          </w:p>
        </w:tc>
        <w:tc>
          <w:tcPr>
            <w:tcW w:w="7827" w:type="dxa"/>
          </w:tcPr>
          <w:p w:rsidR="002B0020" w:rsidRDefault="002B0020" w:rsidP="00A24AB3">
            <w:pPr>
              <w:pStyle w:val="a5"/>
              <w:spacing w:line="360" w:lineRule="auto"/>
              <w:jc w:val="both"/>
              <w:rPr>
                <w:rFonts w:ascii="仿宋" w:eastAsia="仿宋" w:hAnsi="仿宋" w:cs="仿宋"/>
                <w:b/>
                <w:bCs/>
                <w:sz w:val="32"/>
                <w:szCs w:val="32"/>
              </w:rPr>
            </w:pPr>
            <w:r>
              <w:rPr>
                <w:rFonts w:ascii="仿宋" w:eastAsia="仿宋" w:hAnsi="仿宋" w:cs="仿宋" w:hint="eastAsia"/>
                <w:color w:val="000000"/>
                <w:sz w:val="32"/>
                <w:szCs w:val="32"/>
              </w:rPr>
              <w:t>标准</w:t>
            </w:r>
          </w:p>
        </w:tc>
      </w:tr>
      <w:tr w:rsidR="002B0020" w:rsidTr="00A24AB3">
        <w:tc>
          <w:tcPr>
            <w:tcW w:w="1149" w:type="dxa"/>
          </w:tcPr>
          <w:p w:rsidR="002B0020" w:rsidRDefault="002B0020" w:rsidP="00A24AB3">
            <w:pPr>
              <w:pStyle w:val="a5"/>
              <w:spacing w:line="360" w:lineRule="auto"/>
              <w:jc w:val="both"/>
              <w:rPr>
                <w:rFonts w:ascii="仿宋" w:eastAsia="仿宋" w:hAnsi="仿宋" w:cs="仿宋"/>
                <w:color w:val="000000"/>
                <w:sz w:val="32"/>
                <w:szCs w:val="32"/>
              </w:rPr>
            </w:pPr>
            <w:r>
              <w:rPr>
                <w:rFonts w:ascii="仿宋" w:eastAsia="仿宋" w:hAnsi="仿宋" w:cs="仿宋" w:hint="eastAsia"/>
                <w:color w:val="000000"/>
                <w:sz w:val="32"/>
                <w:szCs w:val="32"/>
              </w:rPr>
              <w:t>1</w:t>
            </w:r>
          </w:p>
        </w:tc>
        <w:tc>
          <w:tcPr>
            <w:tcW w:w="7827" w:type="dxa"/>
          </w:tcPr>
          <w:p w:rsidR="002B0020" w:rsidRDefault="002B0020" w:rsidP="00A24AB3">
            <w:pPr>
              <w:pStyle w:val="a5"/>
              <w:spacing w:line="360" w:lineRule="auto"/>
              <w:jc w:val="both"/>
              <w:rPr>
                <w:rFonts w:ascii="仿宋" w:eastAsia="仿宋" w:hAnsi="仿宋" w:cs="仿宋"/>
                <w:color w:val="000000"/>
                <w:sz w:val="32"/>
                <w:szCs w:val="32"/>
              </w:rPr>
            </w:pPr>
            <w:r>
              <w:rPr>
                <w:rFonts w:ascii="仿宋" w:eastAsia="仿宋" w:hAnsi="仿宋" w:cs="仿宋" w:hint="eastAsia"/>
                <w:color w:val="000000"/>
                <w:sz w:val="32"/>
                <w:szCs w:val="32"/>
              </w:rPr>
              <w:t>企业没有被直接认定B问题（同一问题考评只影响一次）、其信用评价分数达85分以上，且在本市辖区内项目（含外拓工程）获一个及以上鲁班奖或两个及以上芙蓉奖或</w:t>
            </w:r>
            <w:r>
              <w:rPr>
                <w:rFonts w:ascii="仿宋" w:eastAsia="仿宋" w:hAnsi="仿宋" w:cs="仿宋" w:hint="eastAsia"/>
                <w:sz w:val="32"/>
                <w:szCs w:val="32"/>
              </w:rPr>
              <w:t>二个及以上</w:t>
            </w:r>
            <w:r>
              <w:rPr>
                <w:rFonts w:ascii="仿宋" w:eastAsia="仿宋" w:hAnsi="仿宋" w:cs="仿宋" w:hint="eastAsia"/>
                <w:color w:val="000000"/>
                <w:sz w:val="32"/>
                <w:szCs w:val="32"/>
              </w:rPr>
              <w:t xml:space="preserve">省级建筑施工安全标准化示范观摩工地    </w:t>
            </w:r>
          </w:p>
        </w:tc>
      </w:tr>
    </w:tbl>
    <w:p w:rsidR="002B0020" w:rsidRDefault="002B0020" w:rsidP="002B0020">
      <w:pPr>
        <w:pStyle w:val="a5"/>
        <w:spacing w:line="360" w:lineRule="auto"/>
        <w:jc w:val="both"/>
        <w:rPr>
          <w:rFonts w:ascii="仿宋" w:eastAsia="仿宋" w:hAnsi="仿宋" w:cs="仿宋"/>
          <w:color w:val="000000"/>
          <w:sz w:val="32"/>
          <w:szCs w:val="32"/>
        </w:rPr>
      </w:pPr>
    </w:p>
    <w:p w:rsidR="002B0020" w:rsidRDefault="002B0020" w:rsidP="002B0020">
      <w:pPr>
        <w:ind w:leftChars="200" w:left="420"/>
        <w:rPr>
          <w:rFonts w:ascii="仿宋" w:eastAsia="仿宋" w:hAnsi="仿宋" w:cs="仿宋"/>
          <w:b/>
          <w:bCs/>
          <w:color w:val="000000"/>
          <w:kern w:val="0"/>
          <w:sz w:val="32"/>
          <w:szCs w:val="32"/>
        </w:rPr>
      </w:pPr>
    </w:p>
    <w:p w:rsidR="002B0020" w:rsidRDefault="002B0020" w:rsidP="002B0020">
      <w:pPr>
        <w:ind w:leftChars="200" w:left="420"/>
        <w:rPr>
          <w:rFonts w:ascii="仿宋" w:eastAsia="仿宋" w:hAnsi="仿宋" w:cs="仿宋"/>
          <w:b/>
          <w:bCs/>
          <w:color w:val="000000"/>
          <w:kern w:val="0"/>
          <w:sz w:val="32"/>
          <w:szCs w:val="32"/>
        </w:rPr>
      </w:pPr>
    </w:p>
    <w:p w:rsidR="002B0020" w:rsidRDefault="002B0020" w:rsidP="002B0020">
      <w:pPr>
        <w:ind w:leftChars="200" w:left="420"/>
        <w:rPr>
          <w:rFonts w:ascii="仿宋" w:eastAsia="仿宋" w:hAnsi="仿宋" w:cs="仿宋"/>
          <w:b/>
          <w:bCs/>
          <w:color w:val="000000"/>
          <w:kern w:val="0"/>
          <w:sz w:val="32"/>
          <w:szCs w:val="32"/>
        </w:rPr>
      </w:pPr>
    </w:p>
    <w:p w:rsidR="002B0020" w:rsidRDefault="002B0020" w:rsidP="002B0020">
      <w:pPr>
        <w:ind w:leftChars="200" w:left="420"/>
        <w:rPr>
          <w:rFonts w:ascii="仿宋" w:eastAsia="仿宋" w:hAnsi="仿宋" w:cs="仿宋"/>
          <w:b/>
          <w:bCs/>
          <w:sz w:val="32"/>
          <w:szCs w:val="32"/>
        </w:rPr>
      </w:pPr>
      <w:r>
        <w:rPr>
          <w:rFonts w:ascii="仿宋" w:eastAsia="仿宋" w:hAnsi="仿宋" w:cs="仿宋" w:hint="eastAsia"/>
          <w:b/>
          <w:bCs/>
          <w:color w:val="000000"/>
          <w:kern w:val="0"/>
          <w:sz w:val="32"/>
          <w:szCs w:val="32"/>
        </w:rPr>
        <w:t>四、信用</w:t>
      </w:r>
      <w:r>
        <w:rPr>
          <w:rFonts w:ascii="仿宋" w:eastAsia="仿宋" w:hAnsi="仿宋" w:cs="仿宋" w:hint="eastAsia"/>
          <w:b/>
          <w:bCs/>
          <w:color w:val="000000"/>
          <w:sz w:val="32"/>
          <w:szCs w:val="32"/>
        </w:rPr>
        <w:t xml:space="preserve">等级直接认定B </w:t>
      </w:r>
      <w:r>
        <w:rPr>
          <w:rFonts w:ascii="仿宋" w:eastAsia="仿宋" w:hAnsi="仿宋" w:cs="仿宋" w:hint="eastAsia"/>
          <w:b/>
          <w:bCs/>
          <w:sz w:val="32"/>
          <w:szCs w:val="32"/>
        </w:rPr>
        <w:t>标准</w:t>
      </w:r>
    </w:p>
    <w:tbl>
      <w:tblPr>
        <w:tblStyle w:val="a6"/>
        <w:tblW w:w="9038" w:type="dxa"/>
        <w:tblLayout w:type="fixed"/>
        <w:tblLook w:val="04A0"/>
      </w:tblPr>
      <w:tblGrid>
        <w:gridCol w:w="894"/>
        <w:gridCol w:w="8144"/>
      </w:tblGrid>
      <w:tr w:rsidR="002B0020" w:rsidTr="00A24AB3">
        <w:tc>
          <w:tcPr>
            <w:tcW w:w="894"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序号</w:t>
            </w:r>
          </w:p>
        </w:tc>
        <w:tc>
          <w:tcPr>
            <w:tcW w:w="8144"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标准</w:t>
            </w:r>
          </w:p>
        </w:tc>
      </w:tr>
      <w:tr w:rsidR="002B0020" w:rsidTr="00A24AB3">
        <w:tc>
          <w:tcPr>
            <w:tcW w:w="894"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1</w:t>
            </w:r>
          </w:p>
        </w:tc>
        <w:tc>
          <w:tcPr>
            <w:tcW w:w="8144" w:type="dxa"/>
          </w:tcPr>
          <w:p w:rsidR="002B0020" w:rsidRDefault="002B0020" w:rsidP="00A24AB3">
            <w:pPr>
              <w:rPr>
                <w:rFonts w:ascii="仿宋" w:eastAsia="仿宋" w:hAnsi="仿宋" w:cs="仿宋"/>
                <w:b/>
                <w:bCs/>
                <w:sz w:val="32"/>
                <w:szCs w:val="32"/>
              </w:rPr>
            </w:pPr>
            <w:r>
              <w:rPr>
                <w:rFonts w:ascii="仿宋" w:eastAsia="仿宋" w:hAnsi="仿宋" w:cs="仿宋" w:hint="eastAsia"/>
                <w:color w:val="000000"/>
                <w:sz w:val="32"/>
                <w:szCs w:val="32"/>
              </w:rPr>
              <w:t>在招投标活动中被认定一次及以上有围标串标行为或以他人名义投标</w:t>
            </w:r>
          </w:p>
        </w:tc>
      </w:tr>
      <w:tr w:rsidR="002B0020" w:rsidTr="00A24AB3">
        <w:tc>
          <w:tcPr>
            <w:tcW w:w="894"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2</w:t>
            </w:r>
          </w:p>
        </w:tc>
        <w:tc>
          <w:tcPr>
            <w:tcW w:w="8144" w:type="dxa"/>
          </w:tcPr>
          <w:p w:rsidR="002B0020" w:rsidRDefault="002B0020" w:rsidP="00A24AB3">
            <w:pPr>
              <w:rPr>
                <w:rFonts w:ascii="仿宋" w:eastAsia="仿宋" w:hAnsi="仿宋" w:cs="仿宋"/>
                <w:b/>
                <w:bCs/>
                <w:sz w:val="32"/>
                <w:szCs w:val="32"/>
              </w:rPr>
            </w:pPr>
            <w:r>
              <w:rPr>
                <w:rFonts w:ascii="仿宋" w:eastAsia="仿宋" w:hAnsi="仿宋" w:cs="仿宋" w:hint="eastAsia"/>
                <w:color w:val="000000"/>
                <w:sz w:val="32"/>
                <w:szCs w:val="32"/>
              </w:rPr>
              <w:t>以其他方式弄虚作假骗取中标的行为的</w:t>
            </w:r>
          </w:p>
        </w:tc>
      </w:tr>
      <w:tr w:rsidR="002B0020" w:rsidTr="00A24AB3">
        <w:tc>
          <w:tcPr>
            <w:tcW w:w="894"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3</w:t>
            </w:r>
          </w:p>
        </w:tc>
        <w:tc>
          <w:tcPr>
            <w:tcW w:w="8144" w:type="dxa"/>
          </w:tcPr>
          <w:p w:rsidR="002B0020" w:rsidRDefault="002B0020" w:rsidP="00A24AB3">
            <w:pPr>
              <w:rPr>
                <w:rFonts w:ascii="仿宋" w:eastAsia="仿宋" w:hAnsi="仿宋" w:cs="仿宋"/>
                <w:b/>
                <w:bCs/>
                <w:sz w:val="32"/>
                <w:szCs w:val="32"/>
              </w:rPr>
            </w:pPr>
            <w:r>
              <w:rPr>
                <w:rFonts w:ascii="仿宋" w:eastAsia="仿宋" w:hAnsi="仿宋" w:cs="仿宋" w:hint="eastAsia"/>
                <w:sz w:val="32"/>
                <w:szCs w:val="32"/>
              </w:rPr>
              <w:t>申报资料或证明材料弄虚作假被查实的</w:t>
            </w:r>
          </w:p>
        </w:tc>
      </w:tr>
      <w:tr w:rsidR="002B0020" w:rsidTr="00A24AB3">
        <w:tc>
          <w:tcPr>
            <w:tcW w:w="894"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4</w:t>
            </w:r>
          </w:p>
        </w:tc>
        <w:tc>
          <w:tcPr>
            <w:tcW w:w="8144" w:type="dxa"/>
          </w:tcPr>
          <w:p w:rsidR="002B0020" w:rsidRDefault="002B0020" w:rsidP="00A24AB3">
            <w:pPr>
              <w:rPr>
                <w:rFonts w:ascii="仿宋" w:eastAsia="仿宋" w:hAnsi="仿宋" w:cs="仿宋"/>
                <w:b/>
                <w:bCs/>
                <w:sz w:val="32"/>
                <w:szCs w:val="32"/>
              </w:rPr>
            </w:pPr>
            <w:r>
              <w:rPr>
                <w:rFonts w:ascii="仿宋" w:eastAsia="仿宋" w:hAnsi="仿宋" w:cs="仿宋" w:hint="eastAsia"/>
                <w:color w:val="000000"/>
                <w:sz w:val="32"/>
                <w:szCs w:val="32"/>
              </w:rPr>
              <w:t>年度内发生</w:t>
            </w:r>
            <w:r>
              <w:rPr>
                <w:rFonts w:ascii="仿宋" w:eastAsia="仿宋" w:hAnsi="仿宋" w:cs="仿宋" w:hint="eastAsia"/>
                <w:sz w:val="32"/>
                <w:szCs w:val="32"/>
              </w:rPr>
              <w:t>较大</w:t>
            </w:r>
            <w:r>
              <w:rPr>
                <w:rFonts w:ascii="仿宋" w:eastAsia="仿宋" w:hAnsi="仿宋" w:cs="仿宋" w:hint="eastAsia"/>
                <w:color w:val="000000"/>
                <w:sz w:val="32"/>
                <w:szCs w:val="32"/>
              </w:rPr>
              <w:t>及以上安全事故的</w:t>
            </w:r>
          </w:p>
        </w:tc>
      </w:tr>
      <w:tr w:rsidR="002B0020" w:rsidTr="00A24AB3">
        <w:tc>
          <w:tcPr>
            <w:tcW w:w="894"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5</w:t>
            </w:r>
          </w:p>
        </w:tc>
        <w:tc>
          <w:tcPr>
            <w:tcW w:w="8144" w:type="dxa"/>
          </w:tcPr>
          <w:p w:rsidR="002B0020" w:rsidRDefault="002B0020" w:rsidP="00A24AB3">
            <w:pPr>
              <w:rPr>
                <w:rFonts w:ascii="仿宋" w:eastAsia="仿宋" w:hAnsi="仿宋" w:cs="仿宋"/>
                <w:b/>
                <w:bCs/>
                <w:sz w:val="32"/>
                <w:szCs w:val="32"/>
              </w:rPr>
            </w:pPr>
            <w:r>
              <w:rPr>
                <w:rFonts w:ascii="仿宋" w:eastAsia="仿宋" w:hAnsi="仿宋" w:cs="仿宋" w:hint="eastAsia"/>
                <w:color w:val="000000"/>
                <w:sz w:val="32"/>
                <w:szCs w:val="32"/>
              </w:rPr>
              <w:t>拒不履行或拖延履行保修义务的</w:t>
            </w:r>
          </w:p>
        </w:tc>
      </w:tr>
      <w:tr w:rsidR="002B0020" w:rsidTr="00A24AB3">
        <w:tc>
          <w:tcPr>
            <w:tcW w:w="894" w:type="dxa"/>
          </w:tcPr>
          <w:p w:rsidR="002B0020" w:rsidRDefault="002B0020" w:rsidP="00A24AB3">
            <w:pPr>
              <w:rPr>
                <w:rFonts w:ascii="仿宋" w:eastAsia="仿宋" w:hAnsi="仿宋" w:cs="仿宋"/>
                <w:b/>
                <w:bCs/>
                <w:sz w:val="32"/>
                <w:szCs w:val="32"/>
              </w:rPr>
            </w:pPr>
            <w:r>
              <w:rPr>
                <w:rFonts w:ascii="仿宋" w:eastAsia="仿宋" w:hAnsi="仿宋" w:cs="仿宋" w:hint="eastAsia"/>
                <w:b/>
                <w:bCs/>
                <w:sz w:val="32"/>
                <w:szCs w:val="32"/>
              </w:rPr>
              <w:t>6</w:t>
            </w:r>
          </w:p>
        </w:tc>
        <w:tc>
          <w:tcPr>
            <w:tcW w:w="8144" w:type="dxa"/>
          </w:tcPr>
          <w:p w:rsidR="002B0020" w:rsidRDefault="002B0020" w:rsidP="00A24AB3">
            <w:pPr>
              <w:rPr>
                <w:rFonts w:ascii="仿宋" w:eastAsia="仿宋" w:hAnsi="仿宋" w:cs="仿宋"/>
                <w:b/>
                <w:bCs/>
                <w:sz w:val="32"/>
                <w:szCs w:val="32"/>
              </w:rPr>
            </w:pPr>
            <w:r>
              <w:rPr>
                <w:rFonts w:ascii="仿宋" w:eastAsia="仿宋" w:hAnsi="仿宋" w:cs="仿宋" w:hint="eastAsia"/>
                <w:color w:val="000000"/>
                <w:sz w:val="32"/>
                <w:szCs w:val="32"/>
              </w:rPr>
              <w:t>发生直接经济损失500万元以上质量事故的</w:t>
            </w:r>
          </w:p>
        </w:tc>
      </w:tr>
    </w:tbl>
    <w:p w:rsidR="002B0020" w:rsidRDefault="002B0020" w:rsidP="002B0020">
      <w:pPr>
        <w:rPr>
          <w:rFonts w:ascii="仿宋" w:eastAsia="仿宋" w:hAnsi="仿宋" w:cs="仿宋"/>
          <w:color w:val="000000"/>
          <w:sz w:val="32"/>
          <w:szCs w:val="32"/>
        </w:rPr>
      </w:pPr>
    </w:p>
    <w:p w:rsidR="002B0020" w:rsidRDefault="002B0020" w:rsidP="002B0020">
      <w:pPr>
        <w:ind w:firstLineChars="200" w:firstLine="643"/>
        <w:rPr>
          <w:rFonts w:ascii="仿宋" w:eastAsia="仿宋" w:hAnsi="仿宋" w:cs="仿宋" w:hint="eastAsia"/>
          <w:b/>
          <w:bCs/>
          <w:color w:val="000000"/>
          <w:sz w:val="32"/>
          <w:szCs w:val="32"/>
        </w:rPr>
      </w:pPr>
    </w:p>
    <w:p w:rsidR="00CD2C60" w:rsidRDefault="00CD2C60" w:rsidP="002B0020">
      <w:pPr>
        <w:ind w:firstLineChars="200" w:firstLine="643"/>
        <w:rPr>
          <w:rFonts w:ascii="仿宋" w:eastAsia="仿宋" w:hAnsi="仿宋" w:cs="仿宋" w:hint="eastAsia"/>
          <w:b/>
          <w:bCs/>
          <w:color w:val="000000"/>
          <w:sz w:val="32"/>
          <w:szCs w:val="32"/>
        </w:rPr>
      </w:pPr>
    </w:p>
    <w:p w:rsidR="00CD2C60" w:rsidRDefault="00CD2C60" w:rsidP="002B0020">
      <w:pPr>
        <w:ind w:firstLineChars="200" w:firstLine="643"/>
        <w:rPr>
          <w:rFonts w:ascii="仿宋" w:eastAsia="仿宋" w:hAnsi="仿宋" w:cs="仿宋"/>
          <w:b/>
          <w:bCs/>
          <w:color w:val="000000"/>
          <w:sz w:val="32"/>
          <w:szCs w:val="32"/>
        </w:rPr>
      </w:pPr>
    </w:p>
    <w:p w:rsidR="002B0020" w:rsidRDefault="002B0020" w:rsidP="002B0020">
      <w:pPr>
        <w:ind w:firstLineChars="200" w:firstLine="643"/>
        <w:rPr>
          <w:rFonts w:ascii="仿宋" w:eastAsia="仿宋" w:hAnsi="仿宋" w:cs="仿宋"/>
          <w:b/>
          <w:color w:val="000000"/>
          <w:sz w:val="32"/>
          <w:szCs w:val="32"/>
        </w:rPr>
      </w:pPr>
      <w:r>
        <w:rPr>
          <w:rFonts w:ascii="仿宋" w:eastAsia="仿宋" w:hAnsi="仿宋" w:cs="仿宋" w:hint="eastAsia"/>
          <w:b/>
          <w:bCs/>
          <w:color w:val="000000"/>
          <w:sz w:val="32"/>
          <w:szCs w:val="32"/>
        </w:rPr>
        <w:lastRenderedPageBreak/>
        <w:t>五、</w:t>
      </w:r>
      <w:r>
        <w:rPr>
          <w:rFonts w:ascii="仿宋" w:eastAsia="仿宋" w:hAnsi="仿宋" w:cs="仿宋" w:hint="eastAsia"/>
          <w:b/>
          <w:color w:val="000000"/>
          <w:sz w:val="32"/>
          <w:szCs w:val="32"/>
        </w:rPr>
        <w:t>有下列情形之一的信用等级直接降一级</w:t>
      </w:r>
      <w:r>
        <w:rPr>
          <w:rFonts w:ascii="仿宋" w:eastAsia="仿宋" w:hAnsi="仿宋" w:cs="仿宋" w:hint="eastAsia"/>
          <w:b/>
          <w:bCs/>
          <w:sz w:val="32"/>
          <w:szCs w:val="32"/>
        </w:rPr>
        <w:t>标准</w:t>
      </w:r>
    </w:p>
    <w:tbl>
      <w:tblPr>
        <w:tblStyle w:val="a6"/>
        <w:tblW w:w="9038" w:type="dxa"/>
        <w:tblLayout w:type="fixed"/>
        <w:tblLook w:val="04A0"/>
      </w:tblPr>
      <w:tblGrid>
        <w:gridCol w:w="930"/>
        <w:gridCol w:w="8108"/>
      </w:tblGrid>
      <w:tr w:rsidR="002B0020" w:rsidTr="00A24AB3">
        <w:tc>
          <w:tcPr>
            <w:tcW w:w="930"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序号</w:t>
            </w:r>
          </w:p>
        </w:tc>
        <w:tc>
          <w:tcPr>
            <w:tcW w:w="8108"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标准</w:t>
            </w:r>
          </w:p>
        </w:tc>
      </w:tr>
      <w:tr w:rsidR="002B0020" w:rsidTr="00A24AB3">
        <w:tc>
          <w:tcPr>
            <w:tcW w:w="930"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1</w:t>
            </w:r>
          </w:p>
        </w:tc>
        <w:tc>
          <w:tcPr>
            <w:tcW w:w="8108"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因企业自身原因发生拖欠农民工工资等严重影响社会稳定的恶性群体性事件，被县级及以上人民政府人社或建设行政主管部门通报的</w:t>
            </w:r>
          </w:p>
        </w:tc>
      </w:tr>
      <w:tr w:rsidR="002B0020" w:rsidTr="00A24AB3">
        <w:tc>
          <w:tcPr>
            <w:tcW w:w="930"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2</w:t>
            </w:r>
          </w:p>
        </w:tc>
        <w:tc>
          <w:tcPr>
            <w:tcW w:w="8108"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发生人员死亡安全生产事故或因发生人员受伤、财产损失等恶劣社会影响的安全生产事故</w:t>
            </w:r>
          </w:p>
        </w:tc>
      </w:tr>
      <w:tr w:rsidR="002B0020" w:rsidTr="00A24AB3">
        <w:tc>
          <w:tcPr>
            <w:tcW w:w="930"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3</w:t>
            </w:r>
          </w:p>
        </w:tc>
        <w:tc>
          <w:tcPr>
            <w:tcW w:w="8108"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拒不配合行业主管部门的监督检查，情节严重被各级管理部门通报的</w:t>
            </w:r>
          </w:p>
        </w:tc>
      </w:tr>
      <w:tr w:rsidR="002B0020" w:rsidTr="00A24AB3">
        <w:tc>
          <w:tcPr>
            <w:tcW w:w="930"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4</w:t>
            </w:r>
          </w:p>
        </w:tc>
        <w:tc>
          <w:tcPr>
            <w:tcW w:w="8108"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因“创卫创文环保”半年内被建设主行政主管部门通报批评</w:t>
            </w:r>
            <w:r>
              <w:rPr>
                <w:rFonts w:ascii="仿宋" w:eastAsia="仿宋" w:hAnsi="仿宋" w:cs="仿宋" w:hint="eastAsia"/>
                <w:sz w:val="32"/>
                <w:szCs w:val="32"/>
              </w:rPr>
              <w:t>二次</w:t>
            </w:r>
            <w:r>
              <w:rPr>
                <w:rFonts w:ascii="仿宋" w:eastAsia="仿宋" w:hAnsi="仿宋" w:cs="仿宋" w:hint="eastAsia"/>
                <w:color w:val="000000"/>
                <w:sz w:val="32"/>
                <w:szCs w:val="32"/>
              </w:rPr>
              <w:t>及以上的</w:t>
            </w:r>
          </w:p>
        </w:tc>
      </w:tr>
      <w:tr w:rsidR="002B0020" w:rsidTr="00A24AB3">
        <w:tc>
          <w:tcPr>
            <w:tcW w:w="930"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5</w:t>
            </w:r>
          </w:p>
        </w:tc>
        <w:tc>
          <w:tcPr>
            <w:tcW w:w="8108"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企业年内被记两次严重不良行为记录的</w:t>
            </w:r>
          </w:p>
        </w:tc>
      </w:tr>
      <w:tr w:rsidR="002B0020" w:rsidTr="00A24AB3">
        <w:tc>
          <w:tcPr>
            <w:tcW w:w="930"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6</w:t>
            </w:r>
          </w:p>
        </w:tc>
        <w:tc>
          <w:tcPr>
            <w:tcW w:w="8108"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认定一次及以上出借资质、转包、挂靠行为的</w:t>
            </w:r>
          </w:p>
        </w:tc>
      </w:tr>
      <w:tr w:rsidR="002B0020" w:rsidTr="00A24AB3">
        <w:tc>
          <w:tcPr>
            <w:tcW w:w="930"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7</w:t>
            </w:r>
          </w:p>
        </w:tc>
        <w:tc>
          <w:tcPr>
            <w:tcW w:w="8108" w:type="dxa"/>
          </w:tcPr>
          <w:p w:rsidR="002B0020" w:rsidRDefault="002B0020" w:rsidP="00A24AB3">
            <w:pPr>
              <w:rPr>
                <w:rFonts w:ascii="仿宋" w:eastAsia="仿宋" w:hAnsi="仿宋" w:cs="仿宋"/>
                <w:color w:val="000000"/>
                <w:sz w:val="32"/>
                <w:szCs w:val="32"/>
              </w:rPr>
            </w:pPr>
            <w:r>
              <w:rPr>
                <w:rFonts w:ascii="仿宋" w:eastAsia="仿宋" w:hAnsi="仿宋" w:cs="仿宋" w:hint="eastAsia"/>
                <w:color w:val="000000"/>
                <w:sz w:val="32"/>
                <w:szCs w:val="32"/>
              </w:rPr>
              <w:t>发生重大质量事故或因施工质量问题引起群众集体投诉上访，造成恶劣社会影响的</w:t>
            </w:r>
          </w:p>
        </w:tc>
      </w:tr>
    </w:tbl>
    <w:p w:rsidR="002B0020" w:rsidRDefault="002B0020" w:rsidP="002B0020">
      <w:pPr>
        <w:ind w:firstLineChars="200" w:firstLine="640"/>
        <w:rPr>
          <w:rFonts w:ascii="仿宋" w:eastAsia="仿宋" w:hAnsi="仿宋" w:cs="仿宋"/>
          <w:color w:val="000000"/>
          <w:sz w:val="32"/>
          <w:szCs w:val="32"/>
        </w:rPr>
      </w:pPr>
    </w:p>
    <w:p w:rsidR="002B0020" w:rsidRDefault="002B0020" w:rsidP="002B0020">
      <w:pPr>
        <w:spacing w:line="360" w:lineRule="auto"/>
        <w:rPr>
          <w:rFonts w:ascii="仿宋" w:eastAsia="仿宋" w:hAnsi="仿宋" w:cs="仿宋"/>
          <w:kern w:val="0"/>
          <w:sz w:val="32"/>
          <w:szCs w:val="32"/>
        </w:rPr>
      </w:pPr>
    </w:p>
    <w:p w:rsidR="002B0020" w:rsidRDefault="002B0020" w:rsidP="002B0020">
      <w:pPr>
        <w:autoSpaceDE w:val="0"/>
        <w:autoSpaceDN w:val="0"/>
        <w:adjustRightInd w:val="0"/>
        <w:spacing w:line="360" w:lineRule="auto"/>
        <w:ind w:right="2"/>
        <w:rPr>
          <w:rFonts w:ascii="仿宋" w:eastAsia="仿宋" w:hAnsi="仿宋" w:cs="仿宋"/>
          <w:kern w:val="0"/>
          <w:sz w:val="32"/>
          <w:szCs w:val="32"/>
        </w:rPr>
      </w:pPr>
    </w:p>
    <w:p w:rsidR="002B0020" w:rsidRDefault="002B0020" w:rsidP="002B0020">
      <w:pPr>
        <w:rPr>
          <w:rFonts w:ascii="仿宋" w:eastAsia="仿宋" w:hAnsi="仿宋" w:cs="仿宋"/>
          <w:sz w:val="32"/>
          <w:szCs w:val="32"/>
        </w:rPr>
      </w:pPr>
    </w:p>
    <w:p w:rsidR="00632FE6" w:rsidRPr="002B0020" w:rsidRDefault="00632FE6"/>
    <w:sectPr w:rsidR="00632FE6" w:rsidRPr="002B0020" w:rsidSect="005F40DF">
      <w:pgSz w:w="11906" w:h="16838"/>
      <w:pgMar w:top="624" w:right="1797" w:bottom="935" w:left="1287" w:header="851" w:footer="992" w:gutter="0"/>
      <w:cols w:space="0"/>
      <w:docGrid w:type="linesAndChars" w:linePitch="315" w:charSpace="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FE6" w:rsidRDefault="00632FE6" w:rsidP="002B0020">
      <w:r>
        <w:separator/>
      </w:r>
    </w:p>
  </w:endnote>
  <w:endnote w:type="continuationSeparator" w:id="1">
    <w:p w:rsidR="00632FE6" w:rsidRDefault="00632FE6" w:rsidP="002B0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FE6" w:rsidRDefault="00632FE6" w:rsidP="002B0020">
      <w:r>
        <w:separator/>
      </w:r>
    </w:p>
  </w:footnote>
  <w:footnote w:type="continuationSeparator" w:id="1">
    <w:p w:rsidR="00632FE6" w:rsidRDefault="00632FE6" w:rsidP="002B0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F61EE"/>
    <w:multiLevelType w:val="singleLevel"/>
    <w:tmpl w:val="63BF61E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020"/>
    <w:rsid w:val="002B0020"/>
    <w:rsid w:val="00632FE6"/>
    <w:rsid w:val="00CD2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0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020"/>
    <w:rPr>
      <w:sz w:val="18"/>
      <w:szCs w:val="18"/>
    </w:rPr>
  </w:style>
  <w:style w:type="paragraph" w:styleId="a4">
    <w:name w:val="footer"/>
    <w:basedOn w:val="a"/>
    <w:link w:val="Char0"/>
    <w:uiPriority w:val="99"/>
    <w:semiHidden/>
    <w:unhideWhenUsed/>
    <w:rsid w:val="002B00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0020"/>
    <w:rPr>
      <w:sz w:val="18"/>
      <w:szCs w:val="18"/>
    </w:rPr>
  </w:style>
  <w:style w:type="paragraph" w:styleId="a5">
    <w:name w:val="Normal (Web)"/>
    <w:basedOn w:val="a"/>
    <w:qFormat/>
    <w:rsid w:val="002B0020"/>
    <w:pPr>
      <w:jc w:val="left"/>
    </w:pPr>
    <w:rPr>
      <w:rFonts w:cs="Times New Roman"/>
      <w:kern w:val="0"/>
      <w:sz w:val="24"/>
    </w:rPr>
  </w:style>
  <w:style w:type="table" w:styleId="a6">
    <w:name w:val="Table Grid"/>
    <w:basedOn w:val="a1"/>
    <w:qFormat/>
    <w:rsid w:val="002B00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2019-04-28T01:26:00Z</dcterms:created>
  <dcterms:modified xsi:type="dcterms:W3CDTF">2019-04-28T01:27:00Z</dcterms:modified>
</cp:coreProperties>
</file>