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邵阳市价格监督检查局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专项(项目)资金支出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绩效自评报告表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邵阳市价格监督检查局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12358平台建设费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ind w:firstLine="0" w:firstLineChars="0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用于建设12358平台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邵阳市价格监督检查局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ind w:firstLine="280" w:firstLineChars="100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范鸿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范鸿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　万元，其中：省级财政　　万元；市级财政　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　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湘发改[2015]1043号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湘价检[2014]35号   湘发改价监[2016]213号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国家要求建设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《关于做好12358价格监管平台工作的通知》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ind w:firstLine="0" w:firstLineChars="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建设举报处理平台、实现国家、省、市、县四级联网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措施。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专项资金财政部门扣回15.35万元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tbl>
            <w:tblPr>
              <w:tblStyle w:val="2"/>
              <w:tblW w:w="650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05" w:hRule="exact"/>
                <w:jc w:val="center"/>
              </w:trPr>
              <w:tc>
                <w:tcPr>
                  <w:tcW w:w="6506" w:type="dxa"/>
                  <w:vAlign w:val="center"/>
                </w:tcPr>
                <w:p>
                  <w:pPr>
                    <w:rPr>
                      <w:rFonts w:hint="default" w:ascii="楷体" w:hAnsi="楷体" w:eastAsia="楷体" w:cs="楷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  <w:lang w:val="en-US" w:eastAsia="zh-CN"/>
                    </w:rPr>
                    <w:t>圆满完成上级交办任务</w:t>
                  </w:r>
                </w:p>
              </w:tc>
            </w:tr>
          </w:tbl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  <w:jc w:val="center"/>
        </w:trPr>
        <w:tc>
          <w:tcPr>
            <w:tcW w:w="540" w:type="dxa"/>
            <w:vMerge w:val="restart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截留挤占挪用、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制定了《邵阳市价格监督检查局内部控制制度》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4.65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4.65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4.65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4.65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hint="default" w:ascii="楷体" w:hAnsi="楷体" w:eastAsia="楷体" w:cs="楷体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在规定时间内，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市局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12358平台1个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、县市区12358平台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12个正在建设中。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建设好市局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1个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、县市区12358平台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12个，在预算范围内，保证顺畅稳定运行，有利于维护公平正义，减负降费，维护社会稳定，群众满意度达到99%以上。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范鸿</w:t>
      </w:r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范鸿</w:t>
      </w:r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廖璞瑛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E7130D3"/>
    <w:rsid w:val="660669BE"/>
    <w:rsid w:val="746A2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2019-11-01T05:02:00Z</dcterms:created>
  <dc:creator>淡淡</dc:creator>
  <cp:lastModifiedBy>老郑</cp:lastModifiedBy>
  <cp:lastPrinted>2019-11-01T08:15:00Z</cp:lastPrinted>
  <dcterms:modified xsi:type="dcterms:W3CDTF">2019-11-04T01:59:06Z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